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34BDFBA">
      <w:pPr>
        <w:pStyle w:val="2"/>
        <w:spacing w:line="243" w:lineRule="auto"/>
        <w:rPr>
          <w:color w:val="auto"/>
          <w:highlight w:val="none"/>
        </w:rPr>
      </w:pPr>
      <w:bookmarkStart w:id="0" w:name="_Toc26904"/>
      <w:bookmarkStart w:id="1" w:name="_Toc9897"/>
      <w:bookmarkStart w:id="2" w:name="_Toc1407"/>
      <w:bookmarkStart w:id="3" w:name="_Toc8307"/>
      <w:bookmarkStart w:id="4" w:name="_Toc26372"/>
      <w:bookmarkStart w:id="5" w:name="_Toc24332"/>
      <w:bookmarkStart w:id="6" w:name="_Toc16221"/>
    </w:p>
    <w:p w14:paraId="25DDDCDD">
      <w:pPr>
        <w:pStyle w:val="2"/>
        <w:spacing w:line="243" w:lineRule="auto"/>
        <w:rPr>
          <w:color w:val="auto"/>
          <w:highlight w:val="none"/>
        </w:rPr>
      </w:pPr>
    </w:p>
    <w:p w14:paraId="7905BB8B">
      <w:pPr>
        <w:pStyle w:val="2"/>
        <w:spacing w:line="243" w:lineRule="auto"/>
        <w:rPr>
          <w:color w:val="auto"/>
          <w:highlight w:val="none"/>
        </w:rPr>
      </w:pPr>
    </w:p>
    <w:p w14:paraId="348A7964">
      <w:pPr>
        <w:pStyle w:val="2"/>
        <w:spacing w:line="243" w:lineRule="auto"/>
        <w:rPr>
          <w:color w:val="auto"/>
          <w:highlight w:val="none"/>
        </w:rPr>
      </w:pPr>
    </w:p>
    <w:p w14:paraId="5D465942">
      <w:pPr>
        <w:adjustRightInd w:val="0"/>
        <w:snapToGrid w:val="0"/>
        <w:ind w:firstLine="0" w:firstLineChars="0"/>
        <w:jc w:val="center"/>
        <w:outlineLvl w:val="0"/>
        <w:rPr>
          <w:rFonts w:eastAsia="方正小标宋_GBK"/>
          <w:bCs/>
          <w:color w:val="auto"/>
          <w:sz w:val="52"/>
          <w:szCs w:val="52"/>
          <w:highlight w:val="none"/>
        </w:rPr>
      </w:pPr>
      <w:bookmarkStart w:id="7" w:name="_Toc69399385"/>
      <w:bookmarkStart w:id="8" w:name="_Toc9226"/>
      <w:bookmarkStart w:id="9" w:name="_Toc32343"/>
      <w:r>
        <w:rPr>
          <w:rFonts w:hint="eastAsia" w:eastAsia="方正小标宋_GBK"/>
          <w:b/>
          <w:color w:val="auto"/>
          <w:sz w:val="52"/>
          <w:szCs w:val="52"/>
          <w:highlight w:val="none"/>
        </w:rPr>
        <w:t>建设项目</w:t>
      </w:r>
      <w:r>
        <w:rPr>
          <w:rFonts w:hint="eastAsia" w:eastAsia="方正小标宋_GBK"/>
          <w:b/>
          <w:color w:val="auto"/>
          <w:sz w:val="52"/>
          <w:szCs w:val="52"/>
          <w:highlight w:val="none"/>
          <w:lang w:eastAsia="zh-CN"/>
        </w:rPr>
        <w:t>生态</w:t>
      </w:r>
      <w:r>
        <w:rPr>
          <w:rFonts w:hint="eastAsia" w:eastAsia="方正小标宋_GBK"/>
          <w:b/>
          <w:color w:val="auto"/>
          <w:sz w:val="52"/>
          <w:szCs w:val="52"/>
          <w:highlight w:val="none"/>
        </w:rPr>
        <w:t>环境影响报告表</w:t>
      </w:r>
      <w:bookmarkEnd w:id="7"/>
      <w:bookmarkEnd w:id="8"/>
      <w:bookmarkEnd w:id="9"/>
    </w:p>
    <w:p w14:paraId="73F182F3">
      <w:pPr>
        <w:adjustRightInd w:val="0"/>
        <w:snapToGrid w:val="0"/>
        <w:spacing w:beforeLines="80" w:line="240" w:lineRule="auto"/>
        <w:ind w:firstLine="0" w:firstLineChars="0"/>
        <w:jc w:val="center"/>
        <w:rPr>
          <w:rFonts w:eastAsia="楷体_GB2312"/>
          <w:bCs/>
          <w:color w:val="auto"/>
          <w:sz w:val="48"/>
          <w:szCs w:val="48"/>
          <w:highlight w:val="none"/>
        </w:rPr>
      </w:pPr>
      <w:r>
        <w:rPr>
          <w:rFonts w:hint="eastAsia" w:eastAsia="楷体_GB2312"/>
          <w:bCs/>
          <w:color w:val="auto"/>
          <w:sz w:val="48"/>
          <w:szCs w:val="48"/>
          <w:highlight w:val="none"/>
        </w:rPr>
        <w:t>（污染影响类）</w:t>
      </w:r>
    </w:p>
    <w:p w14:paraId="049A744A">
      <w:pPr>
        <w:spacing w:line="240" w:lineRule="auto"/>
        <w:ind w:firstLine="1040" w:firstLineChars="0"/>
        <w:rPr>
          <w:rFonts w:eastAsia="仿宋"/>
          <w:color w:val="auto"/>
          <w:sz w:val="44"/>
          <w:szCs w:val="44"/>
          <w:highlight w:val="none"/>
        </w:rPr>
      </w:pPr>
    </w:p>
    <w:p w14:paraId="0AAE90B0">
      <w:pPr>
        <w:pStyle w:val="2"/>
        <w:rPr>
          <w:rFonts w:hint="default" w:ascii="Arial" w:hAnsi="Arial" w:eastAsia="楷体_GB2312" w:cs="Arial"/>
          <w:bCs/>
          <w:snapToGrid w:val="0"/>
          <w:color w:val="auto"/>
          <w:kern w:val="0"/>
          <w:sz w:val="48"/>
          <w:szCs w:val="48"/>
          <w:highlight w:val="none"/>
          <w:lang w:val="en-US" w:eastAsia="zh-CN" w:bidi="ar-SA"/>
        </w:rPr>
      </w:pPr>
      <w:r>
        <w:rPr>
          <w:rFonts w:hint="eastAsia" w:eastAsia="宋体"/>
          <w:color w:val="auto"/>
          <w:highlight w:val="none"/>
          <w:lang w:val="en-US" w:eastAsia="zh-CN"/>
        </w:rPr>
        <w:t xml:space="preserve">                                    </w:t>
      </w:r>
      <w:r>
        <w:rPr>
          <w:rFonts w:hint="eastAsia" w:ascii="Arial" w:hAnsi="Arial" w:eastAsia="楷体_GB2312" w:cs="Arial"/>
          <w:bCs/>
          <w:snapToGrid w:val="0"/>
          <w:color w:val="auto"/>
          <w:kern w:val="0"/>
          <w:sz w:val="48"/>
          <w:szCs w:val="48"/>
          <w:highlight w:val="none"/>
          <w:lang w:val="en-US" w:eastAsia="zh-CN" w:bidi="ar-SA"/>
        </w:rPr>
        <w:t>（送审稿）</w:t>
      </w:r>
    </w:p>
    <w:p w14:paraId="2BE77968">
      <w:pPr>
        <w:spacing w:line="240" w:lineRule="auto"/>
        <w:ind w:firstLine="1040" w:firstLineChars="0"/>
        <w:rPr>
          <w:rFonts w:eastAsia="仿宋"/>
          <w:color w:val="auto"/>
          <w:sz w:val="44"/>
          <w:szCs w:val="44"/>
          <w:highlight w:val="none"/>
        </w:rPr>
      </w:pPr>
    </w:p>
    <w:p w14:paraId="46920C5D">
      <w:pPr>
        <w:spacing w:line="240" w:lineRule="auto"/>
        <w:ind w:firstLine="1040" w:firstLineChars="0"/>
        <w:rPr>
          <w:rFonts w:eastAsia="仿宋"/>
          <w:color w:val="auto"/>
          <w:sz w:val="44"/>
          <w:szCs w:val="44"/>
          <w:highlight w:val="none"/>
        </w:rPr>
      </w:pPr>
    </w:p>
    <w:p w14:paraId="0487F47C">
      <w:pPr>
        <w:spacing w:line="240" w:lineRule="auto"/>
        <w:ind w:firstLine="1040" w:firstLineChars="0"/>
        <w:rPr>
          <w:rFonts w:eastAsia="仿宋"/>
          <w:color w:val="auto"/>
          <w:sz w:val="44"/>
          <w:szCs w:val="44"/>
          <w:highlight w:val="none"/>
        </w:rPr>
      </w:pPr>
    </w:p>
    <w:p w14:paraId="0D11A748">
      <w:pPr>
        <w:spacing w:line="240" w:lineRule="auto"/>
        <w:ind w:firstLine="1040" w:firstLineChars="0"/>
        <w:rPr>
          <w:rFonts w:eastAsia="仿宋"/>
          <w:color w:val="auto"/>
          <w:sz w:val="44"/>
          <w:szCs w:val="44"/>
          <w:highlight w:val="none"/>
        </w:rPr>
      </w:pPr>
    </w:p>
    <w:p w14:paraId="27B20895">
      <w:pPr>
        <w:spacing w:line="240" w:lineRule="auto"/>
        <w:ind w:firstLine="1040" w:firstLineChars="0"/>
        <w:rPr>
          <w:rFonts w:eastAsia="仿宋"/>
          <w:color w:val="auto"/>
          <w:sz w:val="44"/>
          <w:szCs w:val="44"/>
          <w:highlight w:val="none"/>
        </w:rPr>
      </w:pPr>
    </w:p>
    <w:p w14:paraId="6351FCF3">
      <w:pPr>
        <w:spacing w:line="240" w:lineRule="auto"/>
        <w:ind w:firstLine="1040" w:firstLineChars="0"/>
        <w:rPr>
          <w:rFonts w:eastAsia="仿宋"/>
          <w:color w:val="auto"/>
          <w:sz w:val="44"/>
          <w:szCs w:val="44"/>
          <w:highlight w:val="none"/>
        </w:rPr>
      </w:pPr>
    </w:p>
    <w:p w14:paraId="168499A1">
      <w:pPr>
        <w:adjustRightInd w:val="0"/>
        <w:snapToGrid w:val="0"/>
        <w:spacing w:line="288" w:lineRule="auto"/>
        <w:ind w:firstLine="0" w:firstLineChars="0"/>
        <w:rPr>
          <w:rFonts w:eastAsia="仿宋_GB2312"/>
          <w:color w:val="auto"/>
          <w:sz w:val="36"/>
          <w:szCs w:val="36"/>
          <w:highlight w:val="none"/>
          <w:u w:val="single"/>
        </w:rPr>
      </w:pPr>
      <w:r>
        <w:rPr>
          <w:rFonts w:hint="eastAsia" w:eastAsia="仿宋_GB2312"/>
          <w:color w:val="auto"/>
          <w:sz w:val="36"/>
          <w:szCs w:val="36"/>
          <w:highlight w:val="none"/>
        </w:rPr>
        <w:t>项目名称：</w:t>
      </w:r>
      <w:r>
        <w:rPr>
          <w:rFonts w:hint="eastAsia" w:eastAsia="仿宋_GB2312"/>
          <w:color w:val="auto"/>
          <w:sz w:val="36"/>
          <w:szCs w:val="36"/>
          <w:highlight w:val="none"/>
          <w:u w:val="single"/>
        </w:rPr>
        <w:t xml:space="preserve">   </w:t>
      </w:r>
      <w:r>
        <w:rPr>
          <w:rFonts w:hint="eastAsia" w:eastAsia="仿宋_GB2312"/>
          <w:color w:val="auto"/>
          <w:sz w:val="36"/>
          <w:szCs w:val="36"/>
          <w:highlight w:val="none"/>
          <w:u w:val="single"/>
          <w:lang w:eastAsia="zh-CN"/>
        </w:rPr>
        <w:t>云南錦创环境科技有限公司改扩建</w:t>
      </w:r>
      <w:r>
        <w:rPr>
          <w:rFonts w:hint="eastAsia" w:eastAsia="仿宋_GB2312"/>
          <w:color w:val="auto"/>
          <w:sz w:val="36"/>
          <w:szCs w:val="36"/>
          <w:highlight w:val="none"/>
          <w:u w:val="single"/>
        </w:rPr>
        <w:t xml:space="preserve">   </w:t>
      </w:r>
    </w:p>
    <w:p w14:paraId="712DEE2D">
      <w:pPr>
        <w:adjustRightInd w:val="0"/>
        <w:snapToGrid w:val="0"/>
        <w:spacing w:line="288" w:lineRule="auto"/>
        <w:ind w:firstLine="0" w:firstLineChars="0"/>
        <w:rPr>
          <w:rFonts w:eastAsia="仿宋_GB2312"/>
          <w:color w:val="auto"/>
          <w:sz w:val="36"/>
          <w:szCs w:val="36"/>
          <w:highlight w:val="none"/>
          <w:u w:val="single"/>
        </w:rPr>
      </w:pPr>
      <w:r>
        <w:rPr>
          <w:rFonts w:hint="eastAsia" w:eastAsia="仿宋_GB2312"/>
          <w:color w:val="auto"/>
          <w:sz w:val="36"/>
          <w:szCs w:val="36"/>
          <w:highlight w:val="none"/>
        </w:rPr>
        <w:t>建设单位（盖章）：</w:t>
      </w:r>
      <w:r>
        <w:rPr>
          <w:rFonts w:hint="eastAsia" w:eastAsia="仿宋_GB2312"/>
          <w:color w:val="auto"/>
          <w:sz w:val="36"/>
          <w:szCs w:val="36"/>
          <w:highlight w:val="none"/>
          <w:u w:val="single"/>
        </w:rPr>
        <w:t xml:space="preserve">    </w:t>
      </w:r>
      <w:r>
        <w:rPr>
          <w:rFonts w:hint="eastAsia" w:eastAsia="仿宋_GB2312"/>
          <w:color w:val="auto"/>
          <w:sz w:val="36"/>
          <w:szCs w:val="36"/>
          <w:highlight w:val="none"/>
          <w:u w:val="single"/>
          <w:lang w:eastAsia="zh-CN"/>
        </w:rPr>
        <w:t>云南錦创环境科技有限公司</w:t>
      </w:r>
      <w:r>
        <w:rPr>
          <w:rFonts w:hint="eastAsia" w:eastAsia="仿宋_GB2312"/>
          <w:color w:val="auto"/>
          <w:sz w:val="36"/>
          <w:szCs w:val="36"/>
          <w:highlight w:val="none"/>
          <w:u w:val="single"/>
        </w:rPr>
        <w:t xml:space="preserve">    </w:t>
      </w:r>
    </w:p>
    <w:p w14:paraId="6BEE561C">
      <w:pPr>
        <w:adjustRightInd w:val="0"/>
        <w:snapToGrid w:val="0"/>
        <w:spacing w:line="288" w:lineRule="auto"/>
        <w:ind w:firstLine="0" w:firstLineChars="0"/>
        <w:rPr>
          <w:rFonts w:eastAsia="仿宋_GB2312"/>
          <w:color w:val="auto"/>
          <w:sz w:val="36"/>
          <w:szCs w:val="36"/>
          <w:highlight w:val="none"/>
          <w:u w:val="single"/>
        </w:rPr>
      </w:pPr>
      <w:r>
        <w:rPr>
          <w:rFonts w:hint="eastAsia" w:eastAsia="仿宋_GB2312"/>
          <w:color w:val="auto"/>
          <w:sz w:val="36"/>
          <w:szCs w:val="36"/>
          <w:highlight w:val="none"/>
        </w:rPr>
        <w:t>编制日期：</w:t>
      </w:r>
      <w:r>
        <w:rPr>
          <w:rFonts w:hint="eastAsia" w:eastAsia="仿宋_GB2312"/>
          <w:color w:val="auto"/>
          <w:sz w:val="36"/>
          <w:szCs w:val="36"/>
          <w:highlight w:val="none"/>
          <w:u w:val="single"/>
        </w:rPr>
        <w:t xml:space="preserve"> </w:t>
      </w:r>
      <w:r>
        <w:rPr>
          <w:rFonts w:eastAsia="仿宋_GB2312"/>
          <w:color w:val="auto"/>
          <w:sz w:val="36"/>
          <w:szCs w:val="36"/>
          <w:highlight w:val="none"/>
          <w:u w:val="single"/>
        </w:rPr>
        <w:t xml:space="preserve">         </w:t>
      </w:r>
      <w:r>
        <w:rPr>
          <w:rFonts w:hint="eastAsia" w:eastAsia="仿宋_GB2312"/>
          <w:color w:val="auto"/>
          <w:sz w:val="36"/>
          <w:szCs w:val="36"/>
          <w:highlight w:val="none"/>
          <w:u w:val="single"/>
        </w:rPr>
        <w:t xml:space="preserve"> </w:t>
      </w:r>
      <w:r>
        <w:rPr>
          <w:rFonts w:hint="eastAsia" w:eastAsia="仿宋_GB2312"/>
          <w:color w:val="auto"/>
          <w:sz w:val="36"/>
          <w:szCs w:val="36"/>
          <w:highlight w:val="none"/>
          <w:u w:val="single"/>
          <w:lang w:val="en-US" w:eastAsia="zh-CN"/>
        </w:rPr>
        <w:t xml:space="preserve">    </w:t>
      </w:r>
      <w:r>
        <w:rPr>
          <w:rFonts w:hint="eastAsia" w:eastAsia="仿宋_GB2312"/>
          <w:color w:val="auto"/>
          <w:sz w:val="36"/>
          <w:szCs w:val="36"/>
          <w:highlight w:val="none"/>
          <w:u w:val="single"/>
        </w:rPr>
        <w:t xml:space="preserve"> </w:t>
      </w:r>
      <w:r>
        <w:rPr>
          <w:rFonts w:hint="eastAsia" w:eastAsia="仿宋_GB2312"/>
          <w:color w:val="auto"/>
          <w:sz w:val="36"/>
          <w:szCs w:val="36"/>
          <w:highlight w:val="none"/>
          <w:u w:val="single"/>
          <w:lang w:val="en-US" w:eastAsia="zh-CN"/>
        </w:rPr>
        <w:t>2026</w:t>
      </w:r>
      <w:r>
        <w:rPr>
          <w:rFonts w:hint="eastAsia" w:eastAsia="仿宋_GB2312"/>
          <w:color w:val="auto"/>
          <w:sz w:val="36"/>
          <w:szCs w:val="36"/>
          <w:highlight w:val="none"/>
          <w:u w:val="single"/>
        </w:rPr>
        <w:t>年</w:t>
      </w:r>
      <w:r>
        <w:rPr>
          <w:rFonts w:hint="eastAsia" w:eastAsia="仿宋_GB2312"/>
          <w:color w:val="auto"/>
          <w:sz w:val="36"/>
          <w:szCs w:val="36"/>
          <w:highlight w:val="none"/>
          <w:u w:val="single"/>
          <w:lang w:val="en-US" w:eastAsia="zh-CN"/>
        </w:rPr>
        <w:t>9</w:t>
      </w:r>
      <w:r>
        <w:rPr>
          <w:rFonts w:hint="eastAsia" w:eastAsia="仿宋_GB2312"/>
          <w:color w:val="auto"/>
          <w:sz w:val="36"/>
          <w:szCs w:val="36"/>
          <w:highlight w:val="none"/>
          <w:u w:val="single"/>
        </w:rPr>
        <w:t xml:space="preserve">月 </w:t>
      </w:r>
      <w:r>
        <w:rPr>
          <w:rFonts w:eastAsia="仿宋_GB2312"/>
          <w:color w:val="auto"/>
          <w:sz w:val="36"/>
          <w:szCs w:val="36"/>
          <w:highlight w:val="none"/>
          <w:u w:val="single"/>
        </w:rPr>
        <w:t xml:space="preserve">    </w:t>
      </w:r>
      <w:r>
        <w:rPr>
          <w:rFonts w:hint="eastAsia" w:eastAsia="仿宋_GB2312"/>
          <w:color w:val="auto"/>
          <w:sz w:val="36"/>
          <w:szCs w:val="36"/>
          <w:highlight w:val="none"/>
          <w:u w:val="single"/>
        </w:rPr>
        <w:t xml:space="preserve">        </w:t>
      </w:r>
    </w:p>
    <w:p w14:paraId="7A9A3276">
      <w:pPr>
        <w:spacing w:line="240" w:lineRule="auto"/>
        <w:ind w:firstLine="1040" w:firstLineChars="0"/>
        <w:rPr>
          <w:rFonts w:eastAsia="仿宋"/>
          <w:color w:val="auto"/>
          <w:sz w:val="44"/>
          <w:szCs w:val="44"/>
          <w:highlight w:val="none"/>
        </w:rPr>
      </w:pPr>
    </w:p>
    <w:p w14:paraId="27762ACB">
      <w:pPr>
        <w:spacing w:line="240" w:lineRule="auto"/>
        <w:ind w:firstLine="1040" w:firstLineChars="0"/>
        <w:rPr>
          <w:rFonts w:eastAsia="仿宋"/>
          <w:color w:val="auto"/>
          <w:sz w:val="44"/>
          <w:szCs w:val="44"/>
          <w:highlight w:val="none"/>
        </w:rPr>
      </w:pPr>
      <w:bookmarkStart w:id="10" w:name="_Hlk57884087"/>
    </w:p>
    <w:p w14:paraId="3C980E45">
      <w:pPr>
        <w:spacing w:line="240" w:lineRule="auto"/>
        <w:ind w:firstLine="1040" w:firstLineChars="0"/>
        <w:rPr>
          <w:rFonts w:eastAsia="仿宋"/>
          <w:color w:val="auto"/>
          <w:sz w:val="44"/>
          <w:szCs w:val="44"/>
          <w:highlight w:val="none"/>
        </w:rPr>
      </w:pPr>
    </w:p>
    <w:p w14:paraId="53D640F1">
      <w:pPr>
        <w:spacing w:line="240" w:lineRule="auto"/>
        <w:rPr>
          <w:rFonts w:eastAsia="仿宋"/>
          <w:color w:val="auto"/>
          <w:sz w:val="44"/>
          <w:szCs w:val="44"/>
          <w:highlight w:val="none"/>
        </w:rPr>
      </w:pPr>
    </w:p>
    <w:p w14:paraId="13C200CB">
      <w:pPr>
        <w:spacing w:line="240" w:lineRule="auto"/>
        <w:rPr>
          <w:rFonts w:eastAsia="仿宋"/>
          <w:color w:val="auto"/>
          <w:sz w:val="44"/>
          <w:szCs w:val="44"/>
          <w:highlight w:val="none"/>
        </w:rPr>
      </w:pPr>
    </w:p>
    <w:bookmarkEnd w:id="10"/>
    <w:p w14:paraId="79FE9F1E">
      <w:pPr>
        <w:adjustRightInd w:val="0"/>
        <w:snapToGrid w:val="0"/>
        <w:spacing w:line="288" w:lineRule="auto"/>
        <w:ind w:firstLine="0" w:firstLineChars="0"/>
        <w:jc w:val="center"/>
        <w:rPr>
          <w:color w:val="auto"/>
          <w:highlight w:val="none"/>
        </w:rPr>
        <w:sectPr>
          <w:headerReference r:id="rId3" w:type="default"/>
          <w:footerReference r:id="rId4" w:type="default"/>
          <w:pgSz w:w="11906" w:h="16838"/>
          <w:pgMar w:top="1701" w:right="1531" w:bottom="1701" w:left="1531" w:header="851" w:footer="1077" w:gutter="0"/>
          <w:pgNumType w:start="3"/>
          <w:cols w:space="720" w:num="1"/>
          <w:docGrid w:linePitch="312" w:charSpace="0"/>
        </w:sectPr>
      </w:pPr>
      <w:r>
        <w:rPr>
          <w:rFonts w:hint="eastAsia" w:eastAsia="楷体_GB2312"/>
          <w:color w:val="auto"/>
          <w:sz w:val="36"/>
          <w:szCs w:val="36"/>
          <w:highlight w:val="none"/>
        </w:rPr>
        <w:t>中华人民共和国生态环境</w:t>
      </w:r>
    </w:p>
    <w:p w14:paraId="0863D527">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40" w:lineRule="auto"/>
        <w:ind w:firstLine="0" w:firstLineChars="0"/>
        <w:jc w:val="both"/>
        <w:textAlignment w:val="auto"/>
        <w:outlineLvl w:val="0"/>
        <w:rPr>
          <w:rFonts w:hint="default" w:ascii="Times New Roman" w:hAnsi="Times New Roman" w:cs="Times New Roman" w:eastAsiaTheme="minorEastAsia"/>
          <w:b/>
          <w:bCs/>
          <w:color w:val="auto"/>
          <w:kern w:val="0"/>
          <w:sz w:val="32"/>
          <w:szCs w:val="32"/>
          <w:highlight w:val="none"/>
        </w:rPr>
      </w:pPr>
    </w:p>
    <w:p w14:paraId="2CC395D2">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40" w:lineRule="auto"/>
        <w:ind w:firstLine="0" w:firstLineChars="0"/>
        <w:jc w:val="center"/>
        <w:textAlignment w:val="auto"/>
        <w:outlineLvl w:val="0"/>
        <w:rPr>
          <w:rFonts w:hint="default" w:ascii="Times New Roman" w:hAnsi="Times New Roman" w:cs="Times New Roman" w:eastAsiaTheme="minorEastAsia"/>
          <w:b/>
          <w:bCs/>
          <w:color w:val="auto"/>
          <w:kern w:val="0"/>
          <w:sz w:val="32"/>
          <w:szCs w:val="32"/>
          <w:highlight w:val="none"/>
        </w:rPr>
      </w:pPr>
      <w:r>
        <w:rPr>
          <w:rFonts w:hint="default" w:ascii="Times New Roman" w:hAnsi="Times New Roman" w:cs="Times New Roman" w:eastAsiaTheme="minorEastAsia"/>
          <w:b/>
          <w:bCs/>
          <w:color w:val="auto"/>
          <w:kern w:val="0"/>
          <w:sz w:val="32"/>
          <w:szCs w:val="32"/>
          <w:highlight w:val="none"/>
        </w:rPr>
        <w:t>目 录</w:t>
      </w:r>
    </w:p>
    <w:p w14:paraId="0B7334D3">
      <w:pPr>
        <w:pStyle w:val="21"/>
        <w:keepNext w:val="0"/>
        <w:keepLines w:val="0"/>
        <w:pageBreakBefore w:val="0"/>
        <w:tabs>
          <w:tab w:val="right" w:leader="dot" w:pos="8306"/>
        </w:tabs>
        <w:kinsoku/>
        <w:wordWrap/>
        <w:overflowPunct/>
        <w:topLinePunct w:val="0"/>
        <w:autoSpaceDE/>
        <w:autoSpaceDN/>
        <w:bidi w:val="0"/>
        <w:spacing w:beforeAutospacing="0" w:afterAutospacing="0" w:line="360" w:lineRule="auto"/>
        <w:textAlignment w:val="auto"/>
        <w:rPr>
          <w:color w:val="auto"/>
          <w:sz w:val="28"/>
          <w:szCs w:val="28"/>
          <w:highlight w:val="none"/>
        </w:rPr>
      </w:pPr>
      <w:r>
        <w:rPr>
          <w:color w:val="auto"/>
          <w:kern w:val="0"/>
          <w:sz w:val="24"/>
          <w:highlight w:val="none"/>
        </w:rPr>
        <w:fldChar w:fldCharType="begin"/>
      </w:r>
      <w:r>
        <w:rPr>
          <w:color w:val="auto"/>
          <w:kern w:val="0"/>
          <w:sz w:val="24"/>
          <w:highlight w:val="none"/>
        </w:rPr>
        <w:instrText xml:space="preserve">TOC \o "1-1" \h \u </w:instrText>
      </w:r>
      <w:r>
        <w:rPr>
          <w:color w:val="auto"/>
          <w:kern w:val="0"/>
          <w:sz w:val="24"/>
          <w:highlight w:val="none"/>
        </w:rPr>
        <w:fldChar w:fldCharType="separate"/>
      </w:r>
      <w:r>
        <w:rPr>
          <w:color w:val="auto"/>
          <w:sz w:val="28"/>
          <w:szCs w:val="28"/>
          <w:highlight w:val="none"/>
        </w:rPr>
        <w:fldChar w:fldCharType="begin"/>
      </w:r>
      <w:r>
        <w:rPr>
          <w:color w:val="auto"/>
          <w:sz w:val="28"/>
          <w:szCs w:val="28"/>
          <w:highlight w:val="none"/>
        </w:rPr>
        <w:instrText xml:space="preserve"> HYPERLINK \l "_Toc25330" </w:instrText>
      </w:r>
      <w:r>
        <w:rPr>
          <w:color w:val="auto"/>
          <w:sz w:val="28"/>
          <w:szCs w:val="28"/>
          <w:highlight w:val="none"/>
        </w:rPr>
        <w:fldChar w:fldCharType="separate"/>
      </w:r>
      <w:r>
        <w:rPr>
          <w:color w:val="auto"/>
          <w:kern w:val="0"/>
          <w:sz w:val="28"/>
          <w:szCs w:val="28"/>
          <w:highlight w:val="none"/>
        </w:rPr>
        <w:t>一、建设项目基本情况</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_Toc25330 \h </w:instrText>
      </w:r>
      <w:r>
        <w:rPr>
          <w:color w:val="auto"/>
          <w:sz w:val="28"/>
          <w:szCs w:val="28"/>
          <w:highlight w:val="none"/>
        </w:rPr>
        <w:fldChar w:fldCharType="separate"/>
      </w:r>
      <w:r>
        <w:rPr>
          <w:color w:val="auto"/>
          <w:sz w:val="28"/>
          <w:szCs w:val="28"/>
          <w:highlight w:val="none"/>
        </w:rPr>
        <w:t>1</w:t>
      </w:r>
      <w:r>
        <w:rPr>
          <w:color w:val="auto"/>
          <w:sz w:val="28"/>
          <w:szCs w:val="28"/>
          <w:highlight w:val="none"/>
        </w:rPr>
        <w:fldChar w:fldCharType="end"/>
      </w:r>
      <w:r>
        <w:rPr>
          <w:color w:val="auto"/>
          <w:sz w:val="28"/>
          <w:szCs w:val="28"/>
          <w:highlight w:val="none"/>
        </w:rPr>
        <w:fldChar w:fldCharType="end"/>
      </w:r>
    </w:p>
    <w:p w14:paraId="658D0D2B">
      <w:pPr>
        <w:pStyle w:val="21"/>
        <w:keepNext w:val="0"/>
        <w:keepLines w:val="0"/>
        <w:pageBreakBefore w:val="0"/>
        <w:tabs>
          <w:tab w:val="right" w:leader="dot" w:pos="8306"/>
        </w:tabs>
        <w:kinsoku/>
        <w:wordWrap/>
        <w:overflowPunct/>
        <w:topLinePunct w:val="0"/>
        <w:autoSpaceDE/>
        <w:autoSpaceDN/>
        <w:bidi w:val="0"/>
        <w:spacing w:beforeAutospacing="0" w:afterAutospacing="0" w:line="360" w:lineRule="auto"/>
        <w:textAlignment w:val="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"_Toc30114" </w:instrText>
      </w:r>
      <w:r>
        <w:rPr>
          <w:color w:val="auto"/>
          <w:sz w:val="28"/>
          <w:szCs w:val="28"/>
          <w:highlight w:val="none"/>
        </w:rPr>
        <w:fldChar w:fldCharType="separate"/>
      </w:r>
      <w:r>
        <w:rPr>
          <w:color w:val="auto"/>
          <w:kern w:val="0"/>
          <w:sz w:val="28"/>
          <w:szCs w:val="28"/>
          <w:highlight w:val="none"/>
        </w:rPr>
        <w:t>二、建设项目工程分析</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_Toc30114 \h </w:instrText>
      </w:r>
      <w:r>
        <w:rPr>
          <w:color w:val="auto"/>
          <w:sz w:val="28"/>
          <w:szCs w:val="28"/>
          <w:highlight w:val="none"/>
        </w:rPr>
        <w:fldChar w:fldCharType="separate"/>
      </w:r>
      <w:r>
        <w:rPr>
          <w:color w:val="auto"/>
          <w:sz w:val="28"/>
          <w:szCs w:val="28"/>
          <w:highlight w:val="none"/>
        </w:rPr>
        <w:t>30</w:t>
      </w:r>
      <w:r>
        <w:rPr>
          <w:color w:val="auto"/>
          <w:sz w:val="28"/>
          <w:szCs w:val="28"/>
          <w:highlight w:val="none"/>
        </w:rPr>
        <w:fldChar w:fldCharType="end"/>
      </w:r>
      <w:r>
        <w:rPr>
          <w:color w:val="auto"/>
          <w:sz w:val="28"/>
          <w:szCs w:val="28"/>
          <w:highlight w:val="none"/>
        </w:rPr>
        <w:fldChar w:fldCharType="end"/>
      </w:r>
    </w:p>
    <w:p w14:paraId="56FAF61C">
      <w:pPr>
        <w:pStyle w:val="21"/>
        <w:keepNext w:val="0"/>
        <w:keepLines w:val="0"/>
        <w:pageBreakBefore w:val="0"/>
        <w:tabs>
          <w:tab w:val="right" w:leader="dot" w:pos="8306"/>
        </w:tabs>
        <w:kinsoku/>
        <w:wordWrap/>
        <w:overflowPunct/>
        <w:topLinePunct w:val="0"/>
        <w:autoSpaceDE/>
        <w:autoSpaceDN/>
        <w:bidi w:val="0"/>
        <w:spacing w:beforeAutospacing="0" w:afterAutospacing="0" w:line="360" w:lineRule="auto"/>
        <w:textAlignment w:val="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"_Toc16299" </w:instrText>
      </w:r>
      <w:r>
        <w:rPr>
          <w:color w:val="auto"/>
          <w:sz w:val="28"/>
          <w:szCs w:val="28"/>
          <w:highlight w:val="none"/>
        </w:rPr>
        <w:fldChar w:fldCharType="separate"/>
      </w:r>
      <w:r>
        <w:rPr>
          <w:color w:val="auto"/>
          <w:kern w:val="0"/>
          <w:sz w:val="28"/>
          <w:szCs w:val="28"/>
          <w:highlight w:val="none"/>
        </w:rPr>
        <w:t>三、区域环境质量现状、环境保护目标及评价标准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_Toc16299 \h </w:instrText>
      </w:r>
      <w:r>
        <w:rPr>
          <w:color w:val="auto"/>
          <w:sz w:val="28"/>
          <w:szCs w:val="28"/>
          <w:highlight w:val="none"/>
        </w:rPr>
        <w:fldChar w:fldCharType="separate"/>
      </w:r>
      <w:r>
        <w:rPr>
          <w:color w:val="auto"/>
          <w:sz w:val="28"/>
          <w:szCs w:val="28"/>
          <w:highlight w:val="none"/>
        </w:rPr>
        <w:t>78</w:t>
      </w:r>
      <w:r>
        <w:rPr>
          <w:color w:val="auto"/>
          <w:sz w:val="28"/>
          <w:szCs w:val="28"/>
          <w:highlight w:val="none"/>
        </w:rPr>
        <w:fldChar w:fldCharType="end"/>
      </w:r>
      <w:r>
        <w:rPr>
          <w:color w:val="auto"/>
          <w:sz w:val="28"/>
          <w:szCs w:val="28"/>
          <w:highlight w:val="none"/>
        </w:rPr>
        <w:fldChar w:fldCharType="end"/>
      </w:r>
    </w:p>
    <w:p w14:paraId="28658209">
      <w:pPr>
        <w:pStyle w:val="21"/>
        <w:keepNext w:val="0"/>
        <w:keepLines w:val="0"/>
        <w:pageBreakBefore w:val="0"/>
        <w:tabs>
          <w:tab w:val="right" w:leader="dot" w:pos="8306"/>
        </w:tabs>
        <w:kinsoku/>
        <w:wordWrap/>
        <w:overflowPunct/>
        <w:topLinePunct w:val="0"/>
        <w:autoSpaceDE/>
        <w:autoSpaceDN/>
        <w:bidi w:val="0"/>
        <w:spacing w:beforeAutospacing="0" w:afterAutospacing="0" w:line="360" w:lineRule="auto"/>
        <w:textAlignment w:val="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"_Toc4528" </w:instrText>
      </w:r>
      <w:r>
        <w:rPr>
          <w:color w:val="auto"/>
          <w:sz w:val="28"/>
          <w:szCs w:val="28"/>
          <w:highlight w:val="none"/>
        </w:rPr>
        <w:fldChar w:fldCharType="separate"/>
      </w:r>
      <w:r>
        <w:rPr>
          <w:color w:val="auto"/>
          <w:kern w:val="0"/>
          <w:sz w:val="28"/>
          <w:szCs w:val="28"/>
          <w:highlight w:val="none"/>
        </w:rPr>
        <w:t>四、主要环境影响和保护措施</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_Toc4528 \h </w:instrText>
      </w:r>
      <w:r>
        <w:rPr>
          <w:color w:val="auto"/>
          <w:sz w:val="28"/>
          <w:szCs w:val="28"/>
          <w:highlight w:val="none"/>
        </w:rPr>
        <w:fldChar w:fldCharType="separate"/>
      </w:r>
      <w:r>
        <w:rPr>
          <w:color w:val="auto"/>
          <w:sz w:val="28"/>
          <w:szCs w:val="28"/>
          <w:highlight w:val="none"/>
        </w:rPr>
        <w:t>91</w:t>
      </w:r>
      <w:r>
        <w:rPr>
          <w:color w:val="auto"/>
          <w:sz w:val="28"/>
          <w:szCs w:val="28"/>
          <w:highlight w:val="none"/>
        </w:rPr>
        <w:fldChar w:fldCharType="end"/>
      </w:r>
      <w:r>
        <w:rPr>
          <w:color w:val="auto"/>
          <w:sz w:val="28"/>
          <w:szCs w:val="28"/>
          <w:highlight w:val="none"/>
        </w:rPr>
        <w:fldChar w:fldCharType="end"/>
      </w:r>
    </w:p>
    <w:p w14:paraId="3ECDB68D">
      <w:pPr>
        <w:pStyle w:val="21"/>
        <w:keepNext w:val="0"/>
        <w:keepLines w:val="0"/>
        <w:pageBreakBefore w:val="0"/>
        <w:tabs>
          <w:tab w:val="right" w:leader="dot" w:pos="8306"/>
        </w:tabs>
        <w:kinsoku/>
        <w:wordWrap/>
        <w:overflowPunct/>
        <w:topLinePunct w:val="0"/>
        <w:autoSpaceDE/>
        <w:autoSpaceDN/>
        <w:bidi w:val="0"/>
        <w:spacing w:beforeAutospacing="0" w:afterAutospacing="0" w:line="360" w:lineRule="auto"/>
        <w:textAlignment w:val="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"_Toc10227" </w:instrText>
      </w:r>
      <w:r>
        <w:rPr>
          <w:color w:val="auto"/>
          <w:sz w:val="28"/>
          <w:szCs w:val="28"/>
          <w:highlight w:val="none"/>
        </w:rPr>
        <w:fldChar w:fldCharType="separate"/>
      </w:r>
      <w:r>
        <w:rPr>
          <w:color w:val="auto"/>
          <w:kern w:val="0"/>
          <w:sz w:val="28"/>
          <w:szCs w:val="28"/>
          <w:highlight w:val="none"/>
        </w:rPr>
        <w:t>五、环境保护措施监督检查清单</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_Toc10227 \h </w:instrText>
      </w:r>
      <w:r>
        <w:rPr>
          <w:color w:val="auto"/>
          <w:sz w:val="28"/>
          <w:szCs w:val="28"/>
          <w:highlight w:val="none"/>
        </w:rPr>
        <w:fldChar w:fldCharType="separate"/>
      </w:r>
      <w:r>
        <w:rPr>
          <w:color w:val="auto"/>
          <w:sz w:val="28"/>
          <w:szCs w:val="28"/>
          <w:highlight w:val="none"/>
        </w:rPr>
        <w:t>147</w:t>
      </w:r>
      <w:r>
        <w:rPr>
          <w:color w:val="auto"/>
          <w:sz w:val="28"/>
          <w:szCs w:val="28"/>
          <w:highlight w:val="none"/>
        </w:rPr>
        <w:fldChar w:fldCharType="end"/>
      </w:r>
      <w:r>
        <w:rPr>
          <w:color w:val="auto"/>
          <w:sz w:val="28"/>
          <w:szCs w:val="28"/>
          <w:highlight w:val="none"/>
        </w:rPr>
        <w:fldChar w:fldCharType="end"/>
      </w:r>
    </w:p>
    <w:p w14:paraId="7F6BDAB2">
      <w:pPr>
        <w:pStyle w:val="21"/>
        <w:keepNext w:val="0"/>
        <w:keepLines w:val="0"/>
        <w:pageBreakBefore w:val="0"/>
        <w:tabs>
          <w:tab w:val="right" w:leader="dot" w:pos="8306"/>
        </w:tabs>
        <w:kinsoku/>
        <w:wordWrap/>
        <w:overflowPunct/>
        <w:topLinePunct w:val="0"/>
        <w:autoSpaceDE/>
        <w:autoSpaceDN/>
        <w:bidi w:val="0"/>
        <w:spacing w:beforeAutospacing="0" w:afterAutospacing="0" w:line="360" w:lineRule="auto"/>
        <w:textAlignment w:val="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"_Toc10790" </w:instrText>
      </w:r>
      <w:r>
        <w:rPr>
          <w:color w:val="auto"/>
          <w:sz w:val="28"/>
          <w:szCs w:val="28"/>
          <w:highlight w:val="none"/>
        </w:rPr>
        <w:fldChar w:fldCharType="separate"/>
      </w:r>
      <w:r>
        <w:rPr>
          <w:color w:val="auto"/>
          <w:kern w:val="0"/>
          <w:sz w:val="28"/>
          <w:szCs w:val="28"/>
          <w:highlight w:val="none"/>
        </w:rPr>
        <w:t>六、结论</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_Toc10790 \h </w:instrText>
      </w:r>
      <w:r>
        <w:rPr>
          <w:color w:val="auto"/>
          <w:sz w:val="28"/>
          <w:szCs w:val="28"/>
          <w:highlight w:val="none"/>
        </w:rPr>
        <w:fldChar w:fldCharType="separate"/>
      </w:r>
      <w:r>
        <w:rPr>
          <w:color w:val="auto"/>
          <w:sz w:val="28"/>
          <w:szCs w:val="28"/>
          <w:highlight w:val="none"/>
        </w:rPr>
        <w:t>153</w:t>
      </w:r>
      <w:r>
        <w:rPr>
          <w:color w:val="auto"/>
          <w:sz w:val="28"/>
          <w:szCs w:val="28"/>
          <w:highlight w:val="none"/>
        </w:rPr>
        <w:fldChar w:fldCharType="end"/>
      </w:r>
      <w:r>
        <w:rPr>
          <w:color w:val="auto"/>
          <w:sz w:val="28"/>
          <w:szCs w:val="28"/>
          <w:highlight w:val="none"/>
        </w:rPr>
        <w:fldChar w:fldCharType="end"/>
      </w:r>
    </w:p>
    <w:p w14:paraId="27698472">
      <w:pPr>
        <w:keepNext w:val="0"/>
        <w:keepLines w:val="0"/>
        <w:pageBreakBefore w:val="0"/>
        <w:kinsoku/>
        <w:wordWrap/>
        <w:overflowPunct/>
        <w:topLinePunct w:val="0"/>
        <w:autoSpaceDE/>
        <w:autoSpaceDN/>
        <w:bidi w:val="0"/>
        <w:spacing w:beforeAutospacing="0" w:afterAutospacing="0" w:line="360" w:lineRule="auto"/>
        <w:jc w:val="left"/>
        <w:textAlignment w:val="auto"/>
        <w:outlineLvl w:val="0"/>
        <w:rPr>
          <w:b/>
          <w:bCs/>
          <w:color w:val="auto"/>
          <w:sz w:val="24"/>
          <w:szCs w:val="24"/>
          <w:highlight w:val="none"/>
        </w:rPr>
      </w:pPr>
      <w:r>
        <w:rPr>
          <w:rFonts w:hint="eastAsia"/>
          <w:b/>
          <w:bCs/>
          <w:color w:val="auto"/>
          <w:sz w:val="24"/>
          <w:szCs w:val="24"/>
          <w:highlight w:val="none"/>
        </w:rPr>
        <w:t>==附</w:t>
      </w:r>
      <w:r>
        <w:rPr>
          <w:rFonts w:hint="eastAsia"/>
          <w:b/>
          <w:bCs/>
          <w:color w:val="auto"/>
          <w:sz w:val="24"/>
          <w:szCs w:val="24"/>
          <w:highlight w:val="none"/>
          <w:lang w:val="en-US" w:eastAsia="zh-CN"/>
        </w:rPr>
        <w:t>表</w:t>
      </w:r>
      <w:r>
        <w:rPr>
          <w:rFonts w:hint="eastAsia"/>
          <w:b/>
          <w:bCs/>
          <w:color w:val="auto"/>
          <w:sz w:val="24"/>
          <w:szCs w:val="24"/>
          <w:highlight w:val="none"/>
        </w:rPr>
        <w:t>==</w:t>
      </w:r>
    </w:p>
    <w:p w14:paraId="3563F91E">
      <w:pPr>
        <w:pStyle w:val="21"/>
        <w:keepNext w:val="0"/>
        <w:keepLines w:val="0"/>
        <w:pageBreakBefore w:val="0"/>
        <w:tabs>
          <w:tab w:val="right" w:leader="dot" w:pos="8306"/>
        </w:tabs>
        <w:kinsoku/>
        <w:wordWrap/>
        <w:overflowPunct/>
        <w:topLinePunct w:val="0"/>
        <w:autoSpaceDE/>
        <w:autoSpaceDN/>
        <w:bidi w:val="0"/>
        <w:spacing w:beforeAutospacing="0" w:afterAutospacing="0" w:line="360" w:lineRule="auto"/>
        <w:ind w:firstLine="480" w:firstLineChars="200"/>
        <w:textAlignment w:val="auto"/>
        <w:rPr>
          <w:color w:val="auto"/>
          <w:sz w:val="24"/>
          <w:szCs w:val="24"/>
          <w:highlight w:val="none"/>
        </w:rPr>
      </w:pPr>
      <w:r>
        <w:rPr>
          <w:color w:val="auto"/>
          <w:sz w:val="24"/>
          <w:szCs w:val="24"/>
          <w:highlight w:val="none"/>
        </w:rPr>
        <w:fldChar w:fldCharType="begin"/>
      </w:r>
      <w:r>
        <w:rPr>
          <w:color w:val="auto"/>
          <w:sz w:val="24"/>
          <w:szCs w:val="24"/>
          <w:highlight w:val="none"/>
        </w:rPr>
        <w:instrText xml:space="preserve"> HYPERLINK \l "_Toc22220" </w:instrText>
      </w:r>
      <w:r>
        <w:rPr>
          <w:color w:val="auto"/>
          <w:sz w:val="24"/>
          <w:szCs w:val="24"/>
          <w:highlight w:val="none"/>
        </w:rPr>
        <w:fldChar w:fldCharType="separate"/>
      </w:r>
      <w:r>
        <w:rPr>
          <w:color w:val="auto"/>
          <w:kern w:val="0"/>
          <w:sz w:val="24"/>
          <w:szCs w:val="24"/>
          <w:highlight w:val="none"/>
        </w:rPr>
        <w:t>建设项目污染物排放量汇总表</w:t>
      </w:r>
      <w:r>
        <w:rPr>
          <w:color w:val="auto"/>
          <w:sz w:val="24"/>
          <w:szCs w:val="24"/>
          <w:highlight w:val="none"/>
        </w:rPr>
        <w:fldChar w:fldCharType="end"/>
      </w:r>
    </w:p>
    <w:p w14:paraId="51F69354">
      <w:pPr>
        <w:keepNext w:val="0"/>
        <w:keepLines w:val="0"/>
        <w:pageBreakBefore w:val="0"/>
        <w:kinsoku/>
        <w:wordWrap/>
        <w:overflowPunct/>
        <w:topLinePunct w:val="0"/>
        <w:autoSpaceDE/>
        <w:autoSpaceDN/>
        <w:bidi w:val="0"/>
        <w:spacing w:beforeAutospacing="0" w:afterAutospacing="0" w:line="360" w:lineRule="auto"/>
        <w:jc w:val="left"/>
        <w:textAlignment w:val="auto"/>
        <w:outlineLvl w:val="0"/>
        <w:rPr>
          <w:b/>
          <w:bCs/>
          <w:color w:val="auto"/>
          <w:sz w:val="24"/>
          <w:highlight w:val="none"/>
        </w:rPr>
      </w:pPr>
      <w:r>
        <w:rPr>
          <w:color w:val="auto"/>
          <w:kern w:val="0"/>
          <w:sz w:val="24"/>
          <w:highlight w:val="none"/>
        </w:rPr>
        <w:fldChar w:fldCharType="end"/>
      </w:r>
      <w:r>
        <w:rPr>
          <w:rFonts w:hint="eastAsia"/>
          <w:b/>
          <w:bCs/>
          <w:color w:val="auto"/>
          <w:sz w:val="24"/>
          <w:highlight w:val="none"/>
        </w:rPr>
        <w:t>==附件==</w:t>
      </w:r>
    </w:p>
    <w:p w14:paraId="037B50C8">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附件1：委托书</w:t>
      </w:r>
      <w:r>
        <w:rPr>
          <w:rFonts w:hint="eastAsia"/>
          <w:color w:val="auto"/>
          <w:sz w:val="24"/>
          <w:highlight w:val="none"/>
          <w:lang w:eastAsia="zh-CN"/>
        </w:rPr>
        <w:t>；</w:t>
      </w:r>
    </w:p>
    <w:p w14:paraId="59E3E626">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附件2：建设单位营业执照</w:t>
      </w:r>
      <w:r>
        <w:rPr>
          <w:rFonts w:hint="eastAsia"/>
          <w:color w:val="auto"/>
          <w:sz w:val="24"/>
          <w:highlight w:val="none"/>
          <w:lang w:eastAsia="zh-CN"/>
        </w:rPr>
        <w:t>；</w:t>
      </w:r>
    </w:p>
    <w:p w14:paraId="5679E8E5">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附件3：投资备案证</w:t>
      </w:r>
      <w:r>
        <w:rPr>
          <w:rFonts w:hint="eastAsia"/>
          <w:color w:val="auto"/>
          <w:sz w:val="24"/>
          <w:highlight w:val="none"/>
          <w:lang w:eastAsia="zh-CN"/>
        </w:rPr>
        <w:t>；</w:t>
      </w:r>
    </w:p>
    <w:p w14:paraId="47ABC2B1">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附件4：用地性质证明文件、土地租赁合同</w:t>
      </w:r>
      <w:r>
        <w:rPr>
          <w:rFonts w:hint="eastAsia"/>
          <w:color w:val="auto"/>
          <w:sz w:val="24"/>
          <w:highlight w:val="none"/>
          <w:lang w:eastAsia="zh-CN"/>
        </w:rPr>
        <w:t>；</w:t>
      </w:r>
    </w:p>
    <w:p w14:paraId="4B32730B">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附件5：环评合同</w:t>
      </w:r>
      <w:r>
        <w:rPr>
          <w:rFonts w:hint="eastAsia"/>
          <w:color w:val="auto"/>
          <w:sz w:val="24"/>
          <w:highlight w:val="none"/>
          <w:lang w:eastAsia="zh-CN"/>
        </w:rPr>
        <w:t>；</w:t>
      </w:r>
    </w:p>
    <w:p w14:paraId="42CDC1F5">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附件6：自然资源所三区三线查询及用地证明</w:t>
      </w:r>
      <w:r>
        <w:rPr>
          <w:rFonts w:hint="eastAsia"/>
          <w:color w:val="auto"/>
          <w:sz w:val="24"/>
          <w:highlight w:val="none"/>
          <w:lang w:eastAsia="zh-CN"/>
        </w:rPr>
        <w:t>；</w:t>
      </w:r>
    </w:p>
    <w:p w14:paraId="2C8E9F16">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附件7：云南錦创环境科技有限公司果蔬废弃物处理项目（重新报批）环评手续&lt;批复、验收意见、排污许可&gt;</w:t>
      </w:r>
      <w:r>
        <w:rPr>
          <w:rFonts w:hint="eastAsia"/>
          <w:color w:val="auto"/>
          <w:sz w:val="24"/>
          <w:highlight w:val="none"/>
          <w:lang w:eastAsia="zh-CN"/>
        </w:rPr>
        <w:t>；</w:t>
      </w:r>
    </w:p>
    <w:p w14:paraId="28302E67">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附件8：声环境现状引用监测报告</w:t>
      </w:r>
      <w:r>
        <w:rPr>
          <w:rFonts w:hint="eastAsia"/>
          <w:color w:val="auto"/>
          <w:sz w:val="24"/>
          <w:highlight w:val="none"/>
          <w:lang w:eastAsia="zh-CN"/>
        </w:rPr>
        <w:t>；</w:t>
      </w:r>
    </w:p>
    <w:p w14:paraId="4D749B39">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附件9：地下水、土壤环境</w:t>
      </w:r>
      <w:r>
        <w:rPr>
          <w:rFonts w:hint="eastAsia"/>
          <w:color w:val="auto"/>
          <w:sz w:val="24"/>
          <w:highlight w:val="none"/>
          <w:lang w:val="en-US" w:eastAsia="zh-CN"/>
        </w:rPr>
        <w:t>补充</w:t>
      </w:r>
      <w:r>
        <w:rPr>
          <w:rFonts w:hint="eastAsia"/>
          <w:color w:val="auto"/>
          <w:sz w:val="24"/>
          <w:highlight w:val="none"/>
        </w:rPr>
        <w:t>监测报告</w:t>
      </w:r>
      <w:r>
        <w:rPr>
          <w:rFonts w:hint="eastAsia"/>
          <w:color w:val="auto"/>
          <w:sz w:val="24"/>
          <w:highlight w:val="none"/>
          <w:lang w:eastAsia="zh-CN"/>
        </w:rPr>
        <w:t>；</w:t>
      </w:r>
    </w:p>
    <w:p w14:paraId="38B2B6D9">
      <w:pPr>
        <w:pStyle w:val="25"/>
        <w:keepNext w:val="0"/>
        <w:keepLines w:val="0"/>
        <w:pageBreakBefore w:val="0"/>
        <w:kinsoku/>
        <w:wordWrap/>
        <w:overflowPunct/>
        <w:topLinePunct w:val="0"/>
        <w:autoSpaceDE/>
        <w:autoSpaceDN/>
        <w:bidi w:val="0"/>
        <w:spacing w:beforeAutospacing="0" w:after="0" w:afterAutospacing="0" w:line="440" w:lineRule="exact"/>
        <w:ind w:left="0" w:leftChars="0" w:firstLine="480" w:firstLineChars="200"/>
        <w:textAlignment w:val="auto"/>
        <w:rPr>
          <w:rFonts w:hint="eastAsia" w:eastAsia="宋体"/>
          <w:color w:val="auto"/>
          <w:sz w:val="24"/>
          <w:highlight w:val="none"/>
          <w:lang w:eastAsia="zh-CN"/>
        </w:rPr>
      </w:pPr>
      <w:r>
        <w:rPr>
          <w:rFonts w:hint="eastAsia"/>
          <w:color w:val="auto"/>
          <w:sz w:val="24"/>
          <w:highlight w:val="none"/>
        </w:rPr>
        <w:t>附件10：中佰检字[2025]-11391云南錦创环境科技有限公司改扩建环境现状监测</w:t>
      </w:r>
      <w:r>
        <w:rPr>
          <w:rFonts w:hint="eastAsia"/>
          <w:color w:val="auto"/>
          <w:sz w:val="24"/>
          <w:highlight w:val="none"/>
          <w:lang w:eastAsia="zh-CN"/>
        </w:rPr>
        <w:t>；</w:t>
      </w:r>
    </w:p>
    <w:p w14:paraId="5538E3A2">
      <w:pPr>
        <w:pStyle w:val="25"/>
        <w:keepNext w:val="0"/>
        <w:keepLines w:val="0"/>
        <w:pageBreakBefore w:val="0"/>
        <w:kinsoku/>
        <w:wordWrap/>
        <w:overflowPunct/>
        <w:topLinePunct w:val="0"/>
        <w:autoSpaceDE/>
        <w:autoSpaceDN/>
        <w:bidi w:val="0"/>
        <w:spacing w:beforeAutospacing="0" w:after="0" w:afterAutospacing="0" w:line="440" w:lineRule="exact"/>
        <w:ind w:left="0" w:leftChars="0" w:firstLine="480" w:firstLineChars="200"/>
        <w:textAlignment w:val="auto"/>
        <w:rPr>
          <w:rFonts w:hint="eastAsia" w:eastAsia="宋体"/>
          <w:color w:val="auto"/>
          <w:sz w:val="24"/>
          <w:highlight w:val="none"/>
          <w:lang w:eastAsia="zh-CN"/>
        </w:rPr>
      </w:pPr>
      <w:r>
        <w:rPr>
          <w:rFonts w:hint="eastAsia"/>
          <w:color w:val="auto"/>
          <w:sz w:val="24"/>
          <w:highlight w:val="none"/>
        </w:rPr>
        <w:t>附件11：氨、硫化氢大气环境现状监测华晨检字【2026】040301号</w:t>
      </w:r>
      <w:r>
        <w:rPr>
          <w:rFonts w:hint="eastAsia"/>
          <w:color w:val="auto"/>
          <w:sz w:val="24"/>
          <w:highlight w:val="none"/>
          <w:lang w:eastAsia="zh-CN"/>
        </w:rPr>
        <w:t>；</w:t>
      </w:r>
    </w:p>
    <w:p w14:paraId="6188074D">
      <w:pPr>
        <w:pStyle w:val="25"/>
        <w:keepNext w:val="0"/>
        <w:keepLines w:val="0"/>
        <w:pageBreakBefore w:val="0"/>
        <w:kinsoku/>
        <w:wordWrap/>
        <w:overflowPunct/>
        <w:topLinePunct w:val="0"/>
        <w:autoSpaceDE/>
        <w:autoSpaceDN/>
        <w:bidi w:val="0"/>
        <w:spacing w:beforeAutospacing="0" w:after="0" w:afterAutospacing="0" w:line="440" w:lineRule="exact"/>
        <w:ind w:left="0" w:leftChars="0" w:firstLine="480" w:firstLineChars="200"/>
        <w:textAlignment w:val="auto"/>
        <w:rPr>
          <w:rFonts w:hint="eastAsia" w:eastAsia="宋体"/>
          <w:color w:val="auto"/>
          <w:sz w:val="24"/>
          <w:highlight w:val="none"/>
          <w:lang w:eastAsia="zh-CN"/>
        </w:rPr>
      </w:pPr>
      <w:r>
        <w:rPr>
          <w:rFonts w:hint="eastAsia"/>
          <w:color w:val="auto"/>
          <w:sz w:val="24"/>
          <w:highlight w:val="none"/>
        </w:rPr>
        <w:t>附件12：环评公众参与调查表</w:t>
      </w:r>
      <w:r>
        <w:rPr>
          <w:rFonts w:hint="eastAsia"/>
          <w:color w:val="auto"/>
          <w:sz w:val="24"/>
          <w:highlight w:val="none"/>
          <w:lang w:eastAsia="zh-CN"/>
        </w:rPr>
        <w:t>；</w:t>
      </w:r>
    </w:p>
    <w:p w14:paraId="0B279A5A">
      <w:pPr>
        <w:pStyle w:val="24"/>
        <w:keepNext w:val="0"/>
        <w:keepLines w:val="0"/>
        <w:pageBreakBefore w:val="0"/>
        <w:kinsoku/>
        <w:wordWrap/>
        <w:overflowPunct/>
        <w:topLinePunct w:val="0"/>
        <w:autoSpaceDE/>
        <w:autoSpaceDN/>
        <w:bidi w:val="0"/>
        <w:spacing w:before="0" w:beforeAutospacing="0" w:after="0" w:afterAutospacing="0" w:line="440" w:lineRule="exact"/>
        <w:ind w:firstLine="480" w:firstLineChars="200"/>
        <w:textAlignment w:val="auto"/>
        <w:rPr>
          <w:rFonts w:hint="eastAsia"/>
          <w:color w:val="auto"/>
          <w:highlight w:val="none"/>
          <w:lang w:eastAsia="zh-CN"/>
        </w:rPr>
      </w:pPr>
      <w:r>
        <w:rPr>
          <w:rFonts w:hint="eastAsia"/>
          <w:color w:val="auto"/>
          <w:sz w:val="24"/>
          <w:highlight w:val="none"/>
        </w:rPr>
        <w:t>附件13：危废处置合同；污泥处置合同</w:t>
      </w:r>
      <w:r>
        <w:rPr>
          <w:rFonts w:hint="eastAsia"/>
          <w:color w:val="auto"/>
          <w:highlight w:val="none"/>
          <w:lang w:eastAsia="zh-CN"/>
        </w:rPr>
        <w:t>；</w:t>
      </w:r>
    </w:p>
    <w:p w14:paraId="23F67097">
      <w:pPr>
        <w:pStyle w:val="24"/>
        <w:keepNext w:val="0"/>
        <w:keepLines w:val="0"/>
        <w:pageBreakBefore w:val="0"/>
        <w:kinsoku/>
        <w:wordWrap/>
        <w:overflowPunct/>
        <w:topLinePunct w:val="0"/>
        <w:autoSpaceDE/>
        <w:autoSpaceDN/>
        <w:bidi w:val="0"/>
        <w:spacing w:before="0" w:beforeAutospacing="0" w:after="0" w:afterAutospacing="0" w:line="440" w:lineRule="exact"/>
        <w:ind w:firstLine="480" w:firstLineChars="200"/>
        <w:textAlignment w:val="auto"/>
        <w:rPr>
          <w:rFonts w:hint="eastAsia" w:eastAsia="宋体"/>
          <w:color w:val="auto"/>
          <w:sz w:val="24"/>
          <w:highlight w:val="none"/>
          <w:lang w:eastAsia="zh-CN"/>
        </w:rPr>
      </w:pPr>
      <w:r>
        <w:rPr>
          <w:color w:val="auto"/>
          <w:sz w:val="24"/>
          <w:highlight w:val="none"/>
        </w:rPr>
        <w:t>附件1</w:t>
      </w:r>
      <w:r>
        <w:rPr>
          <w:rFonts w:hint="eastAsia"/>
          <w:color w:val="auto"/>
          <w:sz w:val="24"/>
          <w:highlight w:val="none"/>
        </w:rPr>
        <w:t>4：</w:t>
      </w:r>
      <w:r>
        <w:rPr>
          <w:color w:val="auto"/>
          <w:sz w:val="24"/>
          <w:highlight w:val="none"/>
        </w:rPr>
        <w:t>工信局关于项目类型认定情况说明</w:t>
      </w:r>
      <w:r>
        <w:rPr>
          <w:rFonts w:hint="eastAsia"/>
          <w:color w:val="auto"/>
          <w:sz w:val="24"/>
          <w:highlight w:val="none"/>
          <w:lang w:eastAsia="zh-CN"/>
        </w:rPr>
        <w:t>；</w:t>
      </w:r>
    </w:p>
    <w:p w14:paraId="05FED894">
      <w:pPr>
        <w:keepNext w:val="0"/>
        <w:keepLines w:val="0"/>
        <w:pageBreakBefore w:val="0"/>
        <w:kinsoku/>
        <w:wordWrap/>
        <w:overflowPunct/>
        <w:topLinePunct w:val="0"/>
        <w:autoSpaceDE/>
        <w:autoSpaceDN/>
        <w:bidi w:val="0"/>
        <w:spacing w:beforeAutospacing="0" w:afterAutospacing="0" w:line="440" w:lineRule="exact"/>
        <w:ind w:firstLine="480" w:firstLineChars="200"/>
        <w:textAlignment w:val="auto"/>
        <w:rPr>
          <w:rFonts w:hint="eastAsia" w:eastAsia="宋体"/>
          <w:color w:val="auto"/>
          <w:highlight w:val="none"/>
          <w:lang w:eastAsia="zh-CN"/>
        </w:rPr>
      </w:pPr>
      <w:r>
        <w:rPr>
          <w:rFonts w:hint="eastAsia"/>
          <w:color w:val="auto"/>
          <w:sz w:val="24"/>
          <w:highlight w:val="none"/>
        </w:rPr>
        <w:t>附件15：环评工作进度控制表</w:t>
      </w:r>
      <w:r>
        <w:rPr>
          <w:rFonts w:hint="eastAsia"/>
          <w:color w:val="auto"/>
          <w:sz w:val="24"/>
          <w:highlight w:val="none"/>
          <w:lang w:eastAsia="zh-CN"/>
        </w:rPr>
        <w:t>；</w:t>
      </w:r>
    </w:p>
    <w:p w14:paraId="1D5C776E">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附件16：二级内审意见表</w:t>
      </w:r>
      <w:r>
        <w:rPr>
          <w:rFonts w:hint="eastAsia"/>
          <w:color w:val="auto"/>
          <w:sz w:val="24"/>
          <w:highlight w:val="none"/>
          <w:lang w:eastAsia="zh-CN"/>
        </w:rPr>
        <w:t>；</w:t>
      </w:r>
    </w:p>
    <w:p w14:paraId="567A4CE4">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附件17：昆明市评估中心关于报告表的云南錦创环境科技有限公司改扩建报告表修改意见</w:t>
      </w:r>
      <w:r>
        <w:rPr>
          <w:rFonts w:hint="eastAsia"/>
          <w:color w:val="auto"/>
          <w:sz w:val="24"/>
          <w:highlight w:val="none"/>
          <w:lang w:eastAsia="zh-CN"/>
        </w:rPr>
        <w:t>；</w:t>
      </w:r>
    </w:p>
    <w:p w14:paraId="5523A1C2">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color w:val="auto"/>
          <w:sz w:val="24"/>
          <w:highlight w:val="none"/>
          <w:lang w:eastAsia="zh-CN"/>
        </w:rPr>
      </w:pPr>
      <w:r>
        <w:rPr>
          <w:rFonts w:hint="eastAsia"/>
          <w:color w:val="auto"/>
          <w:sz w:val="24"/>
          <w:highlight w:val="none"/>
        </w:rPr>
        <w:t>附件18：修改对照表</w:t>
      </w:r>
      <w:r>
        <w:rPr>
          <w:rFonts w:hint="eastAsia"/>
          <w:color w:val="auto"/>
          <w:sz w:val="24"/>
          <w:highlight w:val="none"/>
          <w:lang w:eastAsia="zh-CN"/>
        </w:rPr>
        <w:t>；</w:t>
      </w:r>
    </w:p>
    <w:p w14:paraId="795B2660">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color w:val="auto"/>
          <w:sz w:val="24"/>
          <w:highlight w:val="none"/>
          <w:lang w:val="en-US" w:eastAsia="zh-CN"/>
        </w:rPr>
      </w:pPr>
      <w:r>
        <w:rPr>
          <w:rFonts w:hint="eastAsia"/>
          <w:color w:val="auto"/>
          <w:sz w:val="24"/>
          <w:highlight w:val="none"/>
          <w:lang w:val="en-US" w:eastAsia="zh-CN"/>
        </w:rPr>
        <w:t>附件19：现有项目行政处罚决定书；</w:t>
      </w:r>
    </w:p>
    <w:p w14:paraId="17C9C65B">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color w:val="auto"/>
          <w:sz w:val="24"/>
          <w:highlight w:val="none"/>
          <w:lang w:val="en-US" w:eastAsia="zh-CN"/>
        </w:rPr>
      </w:pPr>
      <w:r>
        <w:rPr>
          <w:rFonts w:hint="eastAsia"/>
          <w:color w:val="auto"/>
          <w:sz w:val="24"/>
          <w:highlight w:val="none"/>
          <w:lang w:val="en-US" w:eastAsia="zh-CN"/>
        </w:rPr>
        <w:t>附件20：项目个人/团体公众参与调查表；</w:t>
      </w:r>
    </w:p>
    <w:p w14:paraId="5C898588">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color w:val="auto"/>
          <w:sz w:val="24"/>
          <w:highlight w:val="none"/>
          <w:lang w:val="en-US" w:eastAsia="zh-CN"/>
        </w:rPr>
      </w:pPr>
      <w:r>
        <w:rPr>
          <w:rFonts w:hint="eastAsia"/>
          <w:color w:val="auto"/>
          <w:sz w:val="24"/>
          <w:highlight w:val="none"/>
          <w:lang w:val="en-US" w:eastAsia="zh-CN"/>
        </w:rPr>
        <w:t>附件21：项目评审会议纪要；</w:t>
      </w:r>
    </w:p>
    <w:p w14:paraId="793ECD6D">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lang w:val="en-US" w:eastAsia="zh-CN"/>
        </w:rPr>
        <w:t>附件22：项目审核意见修改对照表</w:t>
      </w:r>
      <w:r>
        <w:rPr>
          <w:rFonts w:hint="eastAsia"/>
          <w:color w:val="auto"/>
          <w:sz w:val="24"/>
          <w:highlight w:val="none"/>
          <w:lang w:eastAsia="zh-CN"/>
        </w:rPr>
        <w:t>。</w:t>
      </w:r>
    </w:p>
    <w:p w14:paraId="3D542E54">
      <w:pPr>
        <w:keepNext w:val="0"/>
        <w:keepLines w:val="0"/>
        <w:pageBreakBefore w:val="0"/>
        <w:kinsoku/>
        <w:wordWrap/>
        <w:overflowPunct/>
        <w:topLinePunct w:val="0"/>
        <w:autoSpaceDE/>
        <w:autoSpaceDN/>
        <w:bidi w:val="0"/>
        <w:adjustRightInd w:val="0"/>
        <w:snapToGrid w:val="0"/>
        <w:spacing w:beforeAutospacing="0" w:afterAutospacing="0" w:line="440" w:lineRule="exact"/>
        <w:jc w:val="left"/>
        <w:textAlignment w:val="auto"/>
        <w:rPr>
          <w:b/>
          <w:bCs/>
          <w:color w:val="auto"/>
          <w:sz w:val="24"/>
          <w:highlight w:val="none"/>
        </w:rPr>
      </w:pPr>
      <w:r>
        <w:rPr>
          <w:rFonts w:hint="eastAsia"/>
          <w:b/>
          <w:bCs/>
          <w:color w:val="auto"/>
          <w:sz w:val="24"/>
          <w:highlight w:val="none"/>
        </w:rPr>
        <w:t>==附图==：</w:t>
      </w:r>
    </w:p>
    <w:p w14:paraId="5BBE2CF4">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附图1：地理位置图</w:t>
      </w:r>
      <w:r>
        <w:rPr>
          <w:rFonts w:hint="eastAsia"/>
          <w:color w:val="auto"/>
          <w:sz w:val="24"/>
          <w:highlight w:val="none"/>
          <w:lang w:eastAsia="zh-CN"/>
        </w:rPr>
        <w:t>；</w:t>
      </w:r>
    </w:p>
    <w:p w14:paraId="6A033820">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附图2：周边关系图</w:t>
      </w:r>
      <w:r>
        <w:rPr>
          <w:rFonts w:hint="eastAsia"/>
          <w:color w:val="auto"/>
          <w:sz w:val="24"/>
          <w:highlight w:val="none"/>
          <w:lang w:eastAsia="zh-CN"/>
        </w:rPr>
        <w:t>；</w:t>
      </w:r>
    </w:p>
    <w:p w14:paraId="1AE5FEC1">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附图3：水系图</w:t>
      </w:r>
      <w:r>
        <w:rPr>
          <w:rFonts w:hint="eastAsia"/>
          <w:color w:val="auto"/>
          <w:sz w:val="24"/>
          <w:highlight w:val="none"/>
          <w:lang w:eastAsia="zh-CN"/>
        </w:rPr>
        <w:t>；</w:t>
      </w:r>
    </w:p>
    <w:p w14:paraId="11001E77">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附图4：与牛栏江调水水源区保护分区位置关系图</w:t>
      </w:r>
      <w:r>
        <w:rPr>
          <w:rFonts w:hint="eastAsia"/>
          <w:color w:val="auto"/>
          <w:sz w:val="24"/>
          <w:highlight w:val="none"/>
          <w:lang w:eastAsia="zh-CN"/>
        </w:rPr>
        <w:t>；</w:t>
      </w:r>
    </w:p>
    <w:p w14:paraId="32BAED18">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附图5：固</w:t>
      </w:r>
      <w:r>
        <w:rPr>
          <w:rFonts w:hint="eastAsia"/>
          <w:color w:val="auto"/>
          <w:sz w:val="24"/>
          <w:highlight w:val="none"/>
          <w:lang w:val="en-US" w:eastAsia="zh-CN"/>
        </w:rPr>
        <w:t>体复合微生物肥</w:t>
      </w:r>
      <w:r>
        <w:rPr>
          <w:rFonts w:hint="eastAsia"/>
          <w:color w:val="auto"/>
          <w:sz w:val="24"/>
          <w:highlight w:val="none"/>
        </w:rPr>
        <w:t>车间平面布置与环保设施分布图</w:t>
      </w:r>
      <w:r>
        <w:rPr>
          <w:rFonts w:hint="eastAsia"/>
          <w:color w:val="auto"/>
          <w:sz w:val="24"/>
          <w:highlight w:val="none"/>
          <w:lang w:eastAsia="zh-CN"/>
        </w:rPr>
        <w:t>；</w:t>
      </w:r>
    </w:p>
    <w:p w14:paraId="6B553F91">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附图6：</w:t>
      </w:r>
      <w:r>
        <w:rPr>
          <w:rFonts w:hint="eastAsia"/>
          <w:color w:val="auto"/>
          <w:sz w:val="24"/>
          <w:highlight w:val="none"/>
          <w:lang w:eastAsia="zh-CN"/>
        </w:rPr>
        <w:t>液体复合微生物肥</w:t>
      </w:r>
      <w:r>
        <w:rPr>
          <w:rFonts w:hint="eastAsia"/>
          <w:color w:val="auto"/>
          <w:sz w:val="24"/>
          <w:highlight w:val="none"/>
        </w:rPr>
        <w:t>车间平面布置与环保设施分布图</w:t>
      </w:r>
      <w:r>
        <w:rPr>
          <w:rFonts w:hint="eastAsia"/>
          <w:color w:val="auto"/>
          <w:sz w:val="24"/>
          <w:highlight w:val="none"/>
          <w:lang w:eastAsia="zh-CN"/>
        </w:rPr>
        <w:t>；</w:t>
      </w:r>
    </w:p>
    <w:p w14:paraId="28033814">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附图7：整个厂区平面位置分布图</w:t>
      </w:r>
      <w:r>
        <w:rPr>
          <w:rFonts w:hint="eastAsia"/>
          <w:color w:val="auto"/>
          <w:sz w:val="24"/>
          <w:highlight w:val="none"/>
          <w:lang w:eastAsia="zh-CN"/>
        </w:rPr>
        <w:t>；</w:t>
      </w:r>
    </w:p>
    <w:p w14:paraId="35FA264B">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pPr>
      <w:r>
        <w:rPr>
          <w:rFonts w:hint="eastAsia"/>
          <w:color w:val="auto"/>
          <w:sz w:val="24"/>
          <w:highlight w:val="none"/>
        </w:rPr>
        <w:t>附图8：现状监测点位图</w:t>
      </w:r>
      <w:r>
        <w:rPr>
          <w:rFonts w:hint="eastAsia"/>
          <w:color w:val="auto"/>
          <w:sz w:val="24"/>
          <w:highlight w:val="none"/>
          <w:lang w:eastAsia="zh-CN"/>
        </w:rPr>
        <w:t>；</w:t>
      </w:r>
    </w:p>
    <w:p w14:paraId="4133E7F1">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color w:val="auto"/>
          <w:sz w:val="24"/>
          <w:highlight w:val="none"/>
          <w:lang w:eastAsia="zh-CN"/>
        </w:rPr>
      </w:pPr>
      <w:r>
        <w:rPr>
          <w:rFonts w:hint="eastAsia"/>
          <w:color w:val="auto"/>
          <w:sz w:val="24"/>
          <w:highlight w:val="none"/>
        </w:rPr>
        <w:t>附图9：分区防渗图</w:t>
      </w:r>
      <w:r>
        <w:rPr>
          <w:rFonts w:hint="eastAsia"/>
          <w:color w:val="auto"/>
          <w:sz w:val="24"/>
          <w:highlight w:val="none"/>
          <w:lang w:eastAsia="zh-CN"/>
        </w:rPr>
        <w:t>；</w:t>
      </w:r>
    </w:p>
    <w:p w14:paraId="4FF45D5F">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80" w:firstLineChars="200"/>
        <w:jc w:val="left"/>
        <w:textAlignment w:val="auto"/>
        <w:rPr>
          <w:rFonts w:hint="eastAsia" w:eastAsia="宋体"/>
          <w:color w:val="auto"/>
          <w:sz w:val="24"/>
          <w:highlight w:val="none"/>
          <w:lang w:eastAsia="zh-CN"/>
        </w:rPr>
        <w:sectPr>
          <w:pgSz w:w="11906" w:h="16838"/>
          <w:pgMar w:top="1701" w:right="1417" w:bottom="1417" w:left="1417" w:header="851" w:footer="851" w:gutter="0"/>
          <w:pgBorders>
            <w:top w:val="none" w:sz="0" w:space="0"/>
            <w:left w:val="none" w:sz="0" w:space="0"/>
            <w:bottom w:val="none" w:sz="0" w:space="0"/>
            <w:right w:val="none" w:sz="0" w:space="0"/>
          </w:pgBorders>
          <w:pgNumType w:start="1"/>
          <w:cols w:space="720" w:num="1"/>
          <w:docGrid w:linePitch="312" w:charSpace="0"/>
        </w:sectPr>
      </w:pPr>
      <w:r>
        <w:rPr>
          <w:rFonts w:hint="eastAsia"/>
          <w:color w:val="auto"/>
          <w:sz w:val="24"/>
          <w:highlight w:val="none"/>
          <w:lang w:val="en-US" w:eastAsia="zh-CN"/>
        </w:rPr>
        <w:t>附图10：项目卫生防护距离包络线</w:t>
      </w:r>
      <w:r>
        <w:rPr>
          <w:rFonts w:hint="eastAsia"/>
          <w:color w:val="auto"/>
          <w:sz w:val="24"/>
          <w:highlight w:val="none"/>
          <w:lang w:eastAsia="zh-CN"/>
        </w:rPr>
        <w:t>。</w:t>
      </w:r>
    </w:p>
    <w:p w14:paraId="0FE73E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0" w:firstLineChars="0"/>
        <w:jc w:val="center"/>
        <w:textAlignment w:val="auto"/>
        <w:outlineLvl w:val="0"/>
        <w:rPr>
          <w:rFonts w:hint="default" w:ascii="Times New Roman" w:hAnsi="Times New Roman" w:cs="Times New Roman" w:eastAsiaTheme="minorEastAsia"/>
          <w:b/>
          <w:bCs/>
          <w:color w:val="auto"/>
          <w:kern w:val="0"/>
          <w:sz w:val="30"/>
          <w:szCs w:val="30"/>
          <w:highlight w:val="none"/>
        </w:rPr>
      </w:pPr>
      <w:r>
        <w:rPr>
          <w:rFonts w:hint="default" w:ascii="Times New Roman" w:hAnsi="Times New Roman" w:cs="Times New Roman" w:eastAsiaTheme="minorEastAsia"/>
          <w:b/>
          <w:bCs/>
          <w:color w:val="auto"/>
          <w:kern w:val="0"/>
          <w:sz w:val="30"/>
          <w:szCs w:val="30"/>
          <w:highlight w:val="none"/>
        </w:rPr>
        <w:t>前言</w:t>
      </w:r>
    </w:p>
    <w:p w14:paraId="07F7A17C">
      <w:pPr>
        <w:keepNext w:val="0"/>
        <w:keepLines w:val="0"/>
        <w:pageBreakBefore w:val="0"/>
        <w:widowControl w:val="0"/>
        <w:tabs>
          <w:tab w:val="left" w:pos="2395"/>
        </w:tabs>
        <w:kinsoku/>
        <w:wordWrap/>
        <w:overflowPunct/>
        <w:topLinePunct w:val="0"/>
        <w:autoSpaceDE/>
        <w:autoSpaceDN/>
        <w:bidi w:val="0"/>
        <w:adjustRightInd/>
        <w:snapToGrid/>
        <w:spacing w:line="360" w:lineRule="auto"/>
        <w:ind w:firstLine="480" w:firstLineChars="200"/>
        <w:textAlignment w:val="auto"/>
        <w:rPr>
          <w:rFonts w:hint="eastAsia" w:cs="Times New Roman" w:eastAsiaTheme="minorEastAsia"/>
          <w:color w:val="auto"/>
          <w:sz w:val="24"/>
          <w:szCs w:val="22"/>
          <w:highlight w:val="none"/>
          <w:lang w:val="en-US" w:eastAsia="zh-CN"/>
        </w:rPr>
      </w:pPr>
      <w:r>
        <w:rPr>
          <w:rFonts w:hint="eastAsia" w:cs="Times New Roman" w:eastAsiaTheme="minorEastAsia"/>
          <w:color w:val="auto"/>
          <w:sz w:val="24"/>
          <w:szCs w:val="22"/>
          <w:highlight w:val="none"/>
          <w:lang w:val="en-US" w:eastAsia="zh-CN"/>
        </w:rPr>
        <w:t>现有</w:t>
      </w:r>
      <w:r>
        <w:rPr>
          <w:rFonts w:hint="default" w:ascii="Times New Roman" w:hAnsi="Times New Roman" w:cs="Times New Roman" w:eastAsiaTheme="minorEastAsia"/>
          <w:color w:val="auto"/>
          <w:kern w:val="0"/>
          <w:sz w:val="24"/>
          <w:highlight w:val="none"/>
          <w:lang w:bidi="ar"/>
        </w:rPr>
        <w:t>云南錦创环境科技有限公司果蔬废弃物处理项目</w:t>
      </w:r>
      <w:r>
        <w:rPr>
          <w:rFonts w:hint="eastAsia" w:cs="Times New Roman" w:eastAsiaTheme="minorEastAsia"/>
          <w:color w:val="auto"/>
          <w:kern w:val="0"/>
          <w:sz w:val="24"/>
          <w:highlight w:val="none"/>
          <w:lang w:val="en-US" w:eastAsia="zh-CN" w:bidi="ar"/>
        </w:rPr>
        <w:t>由</w:t>
      </w:r>
      <w:r>
        <w:rPr>
          <w:rFonts w:hint="default" w:ascii="Times New Roman" w:hAnsi="Times New Roman" w:cs="Times New Roman" w:eastAsiaTheme="minorEastAsia"/>
          <w:color w:val="auto"/>
          <w:sz w:val="24"/>
          <w:szCs w:val="22"/>
          <w:highlight w:val="none"/>
        </w:rPr>
        <w:t>云南錦创环境科技有限公司（以下简称“建设单位”）</w:t>
      </w:r>
      <w:r>
        <w:rPr>
          <w:rFonts w:hint="default" w:ascii="Times New Roman" w:hAnsi="Times New Roman" w:cs="Times New Roman" w:eastAsiaTheme="minorEastAsia"/>
          <w:color w:val="auto"/>
          <w:kern w:val="0"/>
          <w:sz w:val="24"/>
          <w:highlight w:val="none"/>
          <w:lang w:bidi="ar"/>
        </w:rPr>
        <w:t>投资8185万元</w:t>
      </w:r>
      <w:r>
        <w:rPr>
          <w:rFonts w:hint="default" w:ascii="Times New Roman" w:hAnsi="Times New Roman" w:cs="Times New Roman" w:eastAsiaTheme="minorEastAsia"/>
          <w:color w:val="auto"/>
          <w:sz w:val="24"/>
          <w:szCs w:val="22"/>
          <w:highlight w:val="none"/>
        </w:rPr>
        <w:t>于云南省昆明市寻甸县仁德街道</w:t>
      </w:r>
      <w:r>
        <w:rPr>
          <w:rFonts w:hint="eastAsia" w:cs="Times New Roman" w:eastAsiaTheme="minorEastAsia"/>
          <w:color w:val="auto"/>
          <w:sz w:val="24"/>
          <w:szCs w:val="22"/>
          <w:highlight w:val="none"/>
          <w:lang w:val="en-US" w:eastAsia="zh-CN"/>
        </w:rPr>
        <w:t>建设</w:t>
      </w:r>
      <w:r>
        <w:rPr>
          <w:rFonts w:hint="eastAsia" w:cs="Times New Roman" w:eastAsiaTheme="minorEastAsia"/>
          <w:color w:val="auto"/>
          <w:sz w:val="24"/>
          <w:szCs w:val="22"/>
          <w:highlight w:val="none"/>
          <w:lang w:eastAsia="zh-CN"/>
        </w:rPr>
        <w:t>，</w:t>
      </w:r>
      <w:r>
        <w:rPr>
          <w:rFonts w:hint="eastAsia" w:cs="Times New Roman" w:eastAsiaTheme="minorEastAsia"/>
          <w:color w:val="auto"/>
          <w:sz w:val="24"/>
          <w:szCs w:val="22"/>
          <w:highlight w:val="none"/>
          <w:lang w:val="en-US" w:eastAsia="zh-CN"/>
        </w:rPr>
        <w:t>根据调查，现有云南錦创环境科技有限公司果蔬废弃物处理项目现状占地16667m</w:t>
      </w:r>
      <w:r>
        <w:rPr>
          <w:rFonts w:hint="eastAsia" w:cs="Times New Roman" w:eastAsiaTheme="minorEastAsia"/>
          <w:color w:val="auto"/>
          <w:sz w:val="24"/>
          <w:szCs w:val="22"/>
          <w:highlight w:val="none"/>
          <w:vertAlign w:val="superscript"/>
          <w:lang w:val="en-US" w:eastAsia="zh-CN"/>
        </w:rPr>
        <w:t>2</w:t>
      </w:r>
      <w:r>
        <w:rPr>
          <w:rFonts w:hint="eastAsia" w:cs="Times New Roman" w:eastAsiaTheme="minorEastAsia"/>
          <w:color w:val="auto"/>
          <w:sz w:val="24"/>
          <w:szCs w:val="22"/>
          <w:highlight w:val="none"/>
          <w:vertAlign w:val="baseline"/>
          <w:lang w:val="en-US" w:eastAsia="zh-CN"/>
        </w:rPr>
        <w:t>，采取</w:t>
      </w:r>
      <w:r>
        <w:rPr>
          <w:rFonts w:hint="eastAsia" w:cs="Times New Roman" w:eastAsiaTheme="minorEastAsia"/>
          <w:color w:val="auto"/>
          <w:sz w:val="24"/>
          <w:szCs w:val="22"/>
          <w:highlight w:val="none"/>
          <w:lang w:val="en-US" w:eastAsia="zh-CN"/>
        </w:rPr>
        <w:t>“果蔬废弃物粉碎压榨脱水和果蔬渣烘干粉碎”工艺日处理果蔬废弃物1000吨，年生产蔬菜干饲料3.1万吨；主要建设3栋生产厂房(包括破碎压榨脱水车间、一级烘干车间、二级烘干粉碎车间)、1栋业务用房、1栋办公大楼，同时配套建设公辅工程和环保工程。</w:t>
      </w:r>
    </w:p>
    <w:p w14:paraId="09BEC6E6">
      <w:pPr>
        <w:keepNext w:val="0"/>
        <w:keepLines w:val="0"/>
        <w:pageBreakBefore w:val="0"/>
        <w:widowControl w:val="0"/>
        <w:tabs>
          <w:tab w:val="left" w:pos="2395"/>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highlight w:val="none"/>
        </w:rPr>
      </w:pPr>
      <w:r>
        <w:rPr>
          <w:rFonts w:hint="eastAsia" w:cs="Times New Roman" w:eastAsiaTheme="minorEastAsia"/>
          <w:color w:val="auto"/>
          <w:sz w:val="24"/>
          <w:szCs w:val="22"/>
          <w:highlight w:val="none"/>
          <w:lang w:val="en-US" w:eastAsia="zh-CN"/>
        </w:rPr>
        <w:t>现有</w:t>
      </w:r>
      <w:r>
        <w:rPr>
          <w:rFonts w:hint="default" w:ascii="Times New Roman" w:hAnsi="Times New Roman" w:cs="Times New Roman" w:eastAsiaTheme="minorEastAsia"/>
          <w:color w:val="auto"/>
          <w:sz w:val="24"/>
          <w:szCs w:val="22"/>
          <w:highlight w:val="none"/>
        </w:rPr>
        <w:t>云南錦创环境科技有限公司果蔬废弃物处理项目于2022年5月10日取得昆明市生态环境局寻甸分局</w:t>
      </w:r>
      <w:r>
        <w:rPr>
          <w:rFonts w:hint="eastAsia" w:cs="Times New Roman" w:eastAsiaTheme="minorEastAsia"/>
          <w:color w:val="auto"/>
          <w:sz w:val="24"/>
          <w:szCs w:val="22"/>
          <w:highlight w:val="none"/>
          <w:lang w:val="en-US" w:eastAsia="zh-CN"/>
        </w:rPr>
        <w:t>对</w:t>
      </w:r>
      <w:r>
        <w:rPr>
          <w:rFonts w:hint="default" w:ascii="Times New Roman" w:hAnsi="Times New Roman" w:cs="Times New Roman" w:eastAsiaTheme="minorEastAsia"/>
          <w:color w:val="auto"/>
          <w:sz w:val="24"/>
          <w:szCs w:val="22"/>
          <w:highlight w:val="none"/>
        </w:rPr>
        <w:t>《</w:t>
      </w:r>
      <w:r>
        <w:rPr>
          <w:rFonts w:hint="default" w:ascii="Times New Roman" w:hAnsi="Times New Roman" w:cs="Times New Roman" w:eastAsiaTheme="minorEastAsia"/>
          <w:color w:val="auto"/>
          <w:kern w:val="0"/>
          <w:sz w:val="24"/>
          <w:highlight w:val="none"/>
          <w:lang w:bidi="ar"/>
        </w:rPr>
        <w:t>云南錦创环境科技有限公司果蔬废弃物处理项目</w:t>
      </w:r>
      <w:r>
        <w:rPr>
          <w:rFonts w:hint="default" w:ascii="Times New Roman" w:hAnsi="Times New Roman" w:cs="Times New Roman" w:eastAsiaTheme="minorEastAsia"/>
          <w:color w:val="auto"/>
          <w:sz w:val="24"/>
          <w:szCs w:val="22"/>
          <w:highlight w:val="none"/>
        </w:rPr>
        <w:t>环境影响报告表》</w:t>
      </w:r>
      <w:r>
        <w:rPr>
          <w:rFonts w:hint="eastAsia" w:cs="Times New Roman" w:eastAsiaTheme="minorEastAsia"/>
          <w:color w:val="auto"/>
          <w:sz w:val="24"/>
          <w:szCs w:val="22"/>
          <w:highlight w:val="none"/>
          <w:lang w:val="en-US" w:eastAsia="zh-CN"/>
        </w:rPr>
        <w:t>的首次</w:t>
      </w:r>
      <w:r>
        <w:rPr>
          <w:rFonts w:hint="default" w:ascii="Times New Roman" w:hAnsi="Times New Roman" w:cs="Times New Roman" w:eastAsiaTheme="minorEastAsia"/>
          <w:color w:val="auto"/>
          <w:sz w:val="24"/>
          <w:szCs w:val="22"/>
          <w:highlight w:val="none"/>
        </w:rPr>
        <w:t>批复</w:t>
      </w:r>
      <w:r>
        <w:rPr>
          <w:rFonts w:hint="eastAsia" w:cs="Times New Roman" w:eastAsiaTheme="minorEastAsia"/>
          <w:color w:val="auto"/>
          <w:sz w:val="24"/>
          <w:szCs w:val="22"/>
          <w:highlight w:val="none"/>
          <w:lang w:eastAsia="zh-CN"/>
        </w:rPr>
        <w:t>，</w:t>
      </w:r>
      <w:r>
        <w:rPr>
          <w:rFonts w:hint="eastAsia" w:cs="Times New Roman" w:eastAsiaTheme="minorEastAsia"/>
          <w:color w:val="auto"/>
          <w:sz w:val="24"/>
          <w:szCs w:val="22"/>
          <w:highlight w:val="none"/>
          <w:lang w:val="en-US" w:eastAsia="zh-CN"/>
        </w:rPr>
        <w:t>批复文号：</w:t>
      </w:r>
      <w:r>
        <w:rPr>
          <w:rFonts w:hint="default" w:ascii="Times New Roman" w:hAnsi="Times New Roman" w:cs="Times New Roman" w:eastAsiaTheme="minorEastAsia"/>
          <w:color w:val="auto"/>
          <w:sz w:val="24"/>
          <w:szCs w:val="22"/>
          <w:highlight w:val="none"/>
        </w:rPr>
        <w:t>昆生环寻复[2022]39号</w:t>
      </w:r>
      <w:r>
        <w:rPr>
          <w:rFonts w:hint="eastAsia" w:cs="Times New Roman" w:eastAsiaTheme="minorEastAsia"/>
          <w:color w:val="auto"/>
          <w:sz w:val="24"/>
          <w:szCs w:val="22"/>
          <w:highlight w:val="none"/>
          <w:lang w:eastAsia="zh-CN"/>
        </w:rPr>
        <w:t>；</w:t>
      </w:r>
      <w:r>
        <w:rPr>
          <w:rFonts w:hint="eastAsia" w:cs="Times New Roman" w:eastAsiaTheme="minorEastAsia"/>
          <w:color w:val="auto"/>
          <w:sz w:val="24"/>
          <w:szCs w:val="22"/>
          <w:highlight w:val="none"/>
          <w:lang w:val="en-US" w:eastAsia="zh-CN"/>
        </w:rPr>
        <w:t>主体建设过程中因生产工艺、产品方案发生重大变动，</w:t>
      </w:r>
      <w:r>
        <w:rPr>
          <w:rFonts w:hint="default" w:ascii="Times New Roman" w:hAnsi="Times New Roman" w:cs="Times New Roman" w:eastAsiaTheme="minorEastAsia"/>
          <w:color w:val="auto"/>
          <w:kern w:val="0"/>
          <w:sz w:val="24"/>
          <w:highlight w:val="none"/>
        </w:rPr>
        <w:t>昆明市生态环境局寻甸分局于2023年6月21日</w:t>
      </w:r>
      <w:r>
        <w:rPr>
          <w:rFonts w:hint="eastAsia" w:cs="Times New Roman" w:eastAsiaTheme="minorEastAsia"/>
          <w:color w:val="auto"/>
          <w:kern w:val="0"/>
          <w:sz w:val="24"/>
          <w:highlight w:val="none"/>
          <w:lang w:val="en-US" w:eastAsia="zh-CN"/>
        </w:rPr>
        <w:t>对</w:t>
      </w:r>
      <w:r>
        <w:rPr>
          <w:rFonts w:hint="default" w:ascii="Times New Roman" w:hAnsi="Times New Roman" w:cs="Times New Roman" w:eastAsiaTheme="minorEastAsia"/>
          <w:color w:val="auto"/>
          <w:kern w:val="0"/>
          <w:sz w:val="24"/>
          <w:highlight w:val="none"/>
        </w:rPr>
        <w:t>《</w:t>
      </w:r>
      <w:r>
        <w:rPr>
          <w:rFonts w:hint="default" w:ascii="Times New Roman" w:hAnsi="Times New Roman" w:cs="Times New Roman" w:eastAsiaTheme="minorEastAsia"/>
          <w:color w:val="auto"/>
          <w:sz w:val="24"/>
          <w:szCs w:val="22"/>
          <w:highlight w:val="none"/>
        </w:rPr>
        <w:t>云南錦创环境科技有限公司</w:t>
      </w:r>
      <w:r>
        <w:rPr>
          <w:rFonts w:hint="default" w:ascii="Times New Roman" w:hAnsi="Times New Roman" w:cs="Times New Roman" w:eastAsiaTheme="minorEastAsia"/>
          <w:color w:val="auto"/>
          <w:kern w:val="0"/>
          <w:sz w:val="24"/>
          <w:highlight w:val="none"/>
        </w:rPr>
        <w:t>果蔬废弃物处理项目（变更）环境影响报告表》</w:t>
      </w:r>
      <w:r>
        <w:rPr>
          <w:rFonts w:hint="eastAsia" w:cs="Times New Roman" w:eastAsiaTheme="minorEastAsia"/>
          <w:color w:val="auto"/>
          <w:kern w:val="0"/>
          <w:sz w:val="24"/>
          <w:highlight w:val="none"/>
          <w:lang w:val="en-US" w:eastAsia="zh-CN"/>
        </w:rPr>
        <w:t>进行了</w:t>
      </w:r>
      <w:r>
        <w:rPr>
          <w:rFonts w:hint="default" w:ascii="Times New Roman" w:hAnsi="Times New Roman" w:cs="Times New Roman" w:eastAsiaTheme="minorEastAsia"/>
          <w:color w:val="auto"/>
          <w:kern w:val="0"/>
          <w:sz w:val="24"/>
          <w:highlight w:val="none"/>
        </w:rPr>
        <w:t>批复</w:t>
      </w:r>
      <w:r>
        <w:rPr>
          <w:rFonts w:hint="eastAsia" w:cs="Times New Roman" w:eastAsiaTheme="minorEastAsia"/>
          <w:color w:val="auto"/>
          <w:kern w:val="0"/>
          <w:sz w:val="24"/>
          <w:highlight w:val="none"/>
          <w:lang w:eastAsia="zh-CN"/>
        </w:rPr>
        <w:t>，</w:t>
      </w:r>
      <w:r>
        <w:rPr>
          <w:rFonts w:hint="eastAsia" w:cs="Times New Roman" w:eastAsiaTheme="minorEastAsia"/>
          <w:color w:val="auto"/>
          <w:kern w:val="0"/>
          <w:sz w:val="24"/>
          <w:highlight w:val="none"/>
          <w:lang w:val="en-US" w:eastAsia="zh-CN"/>
        </w:rPr>
        <w:t>批复文号：</w:t>
      </w:r>
      <w:r>
        <w:rPr>
          <w:rFonts w:hint="default" w:ascii="Times New Roman" w:hAnsi="Times New Roman" w:cs="Times New Roman" w:eastAsiaTheme="minorEastAsia"/>
          <w:color w:val="auto"/>
          <w:kern w:val="0"/>
          <w:sz w:val="24"/>
          <w:highlight w:val="none"/>
        </w:rPr>
        <w:t>昆生环寻复〔2023〕24号</w:t>
      </w:r>
      <w:r>
        <w:rPr>
          <w:rFonts w:hint="eastAsia" w:cs="Times New Roman" w:eastAsiaTheme="minorEastAsia"/>
          <w:color w:val="auto"/>
          <w:kern w:val="0"/>
          <w:sz w:val="24"/>
          <w:highlight w:val="none"/>
          <w:lang w:eastAsia="zh-CN"/>
        </w:rPr>
        <w:t>；</w:t>
      </w:r>
      <w:r>
        <w:rPr>
          <w:rFonts w:hint="default" w:ascii="Times New Roman" w:hAnsi="Times New Roman" w:cs="Times New Roman" w:eastAsiaTheme="minorEastAsia"/>
          <w:color w:val="auto"/>
          <w:sz w:val="24"/>
          <w:szCs w:val="22"/>
          <w:highlight w:val="none"/>
        </w:rPr>
        <w:t>设备安装过程中，由于烟气处理措施与项目实际不适用，导致废气污染措施发生变化，污染量增加10%以上，项目发生重大变动</w:t>
      </w:r>
      <w:r>
        <w:rPr>
          <w:rFonts w:hint="eastAsia" w:cs="Times New Roman" w:eastAsiaTheme="minorEastAsia"/>
          <w:color w:val="auto"/>
          <w:sz w:val="24"/>
          <w:szCs w:val="22"/>
          <w:highlight w:val="none"/>
          <w:lang w:val="en-US" w:eastAsia="zh-CN"/>
        </w:rPr>
        <w:t>需</w:t>
      </w:r>
      <w:r>
        <w:rPr>
          <w:rFonts w:hint="default" w:ascii="Times New Roman" w:hAnsi="Times New Roman" w:cs="Times New Roman" w:eastAsiaTheme="minorEastAsia"/>
          <w:color w:val="auto"/>
          <w:sz w:val="24"/>
          <w:szCs w:val="22"/>
          <w:highlight w:val="none"/>
        </w:rPr>
        <w:t>重新报批</w:t>
      </w:r>
      <w:r>
        <w:rPr>
          <w:rFonts w:hint="eastAsia" w:cs="Times New Roman" w:eastAsiaTheme="minorEastAsia"/>
          <w:color w:val="auto"/>
          <w:sz w:val="24"/>
          <w:szCs w:val="22"/>
          <w:highlight w:val="none"/>
          <w:lang w:eastAsia="zh-CN"/>
        </w:rPr>
        <w:t>，</w:t>
      </w:r>
      <w:r>
        <w:rPr>
          <w:rFonts w:hint="default" w:ascii="Times New Roman" w:hAnsi="Times New Roman" w:cs="Times New Roman" w:eastAsiaTheme="minorEastAsia"/>
          <w:color w:val="auto"/>
          <w:sz w:val="24"/>
          <w:szCs w:val="22"/>
          <w:highlight w:val="none"/>
        </w:rPr>
        <w:t>昆明市生态环境局寻甸分局于2024年10月16日</w:t>
      </w:r>
      <w:r>
        <w:rPr>
          <w:rFonts w:hint="eastAsia" w:cs="Times New Roman" w:eastAsiaTheme="minorEastAsia"/>
          <w:color w:val="auto"/>
          <w:sz w:val="24"/>
          <w:szCs w:val="22"/>
          <w:highlight w:val="none"/>
          <w:lang w:val="en-US" w:eastAsia="zh-CN"/>
        </w:rPr>
        <w:t>对</w:t>
      </w:r>
      <w:r>
        <w:rPr>
          <w:rFonts w:hint="default" w:ascii="Times New Roman" w:hAnsi="Times New Roman" w:cs="Times New Roman" w:eastAsiaTheme="minorEastAsia"/>
          <w:color w:val="auto"/>
          <w:sz w:val="24"/>
          <w:szCs w:val="22"/>
          <w:highlight w:val="none"/>
        </w:rPr>
        <w:t>《</w:t>
      </w:r>
      <w:r>
        <w:rPr>
          <w:rFonts w:hint="default" w:ascii="Times New Roman" w:hAnsi="Times New Roman" w:cs="Times New Roman" w:eastAsiaTheme="minorEastAsia"/>
          <w:color w:val="auto"/>
          <w:kern w:val="0"/>
          <w:sz w:val="24"/>
          <w:highlight w:val="none"/>
          <w:lang w:bidi="ar"/>
        </w:rPr>
        <w:t>云南錦创环境科技有限公司果蔬废弃物处理项目</w:t>
      </w:r>
      <w:r>
        <w:rPr>
          <w:rFonts w:hint="default" w:ascii="Times New Roman" w:hAnsi="Times New Roman" w:cs="Times New Roman" w:eastAsiaTheme="minorEastAsia"/>
          <w:color w:val="auto"/>
          <w:sz w:val="24"/>
          <w:szCs w:val="22"/>
          <w:highlight w:val="none"/>
        </w:rPr>
        <w:t>环境影响报告表（重新报批）》</w:t>
      </w:r>
      <w:r>
        <w:rPr>
          <w:rFonts w:hint="eastAsia" w:cs="Times New Roman" w:eastAsiaTheme="minorEastAsia"/>
          <w:color w:val="auto"/>
          <w:sz w:val="24"/>
          <w:szCs w:val="22"/>
          <w:highlight w:val="none"/>
          <w:lang w:val="en-US" w:eastAsia="zh-CN"/>
        </w:rPr>
        <w:t>进行了</w:t>
      </w:r>
      <w:r>
        <w:rPr>
          <w:rFonts w:hint="default" w:ascii="Times New Roman" w:hAnsi="Times New Roman" w:cs="Times New Roman" w:eastAsiaTheme="minorEastAsia"/>
          <w:color w:val="auto"/>
          <w:sz w:val="24"/>
          <w:szCs w:val="22"/>
          <w:highlight w:val="none"/>
        </w:rPr>
        <w:t>批复</w:t>
      </w:r>
      <w:r>
        <w:rPr>
          <w:rFonts w:hint="eastAsia" w:cs="Times New Roman" w:eastAsiaTheme="minorEastAsia"/>
          <w:color w:val="auto"/>
          <w:sz w:val="24"/>
          <w:szCs w:val="22"/>
          <w:highlight w:val="none"/>
          <w:lang w:eastAsia="zh-CN"/>
        </w:rPr>
        <w:t>，</w:t>
      </w:r>
      <w:r>
        <w:rPr>
          <w:rFonts w:hint="eastAsia" w:cs="Times New Roman" w:eastAsiaTheme="minorEastAsia"/>
          <w:color w:val="auto"/>
          <w:sz w:val="24"/>
          <w:szCs w:val="22"/>
          <w:highlight w:val="none"/>
          <w:lang w:val="en-US" w:eastAsia="zh-CN"/>
        </w:rPr>
        <w:t>批复文号：</w:t>
      </w:r>
      <w:r>
        <w:rPr>
          <w:rFonts w:hint="default" w:ascii="Times New Roman" w:hAnsi="Times New Roman" w:cs="Times New Roman" w:eastAsiaTheme="minorEastAsia"/>
          <w:color w:val="auto"/>
          <w:sz w:val="24"/>
          <w:szCs w:val="22"/>
          <w:highlight w:val="none"/>
        </w:rPr>
        <w:t>昆生环寻复[2024]22号</w:t>
      </w:r>
      <w:r>
        <w:rPr>
          <w:rFonts w:hint="eastAsia" w:cs="Times New Roman" w:eastAsiaTheme="minorEastAsia"/>
          <w:color w:val="auto"/>
          <w:sz w:val="24"/>
          <w:szCs w:val="22"/>
          <w:highlight w:val="none"/>
          <w:lang w:eastAsia="zh-CN"/>
        </w:rPr>
        <w:t>）；</w:t>
      </w:r>
      <w:r>
        <w:rPr>
          <w:rFonts w:hint="eastAsia" w:cs="Times New Roman" w:eastAsiaTheme="minorEastAsia"/>
          <w:color w:val="auto"/>
          <w:sz w:val="24"/>
          <w:szCs w:val="22"/>
          <w:highlight w:val="none"/>
          <w:lang w:val="en-US" w:eastAsia="zh-CN"/>
        </w:rPr>
        <w:t>项目建设完成后</w:t>
      </w:r>
      <w:r>
        <w:rPr>
          <w:rFonts w:hint="default" w:ascii="Times New Roman" w:hAnsi="Times New Roman" w:cs="Times New Roman" w:eastAsiaTheme="minorEastAsia"/>
          <w:color w:val="auto"/>
          <w:sz w:val="24"/>
          <w:szCs w:val="22"/>
          <w:highlight w:val="none"/>
        </w:rPr>
        <w:t>于2024年12月16日进行了排污许可登记，登记编号91530129MA7BBA1DXW001X，有效期为2024年12月16日至2029年12月15日</w:t>
      </w:r>
      <w:r>
        <w:rPr>
          <w:rFonts w:hint="eastAsia" w:cs="Times New Roman" w:eastAsiaTheme="minorEastAsia"/>
          <w:color w:val="auto"/>
          <w:sz w:val="24"/>
          <w:szCs w:val="22"/>
          <w:highlight w:val="none"/>
          <w:lang w:eastAsia="zh-CN"/>
        </w:rPr>
        <w:t>；</w:t>
      </w:r>
      <w:r>
        <w:rPr>
          <w:rFonts w:hint="default" w:ascii="Times New Roman" w:hAnsi="Times New Roman" w:cs="Times New Roman" w:eastAsiaTheme="minorEastAsia"/>
          <w:color w:val="auto"/>
          <w:sz w:val="24"/>
          <w:szCs w:val="22"/>
          <w:highlight w:val="none"/>
        </w:rPr>
        <w:t>于2024年12月26日编制完成《</w:t>
      </w:r>
      <w:r>
        <w:rPr>
          <w:rFonts w:hint="default" w:ascii="Times New Roman" w:hAnsi="Times New Roman" w:cs="Times New Roman" w:eastAsiaTheme="minorEastAsia"/>
          <w:color w:val="auto"/>
          <w:kern w:val="0"/>
          <w:sz w:val="24"/>
          <w:highlight w:val="none"/>
          <w:lang w:bidi="ar"/>
        </w:rPr>
        <w:t>云南錦创环境科技有限公司</w:t>
      </w:r>
      <w:r>
        <w:rPr>
          <w:rFonts w:hint="default" w:ascii="Times New Roman" w:hAnsi="Times New Roman" w:cs="Times New Roman" w:eastAsiaTheme="minorEastAsia"/>
          <w:color w:val="auto"/>
          <w:sz w:val="24"/>
          <w:szCs w:val="22"/>
          <w:highlight w:val="none"/>
        </w:rPr>
        <w:t>突发环境事件应急预案》，</w:t>
      </w:r>
      <w:r>
        <w:rPr>
          <w:rFonts w:hint="eastAsia" w:cs="Times New Roman" w:eastAsiaTheme="minorEastAsia"/>
          <w:color w:val="auto"/>
          <w:sz w:val="24"/>
          <w:szCs w:val="22"/>
          <w:highlight w:val="none"/>
          <w:lang w:val="en-US" w:eastAsia="zh-CN"/>
        </w:rPr>
        <w:t>并于2024年12月27日于昆明市生态环境局寻甸分局备案，</w:t>
      </w:r>
      <w:r>
        <w:rPr>
          <w:rFonts w:hint="default" w:ascii="Times New Roman" w:hAnsi="Times New Roman" w:cs="Times New Roman" w:eastAsiaTheme="minorEastAsia"/>
          <w:color w:val="auto"/>
          <w:sz w:val="24"/>
          <w:szCs w:val="22"/>
          <w:highlight w:val="none"/>
        </w:rPr>
        <w:t>备案号为530-129-2024-146-M。2025年</w:t>
      </w:r>
      <w:r>
        <w:rPr>
          <w:rFonts w:hint="eastAsia" w:cs="Times New Roman" w:eastAsiaTheme="minorEastAsia"/>
          <w:color w:val="auto"/>
          <w:sz w:val="24"/>
          <w:szCs w:val="22"/>
          <w:highlight w:val="none"/>
          <w:lang w:val="en-US" w:eastAsia="zh-CN"/>
        </w:rPr>
        <w:t>3</w:t>
      </w:r>
      <w:r>
        <w:rPr>
          <w:rFonts w:hint="default" w:ascii="Times New Roman" w:hAnsi="Times New Roman" w:cs="Times New Roman" w:eastAsiaTheme="minorEastAsia"/>
          <w:color w:val="auto"/>
          <w:sz w:val="24"/>
          <w:szCs w:val="22"/>
          <w:highlight w:val="none"/>
        </w:rPr>
        <w:t>月</w:t>
      </w:r>
      <w:r>
        <w:rPr>
          <w:rFonts w:hint="eastAsia" w:cs="Times New Roman" w:eastAsiaTheme="minorEastAsia"/>
          <w:color w:val="auto"/>
          <w:sz w:val="24"/>
          <w:szCs w:val="22"/>
          <w:highlight w:val="none"/>
          <w:lang w:val="en-US" w:eastAsia="zh-CN"/>
        </w:rPr>
        <w:t>初</w:t>
      </w:r>
      <w:r>
        <w:rPr>
          <w:rFonts w:hint="default" w:ascii="Times New Roman" w:hAnsi="Times New Roman" w:cs="Times New Roman" w:eastAsiaTheme="minorEastAsia"/>
          <w:color w:val="auto"/>
          <w:kern w:val="0"/>
          <w:sz w:val="24"/>
          <w:highlight w:val="none"/>
          <w:lang w:bidi="ar"/>
        </w:rPr>
        <w:t>云南錦创环境科技有限公司</w:t>
      </w:r>
      <w:r>
        <w:rPr>
          <w:rFonts w:hint="default" w:ascii="Times New Roman" w:hAnsi="Times New Roman" w:cs="Times New Roman" w:eastAsiaTheme="minorEastAsia"/>
          <w:color w:val="auto"/>
          <w:sz w:val="24"/>
          <w:highlight w:val="none"/>
        </w:rPr>
        <w:t>编制完成了《</w:t>
      </w:r>
      <w:r>
        <w:rPr>
          <w:rFonts w:hint="default" w:ascii="Times New Roman" w:hAnsi="Times New Roman" w:cs="Times New Roman" w:eastAsiaTheme="minorEastAsia"/>
          <w:color w:val="auto"/>
          <w:kern w:val="0"/>
          <w:sz w:val="24"/>
          <w:highlight w:val="none"/>
          <w:lang w:bidi="ar"/>
        </w:rPr>
        <w:t>云南錦创环境科技有限公司果蔬废弃物处理项目</w:t>
      </w:r>
      <w:r>
        <w:rPr>
          <w:rFonts w:hint="default" w:ascii="Times New Roman" w:hAnsi="Times New Roman" w:cs="Times New Roman" w:eastAsiaTheme="minorEastAsia"/>
          <w:color w:val="auto"/>
          <w:sz w:val="24"/>
          <w:highlight w:val="none"/>
        </w:rPr>
        <w:t>竣工环境保护验收监测报告表》，</w:t>
      </w:r>
      <w:r>
        <w:rPr>
          <w:rFonts w:hint="eastAsia" w:cs="Times New Roman" w:eastAsiaTheme="minorEastAsia"/>
          <w:color w:val="auto"/>
          <w:sz w:val="24"/>
          <w:highlight w:val="none"/>
          <w:lang w:val="en-US" w:eastAsia="zh-CN"/>
        </w:rPr>
        <w:t>并</w:t>
      </w:r>
      <w:r>
        <w:rPr>
          <w:rFonts w:hint="eastAsia" w:cs="Times New Roman" w:eastAsiaTheme="minorEastAsia"/>
          <w:color w:val="auto"/>
          <w:sz w:val="24"/>
          <w:szCs w:val="22"/>
          <w:highlight w:val="none"/>
          <w:lang w:val="en-US" w:eastAsia="zh-CN"/>
        </w:rPr>
        <w:t>于</w:t>
      </w:r>
      <w:r>
        <w:rPr>
          <w:rFonts w:hint="default" w:ascii="Times New Roman" w:hAnsi="Times New Roman" w:cs="Times New Roman" w:eastAsiaTheme="minorEastAsia"/>
          <w:color w:val="auto"/>
          <w:sz w:val="24"/>
          <w:szCs w:val="22"/>
          <w:highlight w:val="none"/>
        </w:rPr>
        <w:t>2025年3月27日，</w:t>
      </w:r>
      <w:r>
        <w:rPr>
          <w:rFonts w:hint="eastAsia" w:cs="Times New Roman" w:eastAsiaTheme="minorEastAsia"/>
          <w:color w:val="auto"/>
          <w:sz w:val="24"/>
          <w:szCs w:val="22"/>
          <w:highlight w:val="none"/>
          <w:lang w:val="en-US" w:eastAsia="zh-CN"/>
        </w:rPr>
        <w:t>该</w:t>
      </w:r>
      <w:r>
        <w:rPr>
          <w:rFonts w:hint="default" w:ascii="Times New Roman" w:hAnsi="Times New Roman" w:cs="Times New Roman" w:eastAsiaTheme="minorEastAsia"/>
          <w:color w:val="auto"/>
          <w:sz w:val="24"/>
          <w:highlight w:val="none"/>
        </w:rPr>
        <w:t>竣工环境保护验收</w:t>
      </w:r>
      <w:r>
        <w:rPr>
          <w:rFonts w:hint="eastAsia" w:cs="Times New Roman" w:eastAsiaTheme="minorEastAsia"/>
          <w:color w:val="auto"/>
          <w:sz w:val="24"/>
          <w:highlight w:val="none"/>
          <w:lang w:val="en-US" w:eastAsia="zh-CN"/>
        </w:rPr>
        <w:t>合格</w:t>
      </w:r>
      <w:r>
        <w:rPr>
          <w:rFonts w:hint="default" w:ascii="Times New Roman" w:hAnsi="Times New Roman" w:cs="Times New Roman" w:eastAsiaTheme="minorEastAsia"/>
          <w:color w:val="auto"/>
          <w:sz w:val="24"/>
          <w:highlight w:val="none"/>
        </w:rPr>
        <w:t>。</w:t>
      </w:r>
    </w:p>
    <w:p w14:paraId="2AEC28AF">
      <w:pPr>
        <w:keepNext w:val="0"/>
        <w:keepLines w:val="0"/>
        <w:pageBreakBefore w:val="0"/>
        <w:widowControl w:val="0"/>
        <w:tabs>
          <w:tab w:val="left" w:pos="2395"/>
        </w:tabs>
        <w:kinsoku/>
        <w:wordWrap/>
        <w:overflowPunct/>
        <w:topLinePunct w:val="0"/>
        <w:autoSpaceDE/>
        <w:autoSpaceDN/>
        <w:bidi w:val="0"/>
        <w:adjustRightInd/>
        <w:snapToGrid/>
        <w:spacing w:line="360" w:lineRule="auto"/>
        <w:ind w:firstLine="480" w:firstLineChars="200"/>
        <w:textAlignment w:val="auto"/>
        <w:rPr>
          <w:rFonts w:hint="eastAsia" w:cs="Times New Roman" w:eastAsiaTheme="minorEastAsia"/>
          <w:color w:val="auto"/>
          <w:kern w:val="0"/>
          <w:sz w:val="24"/>
          <w:highlight w:val="none"/>
          <w:lang w:val="en-US" w:eastAsia="zh-CN" w:bidi="ar"/>
        </w:rPr>
      </w:pPr>
      <w:r>
        <w:rPr>
          <w:rFonts w:hint="default" w:ascii="Times New Roman" w:hAnsi="Times New Roman" w:cs="Times New Roman" w:eastAsiaTheme="minorEastAsia"/>
          <w:color w:val="auto"/>
          <w:kern w:val="0"/>
          <w:sz w:val="24"/>
          <w:highlight w:val="none"/>
        </w:rPr>
        <w:t>云南錦创环境科技有限公司综合考量</w:t>
      </w:r>
      <w:r>
        <w:rPr>
          <w:rFonts w:hint="eastAsia" w:cs="Times New Roman" w:eastAsiaTheme="minorEastAsia"/>
          <w:color w:val="auto"/>
          <w:kern w:val="0"/>
          <w:sz w:val="24"/>
          <w:highlight w:val="none"/>
          <w:lang w:val="en-US" w:eastAsia="zh-CN"/>
        </w:rPr>
        <w:t>项目烘干</w:t>
      </w:r>
      <w:r>
        <w:rPr>
          <w:rFonts w:hint="default" w:ascii="Times New Roman" w:hAnsi="Times New Roman" w:cs="Times New Roman" w:eastAsiaTheme="minorEastAsia"/>
          <w:color w:val="auto"/>
          <w:kern w:val="0"/>
          <w:sz w:val="24"/>
          <w:highlight w:val="none"/>
        </w:rPr>
        <w:t>成本与</w:t>
      </w:r>
      <w:r>
        <w:rPr>
          <w:rFonts w:hint="eastAsia" w:cs="Times New Roman" w:eastAsiaTheme="minorEastAsia"/>
          <w:color w:val="auto"/>
          <w:kern w:val="0"/>
          <w:sz w:val="24"/>
          <w:highlight w:val="none"/>
          <w:lang w:val="en-US" w:eastAsia="zh-CN"/>
        </w:rPr>
        <w:t>复合微生物肥料</w:t>
      </w:r>
      <w:r>
        <w:rPr>
          <w:rFonts w:hint="default" w:ascii="Times New Roman" w:hAnsi="Times New Roman" w:cs="Times New Roman" w:eastAsiaTheme="minorEastAsia"/>
          <w:color w:val="auto"/>
          <w:kern w:val="0"/>
          <w:sz w:val="24"/>
          <w:highlight w:val="none"/>
        </w:rPr>
        <w:t>市场需求，</w:t>
      </w:r>
      <w:r>
        <w:rPr>
          <w:rFonts w:hint="default" w:ascii="Times New Roman" w:hAnsi="Times New Roman" w:cs="Times New Roman" w:eastAsiaTheme="minorEastAsia"/>
          <w:color w:val="auto"/>
          <w:kern w:val="0"/>
          <w:sz w:val="24"/>
          <w:highlight w:val="none"/>
          <w:lang w:bidi="ar"/>
        </w:rPr>
        <w:t>云南錦创环境科技有限公司决定</w:t>
      </w:r>
      <w:r>
        <w:rPr>
          <w:rFonts w:hint="eastAsia" w:cs="Times New Roman" w:eastAsiaTheme="minorEastAsia"/>
          <w:color w:val="auto"/>
          <w:kern w:val="0"/>
          <w:sz w:val="24"/>
          <w:highlight w:val="none"/>
          <w:lang w:val="en-US" w:eastAsia="zh-CN" w:bidi="ar"/>
        </w:rPr>
        <w:t>在保留现有生产线部分生产能力的同时，投资520万扩建固体复合微生物肥生产线和液体复合微生物肥生产线各1条，扩建生产线拟将现有项目产生的部分中间产品（果蔬渣）和部分生产废水（尾菜废水）通过添加辅料，经发酵后生产固态和液体复合微生物肥。</w:t>
      </w:r>
    </w:p>
    <w:p w14:paraId="3F9B0C9C">
      <w:pPr>
        <w:keepNext w:val="0"/>
        <w:keepLines w:val="0"/>
        <w:pageBreakBefore w:val="0"/>
        <w:widowControl w:val="0"/>
        <w:tabs>
          <w:tab w:val="left" w:pos="2395"/>
        </w:tabs>
        <w:kinsoku/>
        <w:wordWrap/>
        <w:overflowPunct/>
        <w:topLinePunct w:val="0"/>
        <w:autoSpaceDE/>
        <w:autoSpaceDN/>
        <w:bidi w:val="0"/>
        <w:adjustRightInd/>
        <w:snapToGrid/>
        <w:spacing w:line="360" w:lineRule="auto"/>
        <w:ind w:firstLine="480" w:firstLineChars="200"/>
        <w:textAlignment w:val="auto"/>
        <w:rPr>
          <w:rFonts w:hint="eastAsia" w:cs="Times New Roman" w:eastAsiaTheme="minorEastAsia"/>
          <w:color w:val="auto"/>
          <w:kern w:val="0"/>
          <w:sz w:val="24"/>
          <w:highlight w:val="none"/>
          <w:lang w:val="en-US" w:eastAsia="zh-CN" w:bidi="ar"/>
        </w:rPr>
      </w:pPr>
      <w:r>
        <w:rPr>
          <w:rFonts w:hint="eastAsia" w:cs="Times New Roman" w:eastAsiaTheme="minorEastAsia"/>
          <w:color w:val="auto"/>
          <w:kern w:val="0"/>
          <w:sz w:val="24"/>
          <w:highlight w:val="none"/>
          <w:lang w:val="en-US" w:eastAsia="zh-CN" w:bidi="ar"/>
        </w:rPr>
        <w:t>其改扩建技术方案如下：</w:t>
      </w:r>
    </w:p>
    <w:p w14:paraId="3D3DC21A">
      <w:pPr>
        <w:keepNext w:val="0"/>
        <w:keepLines w:val="0"/>
        <w:pageBreakBefore w:val="0"/>
        <w:widowControl w:val="0"/>
        <w:numPr>
          <w:ilvl w:val="0"/>
          <w:numId w:val="0"/>
        </w:numPr>
        <w:tabs>
          <w:tab w:val="left" w:pos="2395"/>
        </w:tabs>
        <w:kinsoku/>
        <w:wordWrap/>
        <w:overflowPunct/>
        <w:topLinePunct w:val="0"/>
        <w:autoSpaceDE/>
        <w:autoSpaceDN/>
        <w:bidi w:val="0"/>
        <w:adjustRightInd/>
        <w:snapToGrid/>
        <w:spacing w:line="360" w:lineRule="auto"/>
        <w:ind w:firstLine="480" w:firstLineChars="200"/>
        <w:textAlignment w:val="auto"/>
        <w:rPr>
          <w:rFonts w:hint="default" w:cs="Times New Roman" w:eastAsiaTheme="minorEastAsia"/>
          <w:color w:val="auto"/>
          <w:kern w:val="0"/>
          <w:sz w:val="24"/>
          <w:highlight w:val="none"/>
          <w:lang w:val="en-US" w:eastAsia="zh-CN" w:bidi="ar"/>
        </w:rPr>
      </w:pPr>
      <w:r>
        <w:rPr>
          <w:rFonts w:hint="default" w:ascii="Times New Roman" w:hAnsi="Times New Roman" w:cs="Times New Roman" w:eastAsiaTheme="minorEastAsia"/>
          <w:color w:val="auto"/>
          <w:kern w:val="0"/>
          <w:sz w:val="24"/>
          <w:szCs w:val="24"/>
          <w:highlight w:val="none"/>
          <w:lang w:val="en-US" w:eastAsia="zh-CN" w:bidi="ar"/>
        </w:rPr>
        <w:t>（1）</w:t>
      </w:r>
      <w:r>
        <w:rPr>
          <w:rFonts w:hint="eastAsia" w:cs="Times New Roman" w:eastAsiaTheme="minorEastAsia"/>
          <w:color w:val="auto"/>
          <w:kern w:val="0"/>
          <w:sz w:val="24"/>
          <w:highlight w:val="none"/>
          <w:lang w:val="en-US" w:eastAsia="zh-CN" w:bidi="ar"/>
        </w:rPr>
        <w:t>将现有果蔬废弃物粉碎压榨脱水生产线产生的300t/d果蔬渣调整利用，其中30t/d果蔬渣沿用现有</w:t>
      </w:r>
      <w:r>
        <w:rPr>
          <w:rFonts w:hint="eastAsia" w:cs="Times New Roman" w:eastAsiaTheme="minorEastAsia"/>
          <w:bCs/>
          <w:color w:val="auto"/>
          <w:kern w:val="0"/>
          <w:sz w:val="24"/>
          <w:highlight w:val="none"/>
          <w:lang w:val="en-US" w:eastAsia="zh-CN"/>
        </w:rPr>
        <w:t>果蔬渣烘干粉碎生产线生产蔬菜干饲料，产量由31000t/a为调整3600t/a，压榨脱水生产线生产时间不变，烘干线生产时间调整为年烘干111d（2220h）；</w:t>
      </w:r>
      <w:r>
        <w:rPr>
          <w:rFonts w:hint="eastAsia" w:cs="Times New Roman" w:eastAsiaTheme="minorEastAsia"/>
          <w:color w:val="auto"/>
          <w:kern w:val="0"/>
          <w:sz w:val="24"/>
          <w:highlight w:val="none"/>
          <w:lang w:val="en-US" w:eastAsia="zh-CN" w:bidi="ar"/>
        </w:rPr>
        <w:t>270t/d果蔬渣添加辅料（玉米秸秆、甘蔗叶子、菊花渣、椰糠、菌群）通过翻堆发酵生产工艺生产固体复合微生物肥料，扩建的固体复合微生物肥生产线租用大法古村土地3.6亩（2400m</w:t>
      </w:r>
      <w:r>
        <w:rPr>
          <w:rFonts w:hint="eastAsia" w:cs="Times New Roman" w:eastAsiaTheme="minorEastAsia"/>
          <w:color w:val="auto"/>
          <w:kern w:val="0"/>
          <w:sz w:val="24"/>
          <w:highlight w:val="none"/>
          <w:vertAlign w:val="superscript"/>
          <w:lang w:val="en-US" w:eastAsia="zh-CN" w:bidi="ar"/>
        </w:rPr>
        <w:t>2</w:t>
      </w:r>
      <w:r>
        <w:rPr>
          <w:rFonts w:hint="eastAsia" w:cs="Times New Roman" w:eastAsiaTheme="minorEastAsia"/>
          <w:color w:val="auto"/>
          <w:kern w:val="0"/>
          <w:sz w:val="24"/>
          <w:highlight w:val="none"/>
          <w:lang w:val="en-US" w:eastAsia="zh-CN" w:bidi="ar"/>
        </w:rPr>
        <w:t>）进行建设，固体复合微生物肥料产量86000t/a。</w:t>
      </w:r>
    </w:p>
    <w:p w14:paraId="56ECDF8E">
      <w:pPr>
        <w:keepNext w:val="0"/>
        <w:keepLines w:val="0"/>
        <w:pageBreakBefore w:val="0"/>
        <w:widowControl w:val="0"/>
        <w:tabs>
          <w:tab w:val="left" w:pos="2395"/>
        </w:tabs>
        <w:kinsoku/>
        <w:wordWrap/>
        <w:overflowPunct/>
        <w:topLinePunct w:val="0"/>
        <w:autoSpaceDE/>
        <w:autoSpaceDN/>
        <w:bidi w:val="0"/>
        <w:adjustRightInd/>
        <w:snapToGrid/>
        <w:spacing w:line="360" w:lineRule="auto"/>
        <w:ind w:firstLine="480" w:firstLineChars="200"/>
        <w:textAlignment w:val="auto"/>
        <w:rPr>
          <w:rFonts w:hint="default" w:cs="Times New Roman" w:eastAsiaTheme="minorEastAsia"/>
          <w:color w:val="auto"/>
          <w:kern w:val="0"/>
          <w:sz w:val="24"/>
          <w:highlight w:val="none"/>
          <w:lang w:val="en-US" w:eastAsia="zh-CN" w:bidi="ar"/>
        </w:rPr>
      </w:pPr>
      <w:r>
        <w:rPr>
          <w:rFonts w:hint="eastAsia" w:cs="Times New Roman" w:eastAsiaTheme="minorEastAsia"/>
          <w:color w:val="auto"/>
          <w:kern w:val="0"/>
          <w:sz w:val="24"/>
          <w:highlight w:val="none"/>
          <w:lang w:val="en-US" w:eastAsia="zh-CN" w:bidi="ar"/>
        </w:rPr>
        <w:t>（2）将现有果蔬废弃物粉碎压榨脱水生产线产生的部分尾菜废水（42.9m</w:t>
      </w:r>
      <w:r>
        <w:rPr>
          <w:rFonts w:hint="eastAsia" w:cs="Times New Roman" w:eastAsiaTheme="minorEastAsia"/>
          <w:color w:val="auto"/>
          <w:kern w:val="0"/>
          <w:sz w:val="24"/>
          <w:highlight w:val="none"/>
          <w:vertAlign w:val="superscript"/>
          <w:lang w:val="en-US" w:eastAsia="zh-CN" w:bidi="ar"/>
        </w:rPr>
        <w:t>3</w:t>
      </w:r>
      <w:r>
        <w:rPr>
          <w:rFonts w:hint="eastAsia" w:cs="Times New Roman" w:eastAsiaTheme="minorEastAsia"/>
          <w:color w:val="auto"/>
          <w:kern w:val="0"/>
          <w:sz w:val="24"/>
          <w:highlight w:val="none"/>
          <w:lang w:val="en-US" w:eastAsia="zh-CN" w:bidi="ar"/>
        </w:rPr>
        <w:t>/d）调整利用，其加入辅料（糖蜜、元素型营养盐、聚谷氨酸），使用冰醋酸调节pH，接种乳酸菌等菌群后采取封闭发酵罐发酵生产液体复合微生物肥，液体复合微生物肥生产线依托现云南锦创环境科技有限公司果蔬废弃物处理项目建设的二级烘干粉碎车间中的500m</w:t>
      </w:r>
      <w:r>
        <w:rPr>
          <w:rFonts w:hint="eastAsia" w:cs="Times New Roman" w:eastAsiaTheme="minorEastAsia"/>
          <w:color w:val="auto"/>
          <w:kern w:val="0"/>
          <w:sz w:val="24"/>
          <w:highlight w:val="none"/>
          <w:vertAlign w:val="superscript"/>
          <w:lang w:val="en-US" w:eastAsia="zh-CN" w:bidi="ar"/>
        </w:rPr>
        <w:t>2</w:t>
      </w:r>
      <w:r>
        <w:rPr>
          <w:rFonts w:hint="eastAsia" w:cs="Times New Roman" w:eastAsiaTheme="minorEastAsia"/>
          <w:color w:val="auto"/>
          <w:kern w:val="0"/>
          <w:sz w:val="24"/>
          <w:highlight w:val="none"/>
          <w:lang w:val="en-US" w:eastAsia="zh-CN" w:bidi="ar"/>
        </w:rPr>
        <w:t>（紧邻污水处理站）建设，产量为16000t/a。</w:t>
      </w:r>
    </w:p>
    <w:p w14:paraId="1288E80E">
      <w:pPr>
        <w:keepNext w:val="0"/>
        <w:keepLines w:val="0"/>
        <w:pageBreakBefore w:val="0"/>
        <w:widowControl w:val="0"/>
        <w:tabs>
          <w:tab w:val="left" w:pos="2395"/>
        </w:tabs>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eastAsiaTheme="minorEastAsia"/>
          <w:color w:val="auto"/>
          <w:kern w:val="0"/>
          <w:sz w:val="24"/>
          <w:highlight w:val="none"/>
          <w:lang w:val="en-US" w:eastAsia="zh-CN" w:bidi="ar"/>
        </w:rPr>
      </w:pPr>
      <w:r>
        <w:rPr>
          <w:rFonts w:hint="eastAsia" w:cs="Times New Roman" w:eastAsiaTheme="minorEastAsia"/>
          <w:color w:val="auto"/>
          <w:kern w:val="0"/>
          <w:sz w:val="24"/>
          <w:highlight w:val="none"/>
          <w:lang w:val="en-US" w:eastAsia="zh-CN"/>
        </w:rPr>
        <w:t>（3）为</w:t>
      </w:r>
      <w:r>
        <w:rPr>
          <w:rFonts w:hint="default" w:ascii="Times New Roman" w:hAnsi="Times New Roman" w:cs="Times New Roman" w:eastAsiaTheme="minorEastAsia"/>
          <w:color w:val="auto"/>
          <w:kern w:val="0"/>
          <w:sz w:val="24"/>
          <w:highlight w:val="none"/>
        </w:rPr>
        <w:t>打通生产与市场的衔接环节，保障拟建有机肥生产线投产后产品的顺利流通，进一步提升公司产品的市场覆盖度与运营效益，助力公司在农业废弃物资源化利用及有机肥产业领域的可持续发</w:t>
      </w:r>
      <w:r>
        <w:rPr>
          <w:rFonts w:hint="eastAsia" w:cs="Times New Roman" w:eastAsiaTheme="minorEastAsia"/>
          <w:color w:val="auto"/>
          <w:kern w:val="0"/>
          <w:sz w:val="24"/>
          <w:highlight w:val="none"/>
          <w:lang w:eastAsia="zh-CN"/>
        </w:rPr>
        <w:t>，</w:t>
      </w:r>
      <w:r>
        <w:rPr>
          <w:rFonts w:hint="default" w:ascii="Times New Roman" w:hAnsi="Times New Roman" w:cs="Times New Roman" w:eastAsiaTheme="minorEastAsia"/>
          <w:color w:val="auto"/>
          <w:kern w:val="0"/>
          <w:sz w:val="24"/>
          <w:highlight w:val="none"/>
        </w:rPr>
        <w:t>云南錦创环境科技有限公司成立云南甘坤生物科技有限公司作为云南錦创环境科技有限公司的销售公司，专门负责云南錦创环境科技有限公司现有蔬菜干饲料产品及拟新增</w:t>
      </w:r>
      <w:r>
        <w:rPr>
          <w:rFonts w:hint="eastAsia" w:cs="Times New Roman" w:eastAsiaTheme="minorEastAsia"/>
          <w:color w:val="auto"/>
          <w:kern w:val="0"/>
          <w:sz w:val="24"/>
          <w:highlight w:val="none"/>
          <w:lang w:eastAsia="zh-CN"/>
        </w:rPr>
        <w:t>液体复合微生物肥料</w:t>
      </w:r>
      <w:r>
        <w:rPr>
          <w:rFonts w:hint="default" w:ascii="Times New Roman" w:hAnsi="Times New Roman" w:cs="Times New Roman" w:eastAsiaTheme="minorEastAsia"/>
          <w:color w:val="auto"/>
          <w:kern w:val="0"/>
          <w:sz w:val="24"/>
          <w:highlight w:val="none"/>
        </w:rPr>
        <w:t>、</w:t>
      </w:r>
      <w:r>
        <w:rPr>
          <w:rFonts w:hint="eastAsia" w:cs="Times New Roman" w:eastAsiaTheme="minorEastAsia"/>
          <w:color w:val="auto"/>
          <w:kern w:val="0"/>
          <w:sz w:val="24"/>
          <w:highlight w:val="none"/>
          <w:lang w:eastAsia="zh-CN"/>
        </w:rPr>
        <w:t>固体复合微生物肥料</w:t>
      </w:r>
      <w:r>
        <w:rPr>
          <w:rFonts w:hint="default" w:ascii="Times New Roman" w:hAnsi="Times New Roman" w:cs="Times New Roman" w:eastAsiaTheme="minorEastAsia"/>
          <w:color w:val="auto"/>
          <w:kern w:val="0"/>
          <w:sz w:val="24"/>
          <w:highlight w:val="none"/>
        </w:rPr>
        <w:t>产品的市场推广、渠道拓展、客户维护与产品销售等业务</w:t>
      </w:r>
      <w:r>
        <w:rPr>
          <w:rFonts w:hint="eastAsia" w:cs="Times New Roman" w:eastAsiaTheme="minorEastAsia"/>
          <w:color w:val="auto"/>
          <w:kern w:val="0"/>
          <w:sz w:val="24"/>
          <w:highlight w:val="none"/>
          <w:lang w:eastAsia="zh-CN"/>
        </w:rPr>
        <w:t>。</w:t>
      </w:r>
    </w:p>
    <w:p w14:paraId="5C3842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rPr>
        <w:t>根据《中华人民共和国生态环境法典》的第九十五条等相关规定，本项目应进行生态环境影响评价。本项目以现有项目产生的部分中间产品（果蔬渣）和生产废水（尾菜废水）为原料，仅通过发酵、物理混配等工艺生产复合微生物肥，‌不涉及危险化学品生产、不构成重大危险源、无爆炸/剧毒/液化烃类工艺‌的，根据《建设项目环境影响评价分类管理名录（2021年版）》，本项目属于“二十三、化学原料和化学制品制造业26”中“45 肥料制造262”中的“其他”，应编制生态环境影响报告表。</w:t>
      </w:r>
    </w:p>
    <w:p w14:paraId="5883B6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rPr>
        <w:t>接受委托后，我公司组成环评项目组，对项目场地及周边环境进行了现状调查、实地踏勘和调研工作，对项目进行资料收集，在对本项目工程有关环境现状和可能造成的环境影响进行分析后，依据生态环境部编制的《建设项目环境影响报告表编制技术指南（污染影响类）（试行）》的有关规定和要求，编制了《云南錦创环境科技有限公司改扩建建设项目生态环境影响报告表》（《中华人民共和国生态环境法典》第九十五条规定将“环境影响报告表”改为“生态环境影响报告表”‌），以供建设单位上报审查。</w:t>
      </w:r>
    </w:p>
    <w:p w14:paraId="2307AC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eastAsiaTheme="minorEastAsia"/>
          <w:color w:val="auto"/>
          <w:sz w:val="24"/>
          <w:highlight w:val="none"/>
        </w:rPr>
        <w:sectPr>
          <w:headerReference r:id="rId5" w:type="default"/>
          <w:footerReference r:id="rId6" w:type="default"/>
          <w:pgSz w:w="11906" w:h="16838"/>
          <w:pgMar w:top="1701" w:right="1417" w:bottom="1417" w:left="1417" w:header="851" w:footer="851" w:gutter="0"/>
          <w:pgBorders>
            <w:top w:val="none" w:sz="0" w:space="0"/>
            <w:left w:val="none" w:sz="0" w:space="0"/>
            <w:bottom w:val="none" w:sz="0" w:space="0"/>
            <w:right w:val="none" w:sz="0" w:space="0"/>
          </w:pgBorders>
          <w:pgNumType w:start="1"/>
          <w:cols w:space="720" w:num="1"/>
          <w:docGrid w:linePitch="312" w:charSpace="0"/>
        </w:sectPr>
      </w:pPr>
    </w:p>
    <w:bookmarkEnd w:id="0"/>
    <w:bookmarkEnd w:id="1"/>
    <w:bookmarkEnd w:id="2"/>
    <w:bookmarkEnd w:id="3"/>
    <w:bookmarkEnd w:id="4"/>
    <w:p w14:paraId="2FE5B45C">
      <w:pPr>
        <w:pStyle w:val="44"/>
        <w:widowControl w:val="0"/>
        <w:spacing w:before="0" w:beforeAutospacing="0" w:after="0" w:afterAutospacing="0" w:line="360" w:lineRule="auto"/>
        <w:jc w:val="center"/>
        <w:outlineLvl w:val="0"/>
        <w:rPr>
          <w:rFonts w:hint="eastAsia" w:ascii="黑体" w:hAnsi="黑体" w:eastAsia="黑体"/>
          <w:color w:val="auto"/>
          <w:kern w:val="0"/>
          <w:sz w:val="30"/>
          <w:szCs w:val="30"/>
          <w:highlight w:val="none"/>
        </w:rPr>
      </w:pPr>
      <w:bookmarkStart w:id="11" w:name="_Toc25330"/>
      <w:bookmarkStart w:id="12" w:name="_Toc28425"/>
      <w:r>
        <w:rPr>
          <w:rFonts w:hint="eastAsia" w:ascii="黑体" w:hAnsi="黑体" w:eastAsia="黑体"/>
          <w:color w:val="auto"/>
          <w:kern w:val="0"/>
          <w:sz w:val="30"/>
          <w:szCs w:val="30"/>
          <w:highlight w:val="none"/>
        </w:rPr>
        <w:t>一、建设项目基本情况</w:t>
      </w:r>
      <w:bookmarkEnd w:id="5"/>
      <w:bookmarkEnd w:id="6"/>
      <w:bookmarkEnd w:id="11"/>
      <w:bookmarkEnd w:id="12"/>
    </w:p>
    <w:tbl>
      <w:tblPr>
        <w:tblStyle w:val="26"/>
        <w:tblW w:w="919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3176"/>
        <w:gridCol w:w="1536"/>
        <w:gridCol w:w="3118"/>
      </w:tblGrid>
      <w:tr w14:paraId="4E3D3D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tcMar>
              <w:top w:w="16" w:type="dxa"/>
              <w:left w:w="16" w:type="dxa"/>
              <w:right w:w="16" w:type="dxa"/>
            </w:tcMar>
            <w:vAlign w:val="center"/>
          </w:tcPr>
          <w:p w14:paraId="50AD41D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建设项目</w:t>
            </w:r>
          </w:p>
          <w:p w14:paraId="1A44F42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名称</w:t>
            </w:r>
          </w:p>
        </w:tc>
        <w:tc>
          <w:tcPr>
            <w:tcW w:w="7830" w:type="dxa"/>
            <w:gridSpan w:val="3"/>
            <w:vAlign w:val="center"/>
          </w:tcPr>
          <w:p w14:paraId="625767F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eastAsia="Calibri"/>
                <w:color w:val="auto"/>
                <w:kern w:val="0"/>
                <w:sz w:val="24"/>
                <w:szCs w:val="24"/>
                <w:highlight w:val="none"/>
              </w:rPr>
            </w:pPr>
            <w:r>
              <w:rPr>
                <w:rFonts w:eastAsia="Calibri"/>
                <w:color w:val="auto"/>
                <w:kern w:val="0"/>
                <w:sz w:val="24"/>
                <w:szCs w:val="24"/>
                <w:highlight w:val="none"/>
              </w:rPr>
              <w:t>云南錦创环境科技有限公司改扩建</w:t>
            </w:r>
          </w:p>
        </w:tc>
      </w:tr>
      <w:tr w14:paraId="35463C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tcMar>
              <w:top w:w="16" w:type="dxa"/>
              <w:left w:w="16" w:type="dxa"/>
              <w:right w:w="16" w:type="dxa"/>
            </w:tcMar>
            <w:vAlign w:val="center"/>
          </w:tcPr>
          <w:p w14:paraId="1E67D43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项目代码</w:t>
            </w:r>
          </w:p>
        </w:tc>
        <w:tc>
          <w:tcPr>
            <w:tcW w:w="7830" w:type="dxa"/>
            <w:gridSpan w:val="3"/>
            <w:vAlign w:val="center"/>
          </w:tcPr>
          <w:p w14:paraId="1044AA4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eastAsia="Calibri"/>
                <w:color w:val="auto"/>
                <w:kern w:val="0"/>
                <w:sz w:val="24"/>
                <w:szCs w:val="24"/>
                <w:highlight w:val="none"/>
              </w:rPr>
            </w:pPr>
            <w:r>
              <w:rPr>
                <w:rFonts w:hint="eastAsia" w:eastAsia="Calibri"/>
                <w:color w:val="auto"/>
                <w:kern w:val="0"/>
                <w:sz w:val="24"/>
                <w:szCs w:val="24"/>
                <w:highlight w:val="none"/>
              </w:rPr>
              <w:t>2510-530129-04-01-957343</w:t>
            </w:r>
          </w:p>
        </w:tc>
      </w:tr>
      <w:tr w14:paraId="517A35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tcMar>
              <w:top w:w="16" w:type="dxa"/>
              <w:left w:w="16" w:type="dxa"/>
              <w:right w:w="16" w:type="dxa"/>
            </w:tcMar>
            <w:vAlign w:val="center"/>
          </w:tcPr>
          <w:p w14:paraId="00E62FA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建设单位</w:t>
            </w:r>
          </w:p>
          <w:p w14:paraId="629AC66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联系人</w:t>
            </w:r>
          </w:p>
        </w:tc>
        <w:tc>
          <w:tcPr>
            <w:tcW w:w="3176" w:type="dxa"/>
            <w:vAlign w:val="center"/>
          </w:tcPr>
          <w:p w14:paraId="66BA338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p>
        </w:tc>
        <w:tc>
          <w:tcPr>
            <w:tcW w:w="1536" w:type="dxa"/>
            <w:vAlign w:val="center"/>
          </w:tcPr>
          <w:p w14:paraId="1056F71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联系方式</w:t>
            </w:r>
          </w:p>
        </w:tc>
        <w:tc>
          <w:tcPr>
            <w:tcW w:w="3118" w:type="dxa"/>
            <w:vAlign w:val="center"/>
          </w:tcPr>
          <w:p w14:paraId="7352FB2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eastAsia="宋体"/>
                <w:color w:val="auto"/>
                <w:kern w:val="0"/>
                <w:sz w:val="24"/>
                <w:szCs w:val="24"/>
                <w:highlight w:val="none"/>
                <w:lang w:eastAsia="zh-CN"/>
              </w:rPr>
            </w:pPr>
          </w:p>
        </w:tc>
      </w:tr>
      <w:tr w14:paraId="20B159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tcMar>
              <w:top w:w="16" w:type="dxa"/>
              <w:left w:w="16" w:type="dxa"/>
              <w:right w:w="16" w:type="dxa"/>
            </w:tcMar>
            <w:vAlign w:val="center"/>
          </w:tcPr>
          <w:p w14:paraId="586CE94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建设地点</w:t>
            </w:r>
          </w:p>
        </w:tc>
        <w:tc>
          <w:tcPr>
            <w:tcW w:w="7830" w:type="dxa"/>
            <w:gridSpan w:val="3"/>
            <w:vAlign w:val="center"/>
          </w:tcPr>
          <w:p w14:paraId="340BDAA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cs="宋体"/>
                <w:color w:val="auto"/>
                <w:sz w:val="24"/>
                <w:szCs w:val="24"/>
                <w:highlight w:val="none"/>
              </w:rPr>
            </w:pPr>
            <w:r>
              <w:rPr>
                <w:color w:val="auto"/>
                <w:kern w:val="0"/>
                <w:sz w:val="24"/>
                <w:szCs w:val="24"/>
                <w:highlight w:val="none"/>
                <w:u w:val="single"/>
              </w:rPr>
              <w:t>云南</w:t>
            </w:r>
            <w:r>
              <w:rPr>
                <w:color w:val="auto"/>
                <w:kern w:val="0"/>
                <w:sz w:val="24"/>
                <w:szCs w:val="24"/>
                <w:highlight w:val="none"/>
              </w:rPr>
              <w:t>省（自治区）</w:t>
            </w:r>
            <w:r>
              <w:rPr>
                <w:rFonts w:hint="eastAsia"/>
                <w:color w:val="auto"/>
                <w:kern w:val="0"/>
                <w:sz w:val="24"/>
                <w:szCs w:val="24"/>
                <w:highlight w:val="none"/>
                <w:u w:val="single"/>
              </w:rPr>
              <w:t>昆明</w:t>
            </w:r>
            <w:r>
              <w:rPr>
                <w:color w:val="auto"/>
                <w:kern w:val="0"/>
                <w:sz w:val="24"/>
                <w:szCs w:val="24"/>
                <w:highlight w:val="none"/>
              </w:rPr>
              <w:t>市</w:t>
            </w:r>
            <w:r>
              <w:rPr>
                <w:rFonts w:hint="eastAsia"/>
                <w:color w:val="auto"/>
                <w:kern w:val="0"/>
                <w:sz w:val="24"/>
                <w:szCs w:val="24"/>
                <w:highlight w:val="none"/>
              </w:rPr>
              <w:t>寻甸</w:t>
            </w:r>
            <w:r>
              <w:rPr>
                <w:rFonts w:hint="eastAsia"/>
                <w:color w:val="auto"/>
                <w:kern w:val="0"/>
                <w:sz w:val="24"/>
                <w:szCs w:val="24"/>
                <w:highlight w:val="none"/>
                <w:u w:val="single"/>
              </w:rPr>
              <w:t>县</w:t>
            </w:r>
            <w:r>
              <w:rPr>
                <w:color w:val="auto"/>
                <w:kern w:val="0"/>
                <w:sz w:val="24"/>
                <w:szCs w:val="24"/>
                <w:highlight w:val="none"/>
              </w:rPr>
              <w:t>（区）</w:t>
            </w:r>
            <w:r>
              <w:rPr>
                <w:rFonts w:hint="eastAsia"/>
                <w:color w:val="auto"/>
                <w:kern w:val="18"/>
                <w:sz w:val="24"/>
                <w:szCs w:val="24"/>
                <w:highlight w:val="none"/>
                <w:u w:val="single"/>
              </w:rPr>
              <w:t>仁德街道道院社区</w:t>
            </w:r>
            <w:r>
              <w:rPr>
                <w:rFonts w:hint="eastAsia" w:ascii="宋体" w:hAnsi="宋体" w:cs="宋体"/>
                <w:color w:val="auto"/>
                <w:sz w:val="24"/>
                <w:szCs w:val="24"/>
                <w:highlight w:val="none"/>
              </w:rPr>
              <w:t>乡（街道）</w:t>
            </w:r>
          </w:p>
          <w:p w14:paraId="653E438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rFonts w:hint="eastAsia"/>
                <w:color w:val="auto"/>
                <w:kern w:val="18"/>
                <w:sz w:val="24"/>
                <w:szCs w:val="24"/>
                <w:highlight w:val="none"/>
                <w:u w:val="single"/>
              </w:rPr>
              <w:t>大法古村</w:t>
            </w:r>
            <w:r>
              <w:rPr>
                <w:rFonts w:hint="eastAsia" w:ascii="宋体" w:hAnsi="宋体" w:cs="宋体"/>
                <w:color w:val="auto"/>
                <w:sz w:val="24"/>
                <w:szCs w:val="24"/>
                <w:highlight w:val="none"/>
              </w:rPr>
              <w:t>（具体地址）</w:t>
            </w:r>
          </w:p>
        </w:tc>
      </w:tr>
      <w:tr w14:paraId="7B0F15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tcMar>
              <w:top w:w="16" w:type="dxa"/>
              <w:left w:w="16" w:type="dxa"/>
              <w:right w:w="16" w:type="dxa"/>
            </w:tcMar>
            <w:vAlign w:val="center"/>
          </w:tcPr>
          <w:p w14:paraId="4ECCEE1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地理坐标</w:t>
            </w:r>
          </w:p>
        </w:tc>
        <w:tc>
          <w:tcPr>
            <w:tcW w:w="7830" w:type="dxa"/>
            <w:gridSpan w:val="3"/>
            <w:vAlign w:val="center"/>
          </w:tcPr>
          <w:p w14:paraId="26D601C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w:t>
            </w:r>
            <w:r>
              <w:rPr>
                <w:rFonts w:hint="eastAsia"/>
                <w:color w:val="auto"/>
                <w:kern w:val="0"/>
                <w:sz w:val="24"/>
                <w:szCs w:val="24"/>
                <w:highlight w:val="none"/>
              </w:rPr>
              <w:t>东经</w:t>
            </w:r>
            <w:r>
              <w:rPr>
                <w:color w:val="auto"/>
                <w:kern w:val="0"/>
                <w:sz w:val="24"/>
                <w:szCs w:val="24"/>
                <w:highlight w:val="none"/>
                <w:u w:val="single"/>
              </w:rPr>
              <w:t>10</w:t>
            </w:r>
            <w:r>
              <w:rPr>
                <w:rFonts w:hint="eastAsia"/>
                <w:color w:val="auto"/>
                <w:kern w:val="0"/>
                <w:sz w:val="24"/>
                <w:szCs w:val="24"/>
                <w:highlight w:val="none"/>
                <w:u w:val="single"/>
              </w:rPr>
              <w:t>3</w:t>
            </w:r>
            <w:r>
              <w:rPr>
                <w:color w:val="auto"/>
                <w:kern w:val="0"/>
                <w:sz w:val="24"/>
                <w:szCs w:val="24"/>
                <w:highlight w:val="none"/>
              </w:rPr>
              <w:t>度</w:t>
            </w:r>
            <w:r>
              <w:rPr>
                <w:rFonts w:hint="eastAsia"/>
                <w:color w:val="auto"/>
                <w:kern w:val="0"/>
                <w:sz w:val="24"/>
                <w:szCs w:val="24"/>
                <w:highlight w:val="none"/>
                <w:u w:val="single"/>
              </w:rPr>
              <w:t>18</w:t>
            </w:r>
            <w:r>
              <w:rPr>
                <w:color w:val="auto"/>
                <w:kern w:val="0"/>
                <w:sz w:val="24"/>
                <w:szCs w:val="24"/>
                <w:highlight w:val="none"/>
              </w:rPr>
              <w:t>分</w:t>
            </w:r>
            <w:r>
              <w:rPr>
                <w:rFonts w:hint="eastAsia"/>
                <w:color w:val="auto"/>
                <w:kern w:val="0"/>
                <w:sz w:val="24"/>
                <w:szCs w:val="24"/>
                <w:highlight w:val="none"/>
              </w:rPr>
              <w:t>35.018</w:t>
            </w:r>
            <w:r>
              <w:rPr>
                <w:color w:val="auto"/>
                <w:kern w:val="0"/>
                <w:sz w:val="24"/>
                <w:szCs w:val="24"/>
                <w:highlight w:val="none"/>
              </w:rPr>
              <w:t>秒，</w:t>
            </w:r>
            <w:r>
              <w:rPr>
                <w:rFonts w:hint="eastAsia"/>
                <w:color w:val="auto"/>
                <w:kern w:val="0"/>
                <w:sz w:val="24"/>
                <w:szCs w:val="24"/>
                <w:highlight w:val="none"/>
              </w:rPr>
              <w:t>北纬</w:t>
            </w:r>
            <w:r>
              <w:rPr>
                <w:color w:val="auto"/>
                <w:kern w:val="0"/>
                <w:sz w:val="24"/>
                <w:szCs w:val="24"/>
                <w:highlight w:val="none"/>
                <w:u w:val="single"/>
              </w:rPr>
              <w:t>25</w:t>
            </w:r>
            <w:r>
              <w:rPr>
                <w:color w:val="auto"/>
                <w:kern w:val="0"/>
                <w:sz w:val="24"/>
                <w:szCs w:val="24"/>
                <w:highlight w:val="none"/>
              </w:rPr>
              <w:t>度</w:t>
            </w:r>
            <w:r>
              <w:rPr>
                <w:rFonts w:hint="eastAsia"/>
                <w:color w:val="auto"/>
                <w:kern w:val="0"/>
                <w:sz w:val="24"/>
                <w:szCs w:val="24"/>
                <w:highlight w:val="none"/>
                <w:u w:val="single"/>
              </w:rPr>
              <w:t>34</w:t>
            </w:r>
            <w:r>
              <w:rPr>
                <w:color w:val="auto"/>
                <w:kern w:val="0"/>
                <w:sz w:val="24"/>
                <w:szCs w:val="24"/>
                <w:highlight w:val="none"/>
              </w:rPr>
              <w:t>分</w:t>
            </w:r>
            <w:r>
              <w:rPr>
                <w:rFonts w:hint="eastAsia"/>
                <w:color w:val="auto"/>
                <w:kern w:val="0"/>
                <w:sz w:val="24"/>
                <w:szCs w:val="24"/>
                <w:highlight w:val="none"/>
                <w:u w:val="single"/>
              </w:rPr>
              <w:t>4.154</w:t>
            </w:r>
            <w:r>
              <w:rPr>
                <w:color w:val="auto"/>
                <w:kern w:val="0"/>
                <w:sz w:val="24"/>
                <w:szCs w:val="24"/>
                <w:highlight w:val="none"/>
              </w:rPr>
              <w:t>秒）</w:t>
            </w:r>
          </w:p>
        </w:tc>
      </w:tr>
      <w:tr w14:paraId="04DC2F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tcMar>
              <w:top w:w="16" w:type="dxa"/>
              <w:left w:w="16" w:type="dxa"/>
              <w:right w:w="16" w:type="dxa"/>
            </w:tcMar>
            <w:vAlign w:val="center"/>
          </w:tcPr>
          <w:p w14:paraId="0CC9B8E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国民经济</w:t>
            </w:r>
          </w:p>
          <w:p w14:paraId="31C78DF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行业类别</w:t>
            </w:r>
          </w:p>
        </w:tc>
        <w:tc>
          <w:tcPr>
            <w:tcW w:w="3176" w:type="dxa"/>
            <w:vAlign w:val="center"/>
          </w:tcPr>
          <w:p w14:paraId="3D7A38F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color w:val="auto"/>
                <w:kern w:val="0"/>
                <w:sz w:val="24"/>
                <w:szCs w:val="24"/>
                <w:highlight w:val="none"/>
              </w:rPr>
            </w:pPr>
            <w:r>
              <w:rPr>
                <w:color w:val="auto"/>
                <w:kern w:val="0"/>
                <w:sz w:val="24"/>
                <w:szCs w:val="24"/>
                <w:highlight w:val="none"/>
              </w:rPr>
              <w:t>C26</w:t>
            </w:r>
            <w:r>
              <w:rPr>
                <w:rFonts w:hint="eastAsia"/>
                <w:color w:val="auto"/>
                <w:kern w:val="0"/>
                <w:sz w:val="24"/>
                <w:szCs w:val="24"/>
                <w:highlight w:val="none"/>
              </w:rPr>
              <w:t>25</w:t>
            </w:r>
          </w:p>
          <w:p w14:paraId="4F9D6BC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eastAsia="Calibri"/>
                <w:color w:val="auto"/>
                <w:kern w:val="0"/>
                <w:sz w:val="24"/>
                <w:szCs w:val="24"/>
                <w:highlight w:val="none"/>
              </w:rPr>
            </w:pPr>
            <w:r>
              <w:rPr>
                <w:rFonts w:hint="eastAsia"/>
                <w:color w:val="auto"/>
                <w:kern w:val="0"/>
                <w:sz w:val="24"/>
                <w:szCs w:val="24"/>
                <w:highlight w:val="none"/>
              </w:rPr>
              <w:t>有机肥料及微生物肥料制造</w:t>
            </w:r>
          </w:p>
        </w:tc>
        <w:tc>
          <w:tcPr>
            <w:tcW w:w="1536" w:type="dxa"/>
            <w:vAlign w:val="center"/>
          </w:tcPr>
          <w:p w14:paraId="653DB77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bookmarkStart w:id="13" w:name="_Hlk49843745"/>
            <w:r>
              <w:rPr>
                <w:color w:val="auto"/>
                <w:kern w:val="0"/>
                <w:sz w:val="24"/>
                <w:szCs w:val="24"/>
                <w:highlight w:val="none"/>
              </w:rPr>
              <w:t>建设项目</w:t>
            </w:r>
          </w:p>
          <w:p w14:paraId="0BB362B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行业类别</w:t>
            </w:r>
            <w:bookmarkEnd w:id="13"/>
          </w:p>
        </w:tc>
        <w:tc>
          <w:tcPr>
            <w:tcW w:w="3118" w:type="dxa"/>
            <w:vAlign w:val="center"/>
          </w:tcPr>
          <w:p w14:paraId="38F65DB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二十三、化学原料和化学制品制造业26</w:t>
            </w:r>
            <w:r>
              <w:rPr>
                <w:rFonts w:hint="eastAsia"/>
                <w:color w:val="auto"/>
                <w:kern w:val="0"/>
                <w:sz w:val="24"/>
                <w:szCs w:val="24"/>
                <w:highlight w:val="none"/>
                <w:lang w:val="en-US" w:eastAsia="zh-CN"/>
              </w:rPr>
              <w:t>-</w:t>
            </w:r>
            <w:r>
              <w:rPr>
                <w:color w:val="auto"/>
                <w:kern w:val="0"/>
                <w:sz w:val="24"/>
                <w:szCs w:val="24"/>
                <w:highlight w:val="none"/>
              </w:rPr>
              <w:t>45</w:t>
            </w:r>
          </w:p>
          <w:p w14:paraId="7BDDBE5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eastAsia="宋体"/>
                <w:color w:val="auto"/>
                <w:kern w:val="0"/>
                <w:sz w:val="24"/>
                <w:szCs w:val="24"/>
                <w:highlight w:val="none"/>
                <w:lang w:val="en-US" w:eastAsia="zh-CN"/>
              </w:rPr>
            </w:pPr>
            <w:r>
              <w:rPr>
                <w:color w:val="auto"/>
                <w:kern w:val="0"/>
                <w:sz w:val="24"/>
                <w:szCs w:val="24"/>
                <w:highlight w:val="none"/>
              </w:rPr>
              <w:t>肥料制造262</w:t>
            </w:r>
            <w:r>
              <w:rPr>
                <w:rFonts w:hint="eastAsia"/>
                <w:color w:val="auto"/>
                <w:kern w:val="0"/>
                <w:sz w:val="24"/>
                <w:szCs w:val="24"/>
                <w:highlight w:val="none"/>
                <w:lang w:val="en-US" w:eastAsia="zh-CN"/>
              </w:rPr>
              <w:t>-其他</w:t>
            </w:r>
          </w:p>
        </w:tc>
      </w:tr>
      <w:tr w14:paraId="357552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tcMar>
              <w:top w:w="16" w:type="dxa"/>
              <w:left w:w="16" w:type="dxa"/>
              <w:right w:w="16" w:type="dxa"/>
            </w:tcMar>
            <w:vAlign w:val="center"/>
          </w:tcPr>
          <w:p w14:paraId="0E28726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建设性质</w:t>
            </w:r>
          </w:p>
        </w:tc>
        <w:tc>
          <w:tcPr>
            <w:tcW w:w="3176" w:type="dxa"/>
            <w:vAlign w:val="center"/>
          </w:tcPr>
          <w:p w14:paraId="40B93C7F">
            <w:pPr>
              <w:keepNext w:val="0"/>
              <w:keepLines w:val="0"/>
              <w:pageBreakBefore w:val="0"/>
              <w:widowControl w:val="0"/>
              <w:kinsoku/>
              <w:wordWrap/>
              <w:overflowPunct/>
              <w:topLinePunct w:val="0"/>
              <w:autoSpaceDE/>
              <w:autoSpaceDN/>
              <w:bidi w:val="0"/>
              <w:adjustRightInd/>
              <w:snapToGrid/>
              <w:spacing w:line="340" w:lineRule="exact"/>
              <w:jc w:val="left"/>
              <w:textAlignment w:val="auto"/>
              <w:rPr>
                <w:color w:val="auto"/>
                <w:kern w:val="0"/>
                <w:sz w:val="24"/>
                <w:szCs w:val="24"/>
                <w:highlight w:val="none"/>
              </w:rPr>
            </w:pPr>
            <w:r>
              <w:rPr>
                <w:rFonts w:hint="eastAsia"/>
                <w:color w:val="auto"/>
                <w:kern w:val="0"/>
                <w:sz w:val="24"/>
                <w:szCs w:val="24"/>
                <w:highlight w:val="none"/>
              </w:rPr>
              <w:sym w:font="Wingdings 2" w:char="00A3"/>
            </w:r>
            <w:r>
              <w:rPr>
                <w:color w:val="auto"/>
                <w:kern w:val="0"/>
                <w:sz w:val="24"/>
                <w:szCs w:val="24"/>
                <w:highlight w:val="none"/>
              </w:rPr>
              <w:t>新建（迁建）</w:t>
            </w:r>
          </w:p>
          <w:p w14:paraId="1D52A9A2">
            <w:pPr>
              <w:keepNext w:val="0"/>
              <w:keepLines w:val="0"/>
              <w:pageBreakBefore w:val="0"/>
              <w:widowControl w:val="0"/>
              <w:kinsoku/>
              <w:wordWrap/>
              <w:overflowPunct/>
              <w:topLinePunct w:val="0"/>
              <w:autoSpaceDE/>
              <w:autoSpaceDN/>
              <w:bidi w:val="0"/>
              <w:adjustRightInd/>
              <w:snapToGrid/>
              <w:spacing w:line="340" w:lineRule="exact"/>
              <w:jc w:val="left"/>
              <w:textAlignment w:val="auto"/>
              <w:rPr>
                <w:color w:val="auto"/>
                <w:kern w:val="0"/>
                <w:sz w:val="24"/>
                <w:szCs w:val="24"/>
                <w:highlight w:val="none"/>
              </w:rPr>
            </w:pPr>
            <w:r>
              <w:rPr>
                <w:rFonts w:hint="eastAsia"/>
                <w:color w:val="auto"/>
                <w:kern w:val="0"/>
                <w:sz w:val="24"/>
                <w:szCs w:val="24"/>
                <w:highlight w:val="none"/>
              </w:rPr>
              <w:sym w:font="Wingdings 2" w:char="00A3"/>
            </w:r>
            <w:r>
              <w:rPr>
                <w:color w:val="auto"/>
                <w:kern w:val="0"/>
                <w:sz w:val="24"/>
                <w:szCs w:val="24"/>
                <w:highlight w:val="none"/>
              </w:rPr>
              <w:t>改建</w:t>
            </w:r>
          </w:p>
          <w:p w14:paraId="074268FF">
            <w:pPr>
              <w:keepNext w:val="0"/>
              <w:keepLines w:val="0"/>
              <w:pageBreakBefore w:val="0"/>
              <w:widowControl w:val="0"/>
              <w:kinsoku/>
              <w:wordWrap/>
              <w:overflowPunct/>
              <w:topLinePunct w:val="0"/>
              <w:autoSpaceDE/>
              <w:autoSpaceDN/>
              <w:bidi w:val="0"/>
              <w:adjustRightInd/>
              <w:snapToGrid/>
              <w:spacing w:line="340" w:lineRule="exact"/>
              <w:jc w:val="left"/>
              <w:textAlignment w:val="auto"/>
              <w:rPr>
                <w:color w:val="auto"/>
                <w:kern w:val="0"/>
                <w:sz w:val="24"/>
                <w:szCs w:val="24"/>
                <w:highlight w:val="none"/>
              </w:rPr>
            </w:pPr>
            <w:r>
              <w:rPr>
                <w:rFonts w:hint="eastAsia"/>
                <w:color w:val="auto"/>
                <w:kern w:val="0"/>
                <w:sz w:val="24"/>
                <w:szCs w:val="24"/>
                <w:highlight w:val="none"/>
              </w:rPr>
              <w:sym w:font="Wingdings 2" w:char="0052"/>
            </w:r>
            <w:r>
              <w:rPr>
                <w:color w:val="auto"/>
                <w:kern w:val="0"/>
                <w:sz w:val="24"/>
                <w:szCs w:val="24"/>
                <w:highlight w:val="none"/>
              </w:rPr>
              <w:t>扩建</w:t>
            </w:r>
          </w:p>
          <w:p w14:paraId="19C2BA82">
            <w:pPr>
              <w:keepNext w:val="0"/>
              <w:keepLines w:val="0"/>
              <w:pageBreakBefore w:val="0"/>
              <w:widowControl w:val="0"/>
              <w:kinsoku/>
              <w:wordWrap/>
              <w:overflowPunct/>
              <w:topLinePunct w:val="0"/>
              <w:autoSpaceDE/>
              <w:autoSpaceDN/>
              <w:bidi w:val="0"/>
              <w:adjustRightInd/>
              <w:snapToGrid/>
              <w:spacing w:line="340" w:lineRule="exact"/>
              <w:jc w:val="left"/>
              <w:textAlignment w:val="auto"/>
              <w:rPr>
                <w:color w:val="auto"/>
                <w:kern w:val="0"/>
                <w:sz w:val="24"/>
                <w:szCs w:val="24"/>
                <w:highlight w:val="none"/>
              </w:rPr>
            </w:pPr>
            <w:r>
              <w:rPr>
                <w:rFonts w:hint="eastAsia"/>
                <w:color w:val="auto"/>
                <w:kern w:val="0"/>
                <w:sz w:val="24"/>
                <w:szCs w:val="24"/>
                <w:highlight w:val="none"/>
              </w:rPr>
              <w:sym w:font="Wingdings 2" w:char="00A3"/>
            </w:r>
            <w:r>
              <w:rPr>
                <w:color w:val="auto"/>
                <w:kern w:val="0"/>
                <w:sz w:val="24"/>
                <w:szCs w:val="24"/>
                <w:highlight w:val="none"/>
              </w:rPr>
              <w:t>技术改造</w:t>
            </w:r>
          </w:p>
        </w:tc>
        <w:tc>
          <w:tcPr>
            <w:tcW w:w="1536" w:type="dxa"/>
            <w:vAlign w:val="center"/>
          </w:tcPr>
          <w:p w14:paraId="5E79C5B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建设项目</w:t>
            </w:r>
          </w:p>
          <w:p w14:paraId="00A3226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申报情形</w:t>
            </w:r>
          </w:p>
        </w:tc>
        <w:tc>
          <w:tcPr>
            <w:tcW w:w="3118" w:type="dxa"/>
            <w:vAlign w:val="center"/>
          </w:tcPr>
          <w:p w14:paraId="0D6B74E1">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eastAsia="宋体"/>
                <w:color w:val="auto"/>
                <w:kern w:val="0"/>
                <w:sz w:val="24"/>
                <w:szCs w:val="24"/>
                <w:highlight w:val="none"/>
                <w:lang w:eastAsia="zh-CN"/>
              </w:rPr>
            </w:pPr>
            <w:r>
              <w:rPr>
                <w:rFonts w:hint="eastAsia"/>
                <w:color w:val="auto"/>
                <w:kern w:val="0"/>
                <w:sz w:val="24"/>
                <w:szCs w:val="24"/>
                <w:highlight w:val="none"/>
              </w:rPr>
              <w:sym w:font="Wingdings 2" w:char="0052"/>
            </w:r>
            <w:r>
              <w:rPr>
                <w:color w:val="auto"/>
                <w:kern w:val="0"/>
                <w:sz w:val="24"/>
                <w:szCs w:val="24"/>
                <w:highlight w:val="none"/>
              </w:rPr>
              <w:t>首次申报项目</w:t>
            </w:r>
          </w:p>
          <w:p w14:paraId="6E6F9CB3">
            <w:pPr>
              <w:keepNext w:val="0"/>
              <w:keepLines w:val="0"/>
              <w:pageBreakBefore w:val="0"/>
              <w:widowControl w:val="0"/>
              <w:kinsoku/>
              <w:wordWrap/>
              <w:overflowPunct/>
              <w:topLinePunct w:val="0"/>
              <w:autoSpaceDE/>
              <w:autoSpaceDN/>
              <w:bidi w:val="0"/>
              <w:adjustRightInd/>
              <w:snapToGrid/>
              <w:spacing w:line="340" w:lineRule="exact"/>
              <w:jc w:val="left"/>
              <w:textAlignment w:val="auto"/>
              <w:rPr>
                <w:color w:val="auto"/>
                <w:kern w:val="0"/>
                <w:sz w:val="24"/>
                <w:szCs w:val="24"/>
                <w:highlight w:val="none"/>
              </w:rPr>
            </w:pPr>
            <w:r>
              <w:rPr>
                <w:rFonts w:hint="eastAsia"/>
                <w:color w:val="auto"/>
                <w:kern w:val="0"/>
                <w:sz w:val="24"/>
                <w:szCs w:val="24"/>
                <w:highlight w:val="none"/>
              </w:rPr>
              <w:sym w:font="Wingdings 2" w:char="00A3"/>
            </w:r>
            <w:r>
              <w:rPr>
                <w:color w:val="auto"/>
                <w:kern w:val="0"/>
                <w:sz w:val="24"/>
                <w:szCs w:val="24"/>
                <w:highlight w:val="none"/>
              </w:rPr>
              <w:t>不予批准后再次申报项目</w:t>
            </w:r>
          </w:p>
          <w:p w14:paraId="4ADB76E0">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eastAsia="宋体"/>
                <w:color w:val="auto"/>
                <w:kern w:val="0"/>
                <w:sz w:val="24"/>
                <w:szCs w:val="24"/>
                <w:highlight w:val="none"/>
                <w:lang w:eastAsia="zh-CN"/>
              </w:rPr>
            </w:pPr>
            <w:r>
              <w:rPr>
                <w:rFonts w:hint="eastAsia"/>
                <w:color w:val="auto"/>
                <w:kern w:val="0"/>
                <w:sz w:val="24"/>
                <w:szCs w:val="24"/>
                <w:highlight w:val="none"/>
              </w:rPr>
              <w:sym w:font="Wingdings 2" w:char="00A3"/>
            </w:r>
            <w:r>
              <w:rPr>
                <w:color w:val="auto"/>
                <w:kern w:val="0"/>
                <w:sz w:val="24"/>
                <w:szCs w:val="24"/>
                <w:highlight w:val="none"/>
              </w:rPr>
              <w:t>超五年重新审核项目</w:t>
            </w:r>
          </w:p>
          <w:p w14:paraId="606C4A90">
            <w:pPr>
              <w:keepNext w:val="0"/>
              <w:keepLines w:val="0"/>
              <w:pageBreakBefore w:val="0"/>
              <w:widowControl w:val="0"/>
              <w:kinsoku/>
              <w:wordWrap/>
              <w:overflowPunct/>
              <w:topLinePunct w:val="0"/>
              <w:autoSpaceDE/>
              <w:autoSpaceDN/>
              <w:bidi w:val="0"/>
              <w:adjustRightInd/>
              <w:snapToGrid/>
              <w:spacing w:line="340" w:lineRule="exact"/>
              <w:jc w:val="left"/>
              <w:textAlignment w:val="auto"/>
              <w:rPr>
                <w:color w:val="auto"/>
                <w:kern w:val="0"/>
                <w:sz w:val="24"/>
                <w:szCs w:val="24"/>
                <w:highlight w:val="none"/>
              </w:rPr>
            </w:pPr>
            <w:r>
              <w:rPr>
                <w:rFonts w:hint="eastAsia"/>
                <w:color w:val="auto"/>
                <w:kern w:val="0"/>
                <w:sz w:val="24"/>
                <w:szCs w:val="24"/>
                <w:highlight w:val="none"/>
              </w:rPr>
              <w:sym w:font="Wingdings 2" w:char="00A3"/>
            </w:r>
            <w:r>
              <w:rPr>
                <w:color w:val="auto"/>
                <w:kern w:val="0"/>
                <w:sz w:val="24"/>
                <w:szCs w:val="24"/>
                <w:highlight w:val="none"/>
              </w:rPr>
              <w:t>重大变动重新报批项目</w:t>
            </w:r>
          </w:p>
        </w:tc>
      </w:tr>
      <w:tr w14:paraId="737B15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tcMar>
              <w:top w:w="16" w:type="dxa"/>
              <w:left w:w="16" w:type="dxa"/>
              <w:right w:w="16" w:type="dxa"/>
            </w:tcMar>
            <w:vAlign w:val="center"/>
          </w:tcPr>
          <w:p w14:paraId="70E4161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项目审批（核准/备案）部门（选填）</w:t>
            </w:r>
          </w:p>
        </w:tc>
        <w:tc>
          <w:tcPr>
            <w:tcW w:w="3176" w:type="dxa"/>
            <w:vAlign w:val="center"/>
          </w:tcPr>
          <w:p w14:paraId="7930455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rFonts w:hint="eastAsia"/>
                <w:color w:val="auto"/>
                <w:kern w:val="0"/>
                <w:sz w:val="24"/>
                <w:szCs w:val="24"/>
                <w:highlight w:val="none"/>
              </w:rPr>
              <w:t>寻甸县</w:t>
            </w:r>
            <w:r>
              <w:rPr>
                <w:color w:val="auto"/>
                <w:kern w:val="0"/>
                <w:sz w:val="24"/>
                <w:szCs w:val="24"/>
                <w:highlight w:val="none"/>
              </w:rPr>
              <w:t>发展和改革局</w:t>
            </w:r>
          </w:p>
        </w:tc>
        <w:tc>
          <w:tcPr>
            <w:tcW w:w="1536" w:type="dxa"/>
            <w:vAlign w:val="center"/>
          </w:tcPr>
          <w:p w14:paraId="4BE05A6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项目审批（核准/备案）文号（选填）</w:t>
            </w:r>
          </w:p>
        </w:tc>
        <w:tc>
          <w:tcPr>
            <w:tcW w:w="3118" w:type="dxa"/>
            <w:vAlign w:val="center"/>
          </w:tcPr>
          <w:p w14:paraId="78F8950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rFonts w:hint="eastAsia" w:eastAsia="Calibri"/>
                <w:color w:val="auto"/>
                <w:kern w:val="0"/>
                <w:sz w:val="24"/>
                <w:szCs w:val="24"/>
                <w:highlight w:val="none"/>
              </w:rPr>
              <w:t>2510-530129-04-01-957343</w:t>
            </w:r>
          </w:p>
        </w:tc>
      </w:tr>
      <w:tr w14:paraId="2F915D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tcMar>
              <w:top w:w="16" w:type="dxa"/>
              <w:left w:w="16" w:type="dxa"/>
              <w:right w:w="16" w:type="dxa"/>
            </w:tcMar>
            <w:vAlign w:val="center"/>
          </w:tcPr>
          <w:p w14:paraId="45A7685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总投资</w:t>
            </w:r>
          </w:p>
          <w:p w14:paraId="53E35AF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（万元）</w:t>
            </w:r>
          </w:p>
        </w:tc>
        <w:tc>
          <w:tcPr>
            <w:tcW w:w="3176" w:type="dxa"/>
            <w:vAlign w:val="center"/>
          </w:tcPr>
          <w:p w14:paraId="54261F2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eastAsia="Calibri"/>
                <w:color w:val="auto"/>
                <w:kern w:val="0"/>
                <w:sz w:val="24"/>
                <w:szCs w:val="24"/>
                <w:highlight w:val="none"/>
              </w:rPr>
            </w:pPr>
            <w:r>
              <w:rPr>
                <w:rFonts w:hint="eastAsia"/>
                <w:color w:val="auto"/>
                <w:kern w:val="0"/>
                <w:sz w:val="24"/>
                <w:szCs w:val="24"/>
                <w:highlight w:val="none"/>
              </w:rPr>
              <w:t>520</w:t>
            </w:r>
          </w:p>
        </w:tc>
        <w:tc>
          <w:tcPr>
            <w:tcW w:w="1536" w:type="dxa"/>
            <w:tcMar>
              <w:top w:w="16" w:type="dxa"/>
              <w:left w:w="16" w:type="dxa"/>
              <w:right w:w="16" w:type="dxa"/>
            </w:tcMar>
            <w:vAlign w:val="center"/>
          </w:tcPr>
          <w:p w14:paraId="71F151A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环保投资</w:t>
            </w:r>
          </w:p>
          <w:p w14:paraId="55852DE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（万元）</w:t>
            </w:r>
          </w:p>
        </w:tc>
        <w:tc>
          <w:tcPr>
            <w:tcW w:w="3118" w:type="dxa"/>
            <w:vAlign w:val="center"/>
          </w:tcPr>
          <w:p w14:paraId="713F970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59.9</w:t>
            </w:r>
          </w:p>
        </w:tc>
      </w:tr>
      <w:tr w14:paraId="5663F7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tcMar>
              <w:top w:w="16" w:type="dxa"/>
              <w:left w:w="16" w:type="dxa"/>
              <w:right w:w="16" w:type="dxa"/>
            </w:tcMar>
            <w:vAlign w:val="center"/>
          </w:tcPr>
          <w:p w14:paraId="4B52A8C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环保投资</w:t>
            </w:r>
          </w:p>
          <w:p w14:paraId="76CE29E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占比（%）</w:t>
            </w:r>
          </w:p>
        </w:tc>
        <w:tc>
          <w:tcPr>
            <w:tcW w:w="3176" w:type="dxa"/>
            <w:vAlign w:val="center"/>
          </w:tcPr>
          <w:p w14:paraId="5E29D7E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11.5</w:t>
            </w:r>
          </w:p>
        </w:tc>
        <w:tc>
          <w:tcPr>
            <w:tcW w:w="1536" w:type="dxa"/>
            <w:tcMar>
              <w:top w:w="16" w:type="dxa"/>
              <w:left w:w="16" w:type="dxa"/>
              <w:right w:w="16" w:type="dxa"/>
            </w:tcMar>
            <w:vAlign w:val="center"/>
          </w:tcPr>
          <w:p w14:paraId="064CD59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施工工期</w:t>
            </w:r>
          </w:p>
        </w:tc>
        <w:tc>
          <w:tcPr>
            <w:tcW w:w="3118" w:type="dxa"/>
            <w:vAlign w:val="center"/>
          </w:tcPr>
          <w:p w14:paraId="4CAAFAC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rFonts w:hint="eastAsia"/>
                <w:color w:val="auto"/>
                <w:kern w:val="0"/>
                <w:sz w:val="24"/>
                <w:szCs w:val="24"/>
                <w:highlight w:val="none"/>
              </w:rPr>
              <w:t>6</w:t>
            </w:r>
            <w:r>
              <w:rPr>
                <w:color w:val="auto"/>
                <w:kern w:val="0"/>
                <w:sz w:val="24"/>
                <w:szCs w:val="24"/>
                <w:highlight w:val="none"/>
              </w:rPr>
              <w:t>个月</w:t>
            </w:r>
          </w:p>
        </w:tc>
      </w:tr>
      <w:tr w14:paraId="672974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tcMar>
              <w:top w:w="16" w:type="dxa"/>
              <w:left w:w="16" w:type="dxa"/>
              <w:right w:w="16" w:type="dxa"/>
            </w:tcMar>
            <w:vAlign w:val="center"/>
          </w:tcPr>
          <w:p w14:paraId="5717C59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是否</w:t>
            </w:r>
          </w:p>
          <w:p w14:paraId="54211E4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kern w:val="0"/>
                <w:sz w:val="24"/>
                <w:szCs w:val="24"/>
                <w:highlight w:val="none"/>
              </w:rPr>
            </w:pPr>
            <w:r>
              <w:rPr>
                <w:color w:val="auto"/>
                <w:kern w:val="0"/>
                <w:sz w:val="24"/>
                <w:szCs w:val="24"/>
                <w:highlight w:val="none"/>
              </w:rPr>
              <w:t>开工建设</w:t>
            </w:r>
          </w:p>
        </w:tc>
        <w:tc>
          <w:tcPr>
            <w:tcW w:w="3176" w:type="dxa"/>
            <w:vAlign w:val="center"/>
          </w:tcPr>
          <w:p w14:paraId="15929A3A">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kern w:val="0"/>
                <w:sz w:val="24"/>
                <w:szCs w:val="24"/>
                <w:highlight w:val="none"/>
              </w:rPr>
            </w:pPr>
            <w:r>
              <w:rPr>
                <w:rFonts w:hint="eastAsia"/>
                <w:color w:val="auto"/>
                <w:kern w:val="0"/>
                <w:sz w:val="24"/>
                <w:szCs w:val="24"/>
                <w:highlight w:val="none"/>
              </w:rPr>
              <w:sym w:font="Wingdings 2" w:char="0052"/>
            </w:r>
            <w:r>
              <w:rPr>
                <w:color w:val="auto"/>
                <w:kern w:val="0"/>
                <w:sz w:val="24"/>
                <w:szCs w:val="24"/>
                <w:highlight w:val="none"/>
              </w:rPr>
              <w:t>否</w:t>
            </w:r>
          </w:p>
          <w:p w14:paraId="34336B27">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eastAsia="宋体"/>
                <w:color w:val="auto"/>
                <w:kern w:val="0"/>
                <w:sz w:val="24"/>
                <w:szCs w:val="24"/>
                <w:highlight w:val="none"/>
                <w:u w:val="single"/>
                <w:lang w:eastAsia="zh-CN"/>
              </w:rPr>
            </w:pPr>
            <w:r>
              <w:rPr>
                <w:rFonts w:hint="eastAsia"/>
                <w:color w:val="auto"/>
                <w:kern w:val="0"/>
                <w:sz w:val="24"/>
                <w:szCs w:val="24"/>
                <w:highlight w:val="none"/>
              </w:rPr>
              <w:sym w:font="Wingdings 2" w:char="00A3"/>
            </w:r>
            <w:r>
              <w:rPr>
                <w:color w:val="auto"/>
                <w:kern w:val="0"/>
                <w:sz w:val="24"/>
                <w:szCs w:val="24"/>
                <w:highlight w:val="none"/>
              </w:rPr>
              <w:t>是</w:t>
            </w:r>
            <w:r>
              <w:rPr>
                <w:rFonts w:hint="eastAsia"/>
                <w:color w:val="auto"/>
                <w:kern w:val="0"/>
                <w:sz w:val="24"/>
                <w:szCs w:val="24"/>
                <w:highlight w:val="none"/>
              </w:rPr>
              <w:t>：</w:t>
            </w:r>
          </w:p>
        </w:tc>
        <w:tc>
          <w:tcPr>
            <w:tcW w:w="1536" w:type="dxa"/>
            <w:tcMar>
              <w:top w:w="16" w:type="dxa"/>
              <w:left w:w="16" w:type="dxa"/>
              <w:right w:w="16" w:type="dxa"/>
            </w:tcMar>
            <w:vAlign w:val="center"/>
          </w:tcPr>
          <w:p w14:paraId="33A286F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eastAsia="Calibri"/>
                <w:color w:val="auto"/>
                <w:kern w:val="0"/>
                <w:sz w:val="24"/>
                <w:szCs w:val="24"/>
                <w:highlight w:val="none"/>
              </w:rPr>
            </w:pPr>
            <w:r>
              <w:rPr>
                <w:color w:val="auto"/>
                <w:kern w:val="0"/>
                <w:sz w:val="24"/>
                <w:szCs w:val="24"/>
                <w:highlight w:val="none"/>
              </w:rPr>
              <w:t>用地（用海）面积（m</w:t>
            </w:r>
            <w:r>
              <w:rPr>
                <w:color w:val="auto"/>
                <w:kern w:val="0"/>
                <w:sz w:val="24"/>
                <w:szCs w:val="24"/>
                <w:highlight w:val="none"/>
                <w:vertAlign w:val="superscript"/>
              </w:rPr>
              <w:t>2</w:t>
            </w:r>
            <w:r>
              <w:rPr>
                <w:color w:val="auto"/>
                <w:kern w:val="0"/>
                <w:sz w:val="24"/>
                <w:szCs w:val="24"/>
                <w:highlight w:val="none"/>
              </w:rPr>
              <w:t>）</w:t>
            </w:r>
          </w:p>
        </w:tc>
        <w:tc>
          <w:tcPr>
            <w:tcW w:w="3118" w:type="dxa"/>
            <w:tcMar>
              <w:top w:w="16" w:type="dxa"/>
              <w:left w:w="16" w:type="dxa"/>
              <w:right w:w="16" w:type="dxa"/>
            </w:tcMar>
            <w:vAlign w:val="center"/>
          </w:tcPr>
          <w:p w14:paraId="7D209CBA">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eastAsia="宋体"/>
                <w:color w:val="auto"/>
                <w:kern w:val="0"/>
                <w:sz w:val="24"/>
                <w:szCs w:val="24"/>
                <w:highlight w:val="none"/>
                <w:lang w:val="en-US" w:eastAsia="zh-CN"/>
              </w:rPr>
            </w:pPr>
            <w:r>
              <w:rPr>
                <w:rFonts w:hint="eastAsia" w:eastAsia="Calibri"/>
                <w:color w:val="auto"/>
                <w:kern w:val="0"/>
                <w:sz w:val="24"/>
                <w:szCs w:val="24"/>
                <w:highlight w:val="none"/>
              </w:rPr>
              <w:t>租用大法古村土地3.6亩（</w:t>
            </w:r>
            <w:r>
              <w:rPr>
                <w:rFonts w:hint="eastAsia" w:eastAsia="宋体"/>
                <w:color w:val="auto"/>
                <w:kern w:val="0"/>
                <w:sz w:val="24"/>
                <w:szCs w:val="24"/>
                <w:highlight w:val="none"/>
                <w:lang w:val="en-US" w:eastAsia="zh-CN"/>
              </w:rPr>
              <w:t>工业用地，</w:t>
            </w:r>
            <w:r>
              <w:rPr>
                <w:rFonts w:hint="eastAsia" w:eastAsia="Calibri"/>
                <w:color w:val="auto"/>
                <w:kern w:val="0"/>
                <w:sz w:val="24"/>
                <w:szCs w:val="24"/>
                <w:highlight w:val="none"/>
              </w:rPr>
              <w:t>2400m</w:t>
            </w:r>
            <w:r>
              <w:rPr>
                <w:rFonts w:hint="eastAsia" w:eastAsia="Calibri"/>
                <w:color w:val="auto"/>
                <w:kern w:val="0"/>
                <w:sz w:val="24"/>
                <w:szCs w:val="24"/>
                <w:highlight w:val="none"/>
                <w:vertAlign w:val="superscript"/>
              </w:rPr>
              <w:t>2</w:t>
            </w:r>
            <w:r>
              <w:rPr>
                <w:rFonts w:hint="eastAsia" w:eastAsia="Calibri"/>
                <w:color w:val="auto"/>
                <w:kern w:val="0"/>
                <w:sz w:val="24"/>
                <w:szCs w:val="24"/>
                <w:highlight w:val="none"/>
              </w:rPr>
              <w:t>）</w:t>
            </w:r>
            <w:r>
              <w:rPr>
                <w:rFonts w:hint="eastAsia" w:eastAsia="宋体"/>
                <w:color w:val="auto"/>
                <w:kern w:val="0"/>
                <w:sz w:val="24"/>
                <w:szCs w:val="24"/>
                <w:highlight w:val="none"/>
                <w:vertAlign w:val="baseline"/>
                <w:lang w:val="en-US" w:eastAsia="zh-CN"/>
              </w:rPr>
              <w:t>作为固体复合微生物肥生产区。</w:t>
            </w:r>
          </w:p>
        </w:tc>
      </w:tr>
      <w:tr w14:paraId="3D17AB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66" w:type="dxa"/>
            <w:vAlign w:val="center"/>
          </w:tcPr>
          <w:p w14:paraId="3C57A58B">
            <w:pPr>
              <w:jc w:val="center"/>
              <w:rPr>
                <w:color w:val="auto"/>
                <w:kern w:val="0"/>
                <w:sz w:val="21"/>
                <w:szCs w:val="21"/>
                <w:highlight w:val="none"/>
              </w:rPr>
            </w:pPr>
            <w:r>
              <w:rPr>
                <w:color w:val="auto"/>
                <w:kern w:val="0"/>
                <w:sz w:val="21"/>
                <w:szCs w:val="21"/>
                <w:highlight w:val="none"/>
              </w:rPr>
              <w:t>专项评价设置情况</w:t>
            </w:r>
          </w:p>
        </w:tc>
        <w:tc>
          <w:tcPr>
            <w:tcW w:w="7830" w:type="dxa"/>
            <w:gridSpan w:val="3"/>
            <w:vAlign w:val="center"/>
          </w:tcPr>
          <w:p w14:paraId="0976A3C2">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color w:val="auto"/>
                <w:kern w:val="0"/>
                <w:sz w:val="24"/>
                <w:szCs w:val="24"/>
                <w:highlight w:val="none"/>
              </w:rPr>
            </w:pPr>
            <w:r>
              <w:rPr>
                <w:rFonts w:hint="eastAsia"/>
                <w:color w:val="auto"/>
                <w:kern w:val="0"/>
                <w:sz w:val="24"/>
                <w:szCs w:val="24"/>
                <w:highlight w:val="none"/>
              </w:rPr>
              <w:t>根据《建设项目环境影响报告表编制技术指南（污染影响类）》（试行），项目专项评价设置情况如下：</w:t>
            </w:r>
          </w:p>
          <w:p w14:paraId="27751049">
            <w:pPr>
              <w:pStyle w:val="87"/>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b/>
                <w:bCs w:val="0"/>
                <w:color w:val="auto"/>
                <w:kern w:val="0"/>
                <w:sz w:val="21"/>
                <w:szCs w:val="21"/>
                <w:highlight w:val="none"/>
              </w:rPr>
            </w:pPr>
            <w:r>
              <w:rPr>
                <w:rFonts w:hint="default" w:ascii="Times New Roman" w:hAnsi="Times New Roman" w:cs="Times New Roman" w:eastAsiaTheme="minorEastAsia"/>
                <w:b/>
                <w:bCs w:val="0"/>
                <w:color w:val="auto"/>
                <w:kern w:val="0"/>
                <w:sz w:val="21"/>
                <w:szCs w:val="21"/>
                <w:highlight w:val="none"/>
              </w:rPr>
              <w:t>表1-1  专项评价设置原则表</w:t>
            </w:r>
          </w:p>
          <w:tbl>
            <w:tblPr>
              <w:tblStyle w:val="26"/>
              <w:tblW w:w="77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9"/>
              <w:gridCol w:w="2641"/>
              <w:gridCol w:w="3298"/>
              <w:gridCol w:w="905"/>
            </w:tblGrid>
            <w:tr w14:paraId="2754C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dxa"/>
                  <w:tcBorders>
                    <w:tl2br w:val="nil"/>
                    <w:tr2bl w:val="nil"/>
                  </w:tcBorders>
                  <w:vAlign w:val="center"/>
                </w:tcPr>
                <w:p w14:paraId="50FE8CF2">
                  <w:pPr>
                    <w:pStyle w:val="89"/>
                    <w:keepNext w:val="0"/>
                    <w:keepLines w:val="0"/>
                    <w:pageBreakBefore w:val="0"/>
                    <w:widowControl w:val="0"/>
                    <w:kinsoku/>
                    <w:wordWrap/>
                    <w:overflowPunct/>
                    <w:topLinePunct w:val="0"/>
                    <w:bidi w:val="0"/>
                    <w:spacing w:line="320" w:lineRule="exact"/>
                    <w:ind w:firstLine="0" w:firstLineChars="0"/>
                    <w:textAlignment w:val="auto"/>
                    <w:rPr>
                      <w:b/>
                      <w:bCs w:val="0"/>
                      <w:color w:val="auto"/>
                      <w:kern w:val="0"/>
                      <w:sz w:val="21"/>
                      <w:szCs w:val="21"/>
                      <w:highlight w:val="none"/>
                    </w:rPr>
                  </w:pPr>
                  <w:r>
                    <w:rPr>
                      <w:rFonts w:hint="eastAsia"/>
                      <w:b/>
                      <w:bCs w:val="0"/>
                      <w:color w:val="auto"/>
                      <w:kern w:val="0"/>
                      <w:sz w:val="21"/>
                      <w:szCs w:val="21"/>
                      <w:highlight w:val="none"/>
                    </w:rPr>
                    <w:t>专项评价类别</w:t>
                  </w:r>
                </w:p>
              </w:tc>
              <w:tc>
                <w:tcPr>
                  <w:tcW w:w="2641" w:type="dxa"/>
                  <w:tcBorders>
                    <w:tl2br w:val="nil"/>
                    <w:tr2bl w:val="nil"/>
                  </w:tcBorders>
                  <w:vAlign w:val="center"/>
                </w:tcPr>
                <w:p w14:paraId="5072043E">
                  <w:pPr>
                    <w:pStyle w:val="89"/>
                    <w:keepNext w:val="0"/>
                    <w:keepLines w:val="0"/>
                    <w:pageBreakBefore w:val="0"/>
                    <w:widowControl w:val="0"/>
                    <w:kinsoku/>
                    <w:wordWrap/>
                    <w:overflowPunct/>
                    <w:topLinePunct w:val="0"/>
                    <w:bidi w:val="0"/>
                    <w:spacing w:line="320" w:lineRule="exact"/>
                    <w:ind w:firstLine="0" w:firstLineChars="0"/>
                    <w:textAlignment w:val="auto"/>
                    <w:rPr>
                      <w:b/>
                      <w:bCs w:val="0"/>
                      <w:color w:val="auto"/>
                      <w:kern w:val="0"/>
                      <w:sz w:val="21"/>
                      <w:szCs w:val="21"/>
                      <w:highlight w:val="none"/>
                    </w:rPr>
                  </w:pPr>
                  <w:r>
                    <w:rPr>
                      <w:rFonts w:hint="eastAsia"/>
                      <w:b/>
                      <w:bCs w:val="0"/>
                      <w:color w:val="auto"/>
                      <w:kern w:val="0"/>
                      <w:sz w:val="21"/>
                      <w:szCs w:val="21"/>
                      <w:highlight w:val="none"/>
                    </w:rPr>
                    <w:t>设置原则</w:t>
                  </w:r>
                </w:p>
              </w:tc>
              <w:tc>
                <w:tcPr>
                  <w:tcW w:w="3298" w:type="dxa"/>
                  <w:tcBorders>
                    <w:tl2br w:val="nil"/>
                    <w:tr2bl w:val="nil"/>
                  </w:tcBorders>
                  <w:vAlign w:val="center"/>
                </w:tcPr>
                <w:p w14:paraId="4119A0AE">
                  <w:pPr>
                    <w:pStyle w:val="89"/>
                    <w:keepNext w:val="0"/>
                    <w:keepLines w:val="0"/>
                    <w:pageBreakBefore w:val="0"/>
                    <w:widowControl w:val="0"/>
                    <w:kinsoku/>
                    <w:wordWrap/>
                    <w:overflowPunct/>
                    <w:topLinePunct w:val="0"/>
                    <w:bidi w:val="0"/>
                    <w:spacing w:line="320" w:lineRule="exact"/>
                    <w:ind w:firstLine="0" w:firstLineChars="0"/>
                    <w:textAlignment w:val="auto"/>
                    <w:rPr>
                      <w:b/>
                      <w:bCs w:val="0"/>
                      <w:color w:val="auto"/>
                      <w:kern w:val="0"/>
                      <w:sz w:val="21"/>
                      <w:szCs w:val="21"/>
                      <w:highlight w:val="none"/>
                    </w:rPr>
                  </w:pPr>
                  <w:r>
                    <w:rPr>
                      <w:rFonts w:hint="eastAsia"/>
                      <w:b/>
                      <w:bCs w:val="0"/>
                      <w:color w:val="auto"/>
                      <w:kern w:val="0"/>
                      <w:sz w:val="21"/>
                      <w:szCs w:val="21"/>
                      <w:highlight w:val="none"/>
                    </w:rPr>
                    <w:t>本项目建设情况</w:t>
                  </w:r>
                </w:p>
              </w:tc>
              <w:tc>
                <w:tcPr>
                  <w:tcW w:w="905" w:type="dxa"/>
                  <w:tcBorders>
                    <w:tl2br w:val="nil"/>
                    <w:tr2bl w:val="nil"/>
                  </w:tcBorders>
                  <w:vAlign w:val="center"/>
                </w:tcPr>
                <w:p w14:paraId="0F360B1B">
                  <w:pPr>
                    <w:pStyle w:val="89"/>
                    <w:keepNext w:val="0"/>
                    <w:keepLines w:val="0"/>
                    <w:pageBreakBefore w:val="0"/>
                    <w:widowControl w:val="0"/>
                    <w:kinsoku/>
                    <w:wordWrap/>
                    <w:overflowPunct/>
                    <w:topLinePunct w:val="0"/>
                    <w:bidi w:val="0"/>
                    <w:spacing w:line="320" w:lineRule="exact"/>
                    <w:ind w:firstLine="0" w:firstLineChars="0"/>
                    <w:textAlignment w:val="auto"/>
                    <w:rPr>
                      <w:b/>
                      <w:bCs w:val="0"/>
                      <w:color w:val="auto"/>
                      <w:kern w:val="0"/>
                      <w:sz w:val="21"/>
                      <w:szCs w:val="21"/>
                      <w:highlight w:val="none"/>
                    </w:rPr>
                  </w:pPr>
                  <w:r>
                    <w:rPr>
                      <w:rFonts w:hint="eastAsia"/>
                      <w:b/>
                      <w:bCs w:val="0"/>
                      <w:color w:val="auto"/>
                      <w:kern w:val="0"/>
                      <w:sz w:val="21"/>
                      <w:szCs w:val="21"/>
                      <w:highlight w:val="none"/>
                    </w:rPr>
                    <w:t>是否设置专项</w:t>
                  </w:r>
                </w:p>
              </w:tc>
            </w:tr>
            <w:tr w14:paraId="12E7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dxa"/>
                  <w:tcBorders>
                    <w:tl2br w:val="nil"/>
                    <w:tr2bl w:val="nil"/>
                  </w:tcBorders>
                  <w:vAlign w:val="center"/>
                </w:tcPr>
                <w:p w14:paraId="7973A3EC">
                  <w:pPr>
                    <w:pStyle w:val="89"/>
                    <w:keepNext w:val="0"/>
                    <w:keepLines w:val="0"/>
                    <w:pageBreakBefore w:val="0"/>
                    <w:widowControl w:val="0"/>
                    <w:kinsoku/>
                    <w:wordWrap/>
                    <w:overflowPunct/>
                    <w:topLinePunct w:val="0"/>
                    <w:bidi w:val="0"/>
                    <w:spacing w:line="320" w:lineRule="exact"/>
                    <w:ind w:firstLine="0" w:firstLineChars="0"/>
                    <w:textAlignment w:val="auto"/>
                    <w:rPr>
                      <w:b w:val="0"/>
                      <w:bCs/>
                      <w:color w:val="auto"/>
                      <w:kern w:val="0"/>
                      <w:sz w:val="21"/>
                      <w:szCs w:val="21"/>
                      <w:highlight w:val="none"/>
                    </w:rPr>
                  </w:pPr>
                  <w:r>
                    <w:rPr>
                      <w:rFonts w:hint="eastAsia"/>
                      <w:b w:val="0"/>
                      <w:bCs/>
                      <w:color w:val="auto"/>
                      <w:kern w:val="0"/>
                      <w:sz w:val="21"/>
                      <w:szCs w:val="21"/>
                      <w:highlight w:val="none"/>
                    </w:rPr>
                    <w:t>大气</w:t>
                  </w:r>
                </w:p>
              </w:tc>
              <w:tc>
                <w:tcPr>
                  <w:tcW w:w="2641" w:type="dxa"/>
                  <w:tcBorders>
                    <w:tl2br w:val="nil"/>
                    <w:tr2bl w:val="nil"/>
                  </w:tcBorders>
                  <w:vAlign w:val="center"/>
                </w:tcPr>
                <w:p w14:paraId="64647F95">
                  <w:pPr>
                    <w:pStyle w:val="89"/>
                    <w:keepNext w:val="0"/>
                    <w:keepLines w:val="0"/>
                    <w:pageBreakBefore w:val="0"/>
                    <w:widowControl w:val="0"/>
                    <w:kinsoku/>
                    <w:wordWrap/>
                    <w:overflowPunct/>
                    <w:topLinePunct w:val="0"/>
                    <w:bidi w:val="0"/>
                    <w:spacing w:line="320" w:lineRule="exact"/>
                    <w:ind w:firstLine="0" w:firstLineChars="0"/>
                    <w:jc w:val="both"/>
                    <w:textAlignment w:val="auto"/>
                    <w:rPr>
                      <w:b w:val="0"/>
                      <w:bCs/>
                      <w:color w:val="auto"/>
                      <w:kern w:val="0"/>
                      <w:sz w:val="21"/>
                      <w:szCs w:val="21"/>
                      <w:highlight w:val="none"/>
                    </w:rPr>
                  </w:pPr>
                  <w:r>
                    <w:rPr>
                      <w:rFonts w:hint="eastAsia"/>
                      <w:b w:val="0"/>
                      <w:bCs/>
                      <w:color w:val="auto"/>
                      <w:kern w:val="0"/>
                      <w:sz w:val="21"/>
                      <w:szCs w:val="21"/>
                      <w:highlight w:val="none"/>
                    </w:rPr>
                    <w:t>排放废气含有毒有害污染物</w:t>
                  </w:r>
                  <w:r>
                    <w:rPr>
                      <w:rFonts w:hint="eastAsia"/>
                      <w:b w:val="0"/>
                      <w:bCs/>
                      <w:color w:val="auto"/>
                      <w:kern w:val="0"/>
                      <w:sz w:val="21"/>
                      <w:szCs w:val="21"/>
                      <w:highlight w:val="none"/>
                      <w:vertAlign w:val="superscript"/>
                    </w:rPr>
                    <w:t>1</w:t>
                  </w:r>
                  <w:r>
                    <w:rPr>
                      <w:rFonts w:hint="eastAsia"/>
                      <w:b w:val="0"/>
                      <w:bCs/>
                      <w:color w:val="auto"/>
                      <w:kern w:val="0"/>
                      <w:sz w:val="21"/>
                      <w:szCs w:val="21"/>
                      <w:highlight w:val="none"/>
                    </w:rPr>
                    <w:t>、二噁英、苯并〔a〕芘、氰化物、氯气且厂界外500米范围内有环境空气保护目标</w:t>
                  </w:r>
                  <w:r>
                    <w:rPr>
                      <w:rFonts w:hint="eastAsia"/>
                      <w:b w:val="0"/>
                      <w:bCs/>
                      <w:color w:val="auto"/>
                      <w:kern w:val="0"/>
                      <w:sz w:val="21"/>
                      <w:szCs w:val="21"/>
                      <w:highlight w:val="none"/>
                      <w:vertAlign w:val="superscript"/>
                    </w:rPr>
                    <w:t>2</w:t>
                  </w:r>
                  <w:r>
                    <w:rPr>
                      <w:rFonts w:hint="eastAsia"/>
                      <w:b w:val="0"/>
                      <w:bCs/>
                      <w:color w:val="auto"/>
                      <w:kern w:val="0"/>
                      <w:sz w:val="21"/>
                      <w:szCs w:val="21"/>
                      <w:highlight w:val="none"/>
                    </w:rPr>
                    <w:t>的建设项目</w:t>
                  </w:r>
                </w:p>
              </w:tc>
              <w:tc>
                <w:tcPr>
                  <w:tcW w:w="3298" w:type="dxa"/>
                  <w:tcBorders>
                    <w:tl2br w:val="nil"/>
                    <w:tr2bl w:val="nil"/>
                  </w:tcBorders>
                  <w:vAlign w:val="center"/>
                </w:tcPr>
                <w:p w14:paraId="7E7F51DD">
                  <w:pPr>
                    <w:pStyle w:val="89"/>
                    <w:keepNext w:val="0"/>
                    <w:keepLines w:val="0"/>
                    <w:pageBreakBefore w:val="0"/>
                    <w:widowControl w:val="0"/>
                    <w:kinsoku/>
                    <w:wordWrap/>
                    <w:overflowPunct/>
                    <w:topLinePunct w:val="0"/>
                    <w:bidi w:val="0"/>
                    <w:spacing w:line="320" w:lineRule="exact"/>
                    <w:ind w:firstLine="0" w:firstLineChars="0"/>
                    <w:jc w:val="both"/>
                    <w:textAlignment w:val="auto"/>
                    <w:rPr>
                      <w:rFonts w:hint="eastAsia" w:eastAsia="宋体"/>
                      <w:b w:val="0"/>
                      <w:bCs/>
                      <w:color w:val="auto"/>
                      <w:kern w:val="0"/>
                      <w:sz w:val="21"/>
                      <w:szCs w:val="21"/>
                      <w:highlight w:val="none"/>
                      <w:lang w:eastAsia="zh-CN"/>
                    </w:rPr>
                  </w:pPr>
                  <w:r>
                    <w:rPr>
                      <w:rFonts w:hint="eastAsia"/>
                      <w:b w:val="0"/>
                      <w:bCs/>
                      <w:color w:val="auto"/>
                      <w:kern w:val="0"/>
                      <w:sz w:val="21"/>
                      <w:szCs w:val="21"/>
                      <w:highlight w:val="none"/>
                    </w:rPr>
                    <w:t>本项目500m范围内有大气环境保护目标</w:t>
                  </w:r>
                  <w:r>
                    <w:rPr>
                      <w:rFonts w:hint="eastAsia"/>
                      <w:b w:val="0"/>
                      <w:bCs/>
                      <w:color w:val="auto"/>
                      <w:kern w:val="0"/>
                      <w:sz w:val="21"/>
                      <w:szCs w:val="21"/>
                      <w:highlight w:val="none"/>
                      <w:lang w:val="en-US" w:eastAsia="zh-CN"/>
                    </w:rPr>
                    <w:t>有</w:t>
                  </w:r>
                  <w:r>
                    <w:rPr>
                      <w:rFonts w:hint="eastAsia"/>
                      <w:b w:val="0"/>
                      <w:bCs/>
                      <w:color w:val="auto"/>
                      <w:kern w:val="0"/>
                      <w:sz w:val="21"/>
                      <w:szCs w:val="21"/>
                      <w:highlight w:val="none"/>
                    </w:rPr>
                    <w:t>西南面74m</w:t>
                  </w:r>
                  <w:r>
                    <w:rPr>
                      <w:rFonts w:hint="eastAsia"/>
                      <w:b w:val="0"/>
                      <w:bCs/>
                      <w:color w:val="auto"/>
                      <w:kern w:val="0"/>
                      <w:sz w:val="21"/>
                      <w:szCs w:val="21"/>
                      <w:highlight w:val="none"/>
                      <w:lang w:val="en-US" w:eastAsia="zh-CN"/>
                    </w:rPr>
                    <w:t>的</w:t>
                  </w:r>
                  <w:r>
                    <w:rPr>
                      <w:rFonts w:hint="eastAsia"/>
                      <w:b w:val="0"/>
                      <w:bCs/>
                      <w:color w:val="auto"/>
                      <w:kern w:val="0"/>
                      <w:sz w:val="21"/>
                      <w:szCs w:val="21"/>
                      <w:highlight w:val="none"/>
                    </w:rPr>
                    <w:t>散户、西南面313m</w:t>
                  </w:r>
                  <w:r>
                    <w:rPr>
                      <w:rFonts w:hint="eastAsia"/>
                      <w:b w:val="0"/>
                      <w:bCs/>
                      <w:color w:val="auto"/>
                      <w:kern w:val="0"/>
                      <w:sz w:val="21"/>
                      <w:szCs w:val="21"/>
                      <w:highlight w:val="none"/>
                      <w:lang w:val="en-US" w:eastAsia="zh-CN"/>
                    </w:rPr>
                    <w:t>的</w:t>
                  </w:r>
                  <w:r>
                    <w:rPr>
                      <w:rFonts w:hint="eastAsia"/>
                      <w:b w:val="0"/>
                      <w:bCs/>
                      <w:color w:val="auto"/>
                      <w:kern w:val="0"/>
                      <w:sz w:val="21"/>
                      <w:szCs w:val="21"/>
                      <w:highlight w:val="none"/>
                    </w:rPr>
                    <w:t>大法古村，</w:t>
                  </w:r>
                  <w:r>
                    <w:rPr>
                      <w:rFonts w:hint="eastAsia"/>
                      <w:b w:val="0"/>
                      <w:bCs/>
                      <w:color w:val="auto"/>
                      <w:kern w:val="0"/>
                      <w:sz w:val="21"/>
                      <w:szCs w:val="21"/>
                      <w:highlight w:val="none"/>
                      <w:lang w:val="en-US" w:eastAsia="zh-CN"/>
                    </w:rPr>
                    <w:t>但</w:t>
                  </w:r>
                  <w:r>
                    <w:rPr>
                      <w:rFonts w:hint="eastAsia"/>
                      <w:b w:val="0"/>
                      <w:bCs/>
                      <w:color w:val="auto"/>
                      <w:kern w:val="0"/>
                      <w:sz w:val="21"/>
                      <w:szCs w:val="21"/>
                      <w:highlight w:val="none"/>
                    </w:rPr>
                    <w:t>本项目排放废气主要为颗粒物、H</w:t>
                  </w:r>
                  <w:r>
                    <w:rPr>
                      <w:rFonts w:hint="eastAsia"/>
                      <w:b w:val="0"/>
                      <w:bCs/>
                      <w:color w:val="auto"/>
                      <w:kern w:val="0"/>
                      <w:sz w:val="21"/>
                      <w:szCs w:val="21"/>
                      <w:highlight w:val="none"/>
                      <w:vertAlign w:val="subscript"/>
                    </w:rPr>
                    <w:t>2</w:t>
                  </w:r>
                  <w:r>
                    <w:rPr>
                      <w:rFonts w:hint="eastAsia"/>
                      <w:b w:val="0"/>
                      <w:bCs/>
                      <w:color w:val="auto"/>
                      <w:kern w:val="0"/>
                      <w:sz w:val="21"/>
                      <w:szCs w:val="21"/>
                      <w:highlight w:val="none"/>
                    </w:rPr>
                    <w:t>S、NH</w:t>
                  </w:r>
                  <w:r>
                    <w:rPr>
                      <w:rFonts w:hint="eastAsia"/>
                      <w:b w:val="0"/>
                      <w:bCs/>
                      <w:color w:val="auto"/>
                      <w:kern w:val="0"/>
                      <w:sz w:val="21"/>
                      <w:szCs w:val="21"/>
                      <w:highlight w:val="none"/>
                      <w:vertAlign w:val="subscript"/>
                    </w:rPr>
                    <w:t>3</w:t>
                  </w:r>
                  <w:r>
                    <w:rPr>
                      <w:rFonts w:hint="eastAsia"/>
                      <w:b w:val="0"/>
                      <w:bCs/>
                      <w:color w:val="auto"/>
                      <w:kern w:val="0"/>
                      <w:sz w:val="21"/>
                      <w:szCs w:val="21"/>
                      <w:highlight w:val="none"/>
                    </w:rPr>
                    <w:t>、臭气，不涉及《有毒有害大气污染物名录》中规定的污染物</w:t>
                  </w:r>
                  <w:r>
                    <w:rPr>
                      <w:rFonts w:hint="eastAsia"/>
                      <w:b w:val="0"/>
                      <w:bCs/>
                      <w:color w:val="auto"/>
                      <w:kern w:val="0"/>
                      <w:sz w:val="21"/>
                      <w:szCs w:val="21"/>
                      <w:highlight w:val="none"/>
                      <w:lang w:eastAsia="zh-CN"/>
                    </w:rPr>
                    <w:t>。</w:t>
                  </w:r>
                </w:p>
              </w:tc>
              <w:tc>
                <w:tcPr>
                  <w:tcW w:w="905" w:type="dxa"/>
                  <w:tcBorders>
                    <w:tl2br w:val="nil"/>
                    <w:tr2bl w:val="nil"/>
                  </w:tcBorders>
                  <w:vAlign w:val="center"/>
                </w:tcPr>
                <w:p w14:paraId="75748A36">
                  <w:pPr>
                    <w:pStyle w:val="89"/>
                    <w:keepNext w:val="0"/>
                    <w:keepLines w:val="0"/>
                    <w:pageBreakBefore w:val="0"/>
                    <w:widowControl w:val="0"/>
                    <w:kinsoku/>
                    <w:wordWrap/>
                    <w:overflowPunct/>
                    <w:topLinePunct w:val="0"/>
                    <w:bidi w:val="0"/>
                    <w:spacing w:line="320" w:lineRule="exact"/>
                    <w:ind w:firstLine="0" w:firstLineChars="0"/>
                    <w:textAlignment w:val="auto"/>
                    <w:rPr>
                      <w:b w:val="0"/>
                      <w:bCs/>
                      <w:color w:val="auto"/>
                      <w:kern w:val="0"/>
                      <w:sz w:val="21"/>
                      <w:szCs w:val="21"/>
                      <w:highlight w:val="none"/>
                    </w:rPr>
                  </w:pPr>
                  <w:r>
                    <w:rPr>
                      <w:rFonts w:hint="eastAsia"/>
                      <w:b w:val="0"/>
                      <w:bCs/>
                      <w:color w:val="auto"/>
                      <w:kern w:val="0"/>
                      <w:sz w:val="21"/>
                      <w:szCs w:val="21"/>
                      <w:highlight w:val="none"/>
                    </w:rPr>
                    <w:t>否</w:t>
                  </w:r>
                </w:p>
              </w:tc>
            </w:tr>
            <w:tr w14:paraId="5487D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dxa"/>
                  <w:tcBorders>
                    <w:tl2br w:val="nil"/>
                    <w:tr2bl w:val="nil"/>
                  </w:tcBorders>
                  <w:vAlign w:val="center"/>
                </w:tcPr>
                <w:p w14:paraId="49ED12B1">
                  <w:pPr>
                    <w:pStyle w:val="89"/>
                    <w:keepNext w:val="0"/>
                    <w:keepLines w:val="0"/>
                    <w:pageBreakBefore w:val="0"/>
                    <w:widowControl w:val="0"/>
                    <w:kinsoku/>
                    <w:wordWrap/>
                    <w:overflowPunct/>
                    <w:topLinePunct w:val="0"/>
                    <w:bidi w:val="0"/>
                    <w:spacing w:line="320" w:lineRule="exact"/>
                    <w:ind w:firstLine="0" w:firstLineChars="0"/>
                    <w:textAlignment w:val="auto"/>
                    <w:rPr>
                      <w:b w:val="0"/>
                      <w:bCs/>
                      <w:color w:val="auto"/>
                      <w:kern w:val="0"/>
                      <w:sz w:val="21"/>
                      <w:szCs w:val="21"/>
                      <w:highlight w:val="none"/>
                    </w:rPr>
                  </w:pPr>
                  <w:r>
                    <w:rPr>
                      <w:rFonts w:hint="eastAsia"/>
                      <w:b w:val="0"/>
                      <w:bCs/>
                      <w:color w:val="auto"/>
                      <w:kern w:val="0"/>
                      <w:sz w:val="21"/>
                      <w:szCs w:val="21"/>
                      <w:highlight w:val="none"/>
                    </w:rPr>
                    <w:t>地表水</w:t>
                  </w:r>
                </w:p>
              </w:tc>
              <w:tc>
                <w:tcPr>
                  <w:tcW w:w="2641" w:type="dxa"/>
                  <w:tcBorders>
                    <w:tl2br w:val="nil"/>
                    <w:tr2bl w:val="nil"/>
                  </w:tcBorders>
                  <w:vAlign w:val="center"/>
                </w:tcPr>
                <w:p w14:paraId="26F2FD40">
                  <w:pPr>
                    <w:pStyle w:val="89"/>
                    <w:keepNext w:val="0"/>
                    <w:keepLines w:val="0"/>
                    <w:pageBreakBefore w:val="0"/>
                    <w:widowControl w:val="0"/>
                    <w:kinsoku/>
                    <w:wordWrap/>
                    <w:overflowPunct/>
                    <w:topLinePunct w:val="0"/>
                    <w:bidi w:val="0"/>
                    <w:spacing w:line="320" w:lineRule="exact"/>
                    <w:ind w:firstLine="0" w:firstLineChars="0"/>
                    <w:jc w:val="both"/>
                    <w:textAlignment w:val="auto"/>
                    <w:rPr>
                      <w:b w:val="0"/>
                      <w:bCs/>
                      <w:color w:val="auto"/>
                      <w:kern w:val="0"/>
                      <w:sz w:val="21"/>
                      <w:szCs w:val="21"/>
                      <w:highlight w:val="none"/>
                    </w:rPr>
                  </w:pPr>
                  <w:r>
                    <w:rPr>
                      <w:rFonts w:hint="eastAsia"/>
                      <w:b w:val="0"/>
                      <w:bCs/>
                      <w:color w:val="auto"/>
                      <w:kern w:val="0"/>
                      <w:sz w:val="21"/>
                      <w:szCs w:val="21"/>
                      <w:highlight w:val="none"/>
                    </w:rPr>
                    <w:t>新增工业废水直排建设项目（槽罐车外送污水处理厂的除外）；新增废水直排的污水集中处理厂</w:t>
                  </w:r>
                </w:p>
              </w:tc>
              <w:tc>
                <w:tcPr>
                  <w:tcW w:w="3298" w:type="dxa"/>
                  <w:tcBorders>
                    <w:tl2br w:val="nil"/>
                    <w:tr2bl w:val="nil"/>
                  </w:tcBorders>
                  <w:vAlign w:val="center"/>
                </w:tcPr>
                <w:p w14:paraId="52EA37C5">
                  <w:pPr>
                    <w:pStyle w:val="89"/>
                    <w:keepNext w:val="0"/>
                    <w:keepLines w:val="0"/>
                    <w:pageBreakBefore w:val="0"/>
                    <w:widowControl w:val="0"/>
                    <w:kinsoku/>
                    <w:wordWrap/>
                    <w:overflowPunct/>
                    <w:topLinePunct w:val="0"/>
                    <w:bidi w:val="0"/>
                    <w:spacing w:line="320" w:lineRule="exact"/>
                    <w:ind w:firstLine="0" w:firstLineChars="0"/>
                    <w:jc w:val="both"/>
                    <w:textAlignment w:val="auto"/>
                    <w:rPr>
                      <w:rFonts w:hint="eastAsia" w:eastAsia="宋体"/>
                      <w:b w:val="0"/>
                      <w:bCs/>
                      <w:color w:val="auto"/>
                      <w:kern w:val="0"/>
                      <w:sz w:val="21"/>
                      <w:szCs w:val="21"/>
                      <w:highlight w:val="none"/>
                      <w:lang w:eastAsia="zh-CN"/>
                    </w:rPr>
                  </w:pPr>
                  <w:r>
                    <w:rPr>
                      <w:b w:val="0"/>
                      <w:bCs/>
                      <w:color w:val="auto"/>
                      <w:kern w:val="0"/>
                      <w:sz w:val="21"/>
                      <w:szCs w:val="21"/>
                      <w:highlight w:val="none"/>
                    </w:rPr>
                    <w:t>本项目</w:t>
                  </w:r>
                  <w:r>
                    <w:rPr>
                      <w:rFonts w:hint="eastAsia"/>
                      <w:b w:val="0"/>
                      <w:bCs/>
                      <w:color w:val="auto"/>
                      <w:kern w:val="0"/>
                      <w:sz w:val="21"/>
                      <w:szCs w:val="21"/>
                      <w:highlight w:val="none"/>
                      <w:lang w:val="en-US" w:eastAsia="zh-CN"/>
                    </w:rPr>
                    <w:t>产生的废污水</w:t>
                  </w:r>
                  <w:r>
                    <w:rPr>
                      <w:rFonts w:hint="eastAsia"/>
                      <w:b w:val="0"/>
                      <w:bCs/>
                      <w:color w:val="auto"/>
                      <w:kern w:val="0"/>
                      <w:sz w:val="21"/>
                      <w:szCs w:val="21"/>
                      <w:highlight w:val="none"/>
                    </w:rPr>
                    <w:t>依托现有污</w:t>
                  </w:r>
                  <w:r>
                    <w:rPr>
                      <w:b w:val="0"/>
                      <w:bCs/>
                      <w:color w:val="auto"/>
                      <w:kern w:val="0"/>
                      <w:sz w:val="21"/>
                      <w:szCs w:val="21"/>
                      <w:highlight w:val="none"/>
                    </w:rPr>
                    <w:t>水处理系统处理后排入寻甸县污水处理厂</w:t>
                  </w:r>
                  <w:r>
                    <w:rPr>
                      <w:rFonts w:hint="eastAsia"/>
                      <w:b w:val="0"/>
                      <w:bCs/>
                      <w:color w:val="auto"/>
                      <w:kern w:val="0"/>
                      <w:sz w:val="21"/>
                      <w:szCs w:val="21"/>
                      <w:highlight w:val="none"/>
                      <w:lang w:eastAsia="zh-CN"/>
                    </w:rPr>
                    <w:t>；</w:t>
                  </w:r>
                  <w:r>
                    <w:rPr>
                      <w:rFonts w:hint="eastAsia"/>
                      <w:b w:val="0"/>
                      <w:bCs/>
                      <w:color w:val="auto"/>
                      <w:kern w:val="0"/>
                      <w:sz w:val="21"/>
                      <w:szCs w:val="21"/>
                      <w:highlight w:val="none"/>
                      <w:lang w:val="en-US" w:eastAsia="zh-CN"/>
                    </w:rPr>
                    <w:t>初期雨水经初期雨水收集池沉淀处理后回用于道路降尘，不外排，综上，本项目无废污水</w:t>
                  </w:r>
                  <w:r>
                    <w:rPr>
                      <w:b w:val="0"/>
                      <w:bCs/>
                      <w:color w:val="auto"/>
                      <w:kern w:val="0"/>
                      <w:sz w:val="21"/>
                      <w:szCs w:val="21"/>
                      <w:highlight w:val="none"/>
                    </w:rPr>
                    <w:t>直接进入区域地表水</w:t>
                  </w:r>
                  <w:r>
                    <w:rPr>
                      <w:rFonts w:hint="eastAsia"/>
                      <w:b w:val="0"/>
                      <w:bCs/>
                      <w:color w:val="auto"/>
                      <w:kern w:val="0"/>
                      <w:sz w:val="21"/>
                      <w:szCs w:val="21"/>
                      <w:highlight w:val="none"/>
                      <w:lang w:eastAsia="zh-CN"/>
                    </w:rPr>
                    <w:t>。</w:t>
                  </w:r>
                </w:p>
              </w:tc>
              <w:tc>
                <w:tcPr>
                  <w:tcW w:w="905" w:type="dxa"/>
                  <w:tcBorders>
                    <w:tl2br w:val="nil"/>
                    <w:tr2bl w:val="nil"/>
                  </w:tcBorders>
                  <w:vAlign w:val="center"/>
                </w:tcPr>
                <w:p w14:paraId="7E6A7141">
                  <w:pPr>
                    <w:pStyle w:val="89"/>
                    <w:keepNext w:val="0"/>
                    <w:keepLines w:val="0"/>
                    <w:pageBreakBefore w:val="0"/>
                    <w:widowControl w:val="0"/>
                    <w:kinsoku/>
                    <w:wordWrap/>
                    <w:overflowPunct/>
                    <w:topLinePunct w:val="0"/>
                    <w:bidi w:val="0"/>
                    <w:spacing w:line="320" w:lineRule="exact"/>
                    <w:ind w:firstLine="0" w:firstLineChars="0"/>
                    <w:textAlignment w:val="auto"/>
                    <w:rPr>
                      <w:b w:val="0"/>
                      <w:bCs/>
                      <w:color w:val="auto"/>
                      <w:kern w:val="0"/>
                      <w:sz w:val="21"/>
                      <w:szCs w:val="21"/>
                      <w:highlight w:val="none"/>
                    </w:rPr>
                  </w:pPr>
                  <w:r>
                    <w:rPr>
                      <w:rFonts w:hint="eastAsia"/>
                      <w:b w:val="0"/>
                      <w:bCs/>
                      <w:color w:val="auto"/>
                      <w:kern w:val="0"/>
                      <w:sz w:val="21"/>
                      <w:szCs w:val="21"/>
                      <w:highlight w:val="none"/>
                    </w:rPr>
                    <w:t>否</w:t>
                  </w:r>
                </w:p>
              </w:tc>
            </w:tr>
            <w:tr w14:paraId="4C98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dxa"/>
                  <w:tcBorders>
                    <w:tl2br w:val="nil"/>
                    <w:tr2bl w:val="nil"/>
                  </w:tcBorders>
                  <w:vAlign w:val="center"/>
                </w:tcPr>
                <w:p w14:paraId="4C804FF1">
                  <w:pPr>
                    <w:pStyle w:val="89"/>
                    <w:keepNext w:val="0"/>
                    <w:keepLines w:val="0"/>
                    <w:pageBreakBefore w:val="0"/>
                    <w:widowControl w:val="0"/>
                    <w:kinsoku/>
                    <w:wordWrap/>
                    <w:overflowPunct/>
                    <w:topLinePunct w:val="0"/>
                    <w:bidi w:val="0"/>
                    <w:spacing w:line="320" w:lineRule="exact"/>
                    <w:ind w:firstLine="0" w:firstLineChars="0"/>
                    <w:textAlignment w:val="auto"/>
                    <w:rPr>
                      <w:rFonts w:hint="eastAsia"/>
                      <w:b w:val="0"/>
                      <w:bCs/>
                      <w:color w:val="auto"/>
                      <w:kern w:val="0"/>
                      <w:sz w:val="21"/>
                      <w:szCs w:val="21"/>
                      <w:highlight w:val="none"/>
                    </w:rPr>
                  </w:pPr>
                  <w:r>
                    <w:rPr>
                      <w:rFonts w:hint="eastAsia"/>
                      <w:b w:val="0"/>
                      <w:bCs/>
                      <w:color w:val="auto"/>
                      <w:kern w:val="0"/>
                      <w:sz w:val="21"/>
                      <w:szCs w:val="21"/>
                      <w:highlight w:val="none"/>
                    </w:rPr>
                    <w:t>环境</w:t>
                  </w:r>
                </w:p>
                <w:p w14:paraId="79907941">
                  <w:pPr>
                    <w:pStyle w:val="89"/>
                    <w:keepNext w:val="0"/>
                    <w:keepLines w:val="0"/>
                    <w:pageBreakBefore w:val="0"/>
                    <w:widowControl w:val="0"/>
                    <w:kinsoku/>
                    <w:wordWrap/>
                    <w:overflowPunct/>
                    <w:topLinePunct w:val="0"/>
                    <w:bidi w:val="0"/>
                    <w:spacing w:line="320" w:lineRule="exact"/>
                    <w:ind w:firstLine="0" w:firstLineChars="0"/>
                    <w:textAlignment w:val="auto"/>
                    <w:rPr>
                      <w:b w:val="0"/>
                      <w:bCs/>
                      <w:color w:val="auto"/>
                      <w:kern w:val="0"/>
                      <w:sz w:val="21"/>
                      <w:szCs w:val="21"/>
                      <w:highlight w:val="none"/>
                    </w:rPr>
                  </w:pPr>
                  <w:r>
                    <w:rPr>
                      <w:rFonts w:hint="eastAsia"/>
                      <w:b w:val="0"/>
                      <w:bCs/>
                      <w:color w:val="auto"/>
                      <w:kern w:val="0"/>
                      <w:sz w:val="21"/>
                      <w:szCs w:val="21"/>
                      <w:highlight w:val="none"/>
                    </w:rPr>
                    <w:t>风险</w:t>
                  </w:r>
                </w:p>
              </w:tc>
              <w:tc>
                <w:tcPr>
                  <w:tcW w:w="2641" w:type="dxa"/>
                  <w:tcBorders>
                    <w:tl2br w:val="nil"/>
                    <w:tr2bl w:val="nil"/>
                  </w:tcBorders>
                  <w:vAlign w:val="center"/>
                </w:tcPr>
                <w:p w14:paraId="3688AD59">
                  <w:pPr>
                    <w:pStyle w:val="89"/>
                    <w:keepNext w:val="0"/>
                    <w:keepLines w:val="0"/>
                    <w:pageBreakBefore w:val="0"/>
                    <w:widowControl w:val="0"/>
                    <w:kinsoku/>
                    <w:wordWrap/>
                    <w:overflowPunct/>
                    <w:topLinePunct w:val="0"/>
                    <w:bidi w:val="0"/>
                    <w:spacing w:line="320" w:lineRule="exact"/>
                    <w:ind w:firstLine="0" w:firstLineChars="0"/>
                    <w:jc w:val="both"/>
                    <w:textAlignment w:val="auto"/>
                    <w:rPr>
                      <w:b w:val="0"/>
                      <w:bCs/>
                      <w:color w:val="auto"/>
                      <w:kern w:val="0"/>
                      <w:sz w:val="21"/>
                      <w:szCs w:val="21"/>
                      <w:highlight w:val="none"/>
                    </w:rPr>
                  </w:pPr>
                  <w:r>
                    <w:rPr>
                      <w:rFonts w:hint="eastAsia"/>
                      <w:b w:val="0"/>
                      <w:bCs/>
                      <w:color w:val="auto"/>
                      <w:kern w:val="0"/>
                      <w:sz w:val="21"/>
                      <w:szCs w:val="21"/>
                      <w:highlight w:val="none"/>
                    </w:rPr>
                    <w:t>有毒有害和易燃易爆危险物质存储量超过临界量</w:t>
                  </w:r>
                  <w:r>
                    <w:rPr>
                      <w:rFonts w:hint="eastAsia"/>
                      <w:b w:val="0"/>
                      <w:bCs/>
                      <w:color w:val="auto"/>
                      <w:kern w:val="0"/>
                      <w:sz w:val="21"/>
                      <w:szCs w:val="21"/>
                      <w:highlight w:val="none"/>
                      <w:vertAlign w:val="superscript"/>
                    </w:rPr>
                    <w:t>3</w:t>
                  </w:r>
                  <w:r>
                    <w:rPr>
                      <w:rFonts w:hint="eastAsia"/>
                      <w:b w:val="0"/>
                      <w:bCs/>
                      <w:color w:val="auto"/>
                      <w:kern w:val="0"/>
                      <w:sz w:val="21"/>
                      <w:szCs w:val="21"/>
                      <w:highlight w:val="none"/>
                    </w:rPr>
                    <w:t>的建设项目</w:t>
                  </w:r>
                </w:p>
              </w:tc>
              <w:tc>
                <w:tcPr>
                  <w:tcW w:w="3298" w:type="dxa"/>
                  <w:tcBorders>
                    <w:tl2br w:val="nil"/>
                    <w:tr2bl w:val="nil"/>
                  </w:tcBorders>
                  <w:vAlign w:val="center"/>
                </w:tcPr>
                <w:p w14:paraId="346EF730">
                  <w:pPr>
                    <w:keepNext w:val="0"/>
                    <w:keepLines w:val="0"/>
                    <w:pageBreakBefore w:val="0"/>
                    <w:widowControl w:val="0"/>
                    <w:kinsoku/>
                    <w:wordWrap/>
                    <w:overflowPunct/>
                    <w:topLinePunct w:val="0"/>
                    <w:autoSpaceDE w:val="0"/>
                    <w:autoSpaceDN w:val="0"/>
                    <w:bidi w:val="0"/>
                    <w:adjustRightInd w:val="0"/>
                    <w:spacing w:line="320" w:lineRule="exact"/>
                    <w:ind w:firstLine="0" w:firstLineChars="0"/>
                    <w:textAlignment w:val="auto"/>
                    <w:rPr>
                      <w:rFonts w:hint="default"/>
                      <w:color w:val="auto"/>
                      <w:kern w:val="0"/>
                      <w:sz w:val="21"/>
                      <w:szCs w:val="21"/>
                      <w:highlight w:val="none"/>
                      <w:lang w:val="en-US"/>
                    </w:rPr>
                  </w:pPr>
                  <w:r>
                    <w:rPr>
                      <w:rFonts w:hint="eastAsia"/>
                      <w:color w:val="auto"/>
                      <w:kern w:val="0"/>
                      <w:sz w:val="21"/>
                      <w:szCs w:val="21"/>
                      <w:highlight w:val="none"/>
                      <w:lang w:val="en-US" w:eastAsia="zh-CN"/>
                    </w:rPr>
                    <w:t>根据环境风险分析，本项目建设完成后全厂</w:t>
                  </w:r>
                  <w:r>
                    <w:rPr>
                      <w:rFonts w:hint="eastAsia"/>
                      <w:color w:val="auto"/>
                      <w:kern w:val="0"/>
                      <w:sz w:val="21"/>
                      <w:szCs w:val="21"/>
                      <w:highlight w:val="none"/>
                    </w:rPr>
                    <w:t>环境风险物质为</w:t>
                  </w:r>
                  <w:r>
                    <w:rPr>
                      <w:rFonts w:hint="eastAsia"/>
                      <w:color w:val="auto"/>
                      <w:kern w:val="0"/>
                      <w:sz w:val="21"/>
                      <w:szCs w:val="21"/>
                      <w:highlight w:val="none"/>
                      <w:lang w:val="en-US" w:eastAsia="zh-CN"/>
                    </w:rPr>
                    <w:t>主要为硫酸铵、</w:t>
                  </w:r>
                  <w:r>
                    <w:rPr>
                      <w:rFonts w:hint="eastAsia"/>
                      <w:color w:val="auto"/>
                      <w:kern w:val="0"/>
                      <w:sz w:val="21"/>
                      <w:szCs w:val="21"/>
                      <w:highlight w:val="none"/>
                    </w:rPr>
                    <w:t>废矿物油、CH</w:t>
                  </w:r>
                  <w:r>
                    <w:rPr>
                      <w:rFonts w:hint="eastAsia"/>
                      <w:color w:val="auto"/>
                      <w:kern w:val="0"/>
                      <w:sz w:val="21"/>
                      <w:szCs w:val="21"/>
                      <w:highlight w:val="none"/>
                      <w:vertAlign w:val="subscript"/>
                    </w:rPr>
                    <w:t>4</w:t>
                  </w:r>
                  <w:r>
                    <w:rPr>
                      <w:rFonts w:hint="eastAsia"/>
                      <w:color w:val="auto"/>
                      <w:kern w:val="0"/>
                      <w:sz w:val="21"/>
                      <w:szCs w:val="21"/>
                      <w:highlight w:val="none"/>
                      <w:vertAlign w:val="baseline"/>
                      <w:lang w:eastAsia="zh-CN"/>
                    </w:rPr>
                    <w:t>（</w:t>
                  </w:r>
                  <w:r>
                    <w:rPr>
                      <w:rFonts w:hint="eastAsia"/>
                      <w:color w:val="auto"/>
                      <w:kern w:val="0"/>
                      <w:sz w:val="21"/>
                      <w:szCs w:val="21"/>
                      <w:highlight w:val="none"/>
                      <w:vertAlign w:val="baseline"/>
                      <w:lang w:val="en-US" w:eastAsia="zh-CN"/>
                    </w:rPr>
                    <w:t>沼气</w:t>
                  </w:r>
                  <w:r>
                    <w:rPr>
                      <w:rFonts w:hint="eastAsia"/>
                      <w:color w:val="auto"/>
                      <w:kern w:val="0"/>
                      <w:sz w:val="21"/>
                      <w:szCs w:val="21"/>
                      <w:highlight w:val="none"/>
                      <w:vertAlign w:val="baseline"/>
                      <w:lang w:eastAsia="zh-CN"/>
                    </w:rPr>
                    <w:t>）、</w:t>
                  </w:r>
                  <w:r>
                    <w:rPr>
                      <w:rFonts w:hint="eastAsia"/>
                      <w:color w:val="auto"/>
                      <w:kern w:val="0"/>
                      <w:sz w:val="21"/>
                      <w:szCs w:val="21"/>
                      <w:highlight w:val="none"/>
                    </w:rPr>
                    <w:t>H</w:t>
                  </w:r>
                  <w:r>
                    <w:rPr>
                      <w:rFonts w:hint="eastAsia"/>
                      <w:color w:val="auto"/>
                      <w:kern w:val="0"/>
                      <w:sz w:val="21"/>
                      <w:szCs w:val="21"/>
                      <w:highlight w:val="none"/>
                      <w:vertAlign w:val="subscript"/>
                    </w:rPr>
                    <w:t>2</w:t>
                  </w:r>
                  <w:r>
                    <w:rPr>
                      <w:rFonts w:hint="eastAsia"/>
                      <w:color w:val="auto"/>
                      <w:kern w:val="0"/>
                      <w:sz w:val="21"/>
                      <w:szCs w:val="21"/>
                      <w:highlight w:val="none"/>
                    </w:rPr>
                    <w:t>S</w:t>
                  </w:r>
                  <w:r>
                    <w:rPr>
                      <w:rFonts w:hint="eastAsia"/>
                      <w:color w:val="auto"/>
                      <w:kern w:val="0"/>
                      <w:sz w:val="21"/>
                      <w:szCs w:val="21"/>
                      <w:highlight w:val="none"/>
                      <w:lang w:eastAsia="zh-CN"/>
                    </w:rPr>
                    <w:t>、</w:t>
                  </w:r>
                  <w:r>
                    <w:rPr>
                      <w:rFonts w:hint="eastAsia"/>
                      <w:color w:val="auto"/>
                      <w:kern w:val="0"/>
                      <w:sz w:val="21"/>
                      <w:szCs w:val="21"/>
                      <w:highlight w:val="none"/>
                    </w:rPr>
                    <w:t>NH</w:t>
                  </w:r>
                  <w:r>
                    <w:rPr>
                      <w:rFonts w:hint="eastAsia"/>
                      <w:color w:val="auto"/>
                      <w:kern w:val="0"/>
                      <w:sz w:val="21"/>
                      <w:szCs w:val="21"/>
                      <w:highlight w:val="none"/>
                      <w:vertAlign w:val="subscript"/>
                    </w:rPr>
                    <w:t>3</w:t>
                  </w:r>
                  <w:r>
                    <w:rPr>
                      <w:rFonts w:hint="eastAsia"/>
                      <w:color w:val="auto"/>
                      <w:kern w:val="0"/>
                      <w:sz w:val="21"/>
                      <w:szCs w:val="21"/>
                      <w:highlight w:val="none"/>
                    </w:rPr>
                    <w:t>、冰醋酸</w:t>
                  </w:r>
                  <w:r>
                    <w:rPr>
                      <w:rFonts w:hint="eastAsia"/>
                      <w:color w:val="auto"/>
                      <w:kern w:val="0"/>
                      <w:sz w:val="21"/>
                      <w:szCs w:val="21"/>
                      <w:highlight w:val="none"/>
                      <w:vertAlign w:val="baseline"/>
                      <w:lang w:val="en-US" w:eastAsia="zh-CN"/>
                    </w:rPr>
                    <w:t>等，经表四“风险分析”核算，全厂风险物质存储量超过临界量，不设专项评价。</w:t>
                  </w:r>
                </w:p>
              </w:tc>
              <w:tc>
                <w:tcPr>
                  <w:tcW w:w="905" w:type="dxa"/>
                  <w:tcBorders>
                    <w:tl2br w:val="nil"/>
                    <w:tr2bl w:val="nil"/>
                  </w:tcBorders>
                  <w:vAlign w:val="center"/>
                </w:tcPr>
                <w:p w14:paraId="200DCDB2">
                  <w:pPr>
                    <w:pStyle w:val="89"/>
                    <w:keepNext w:val="0"/>
                    <w:keepLines w:val="0"/>
                    <w:pageBreakBefore w:val="0"/>
                    <w:widowControl w:val="0"/>
                    <w:kinsoku/>
                    <w:wordWrap/>
                    <w:overflowPunct/>
                    <w:topLinePunct w:val="0"/>
                    <w:bidi w:val="0"/>
                    <w:spacing w:line="320" w:lineRule="exact"/>
                    <w:ind w:firstLine="0" w:firstLineChars="0"/>
                    <w:textAlignment w:val="auto"/>
                    <w:rPr>
                      <w:b w:val="0"/>
                      <w:bCs/>
                      <w:color w:val="auto"/>
                      <w:kern w:val="0"/>
                      <w:sz w:val="21"/>
                      <w:szCs w:val="21"/>
                      <w:highlight w:val="none"/>
                    </w:rPr>
                  </w:pPr>
                  <w:r>
                    <w:rPr>
                      <w:rFonts w:hint="eastAsia"/>
                      <w:b w:val="0"/>
                      <w:bCs/>
                      <w:color w:val="auto"/>
                      <w:kern w:val="0"/>
                      <w:sz w:val="21"/>
                      <w:szCs w:val="21"/>
                      <w:highlight w:val="none"/>
                    </w:rPr>
                    <w:t>否</w:t>
                  </w:r>
                </w:p>
              </w:tc>
            </w:tr>
            <w:tr w14:paraId="2E2E6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dxa"/>
                  <w:tcBorders>
                    <w:tl2br w:val="nil"/>
                    <w:tr2bl w:val="nil"/>
                  </w:tcBorders>
                  <w:vAlign w:val="center"/>
                </w:tcPr>
                <w:p w14:paraId="233B98CC">
                  <w:pPr>
                    <w:pStyle w:val="89"/>
                    <w:keepNext w:val="0"/>
                    <w:keepLines w:val="0"/>
                    <w:pageBreakBefore w:val="0"/>
                    <w:widowControl w:val="0"/>
                    <w:kinsoku/>
                    <w:wordWrap/>
                    <w:overflowPunct/>
                    <w:topLinePunct w:val="0"/>
                    <w:bidi w:val="0"/>
                    <w:spacing w:line="320" w:lineRule="exact"/>
                    <w:ind w:firstLine="0" w:firstLineChars="0"/>
                    <w:textAlignment w:val="auto"/>
                    <w:rPr>
                      <w:b w:val="0"/>
                      <w:bCs/>
                      <w:color w:val="auto"/>
                      <w:kern w:val="0"/>
                      <w:sz w:val="21"/>
                      <w:szCs w:val="21"/>
                      <w:highlight w:val="none"/>
                    </w:rPr>
                  </w:pPr>
                  <w:r>
                    <w:rPr>
                      <w:rFonts w:hint="eastAsia"/>
                      <w:b w:val="0"/>
                      <w:bCs/>
                      <w:color w:val="auto"/>
                      <w:kern w:val="0"/>
                      <w:sz w:val="21"/>
                      <w:szCs w:val="21"/>
                      <w:highlight w:val="none"/>
                    </w:rPr>
                    <w:t>生态</w:t>
                  </w:r>
                </w:p>
              </w:tc>
              <w:tc>
                <w:tcPr>
                  <w:tcW w:w="2641" w:type="dxa"/>
                  <w:tcBorders>
                    <w:tl2br w:val="nil"/>
                    <w:tr2bl w:val="nil"/>
                  </w:tcBorders>
                  <w:vAlign w:val="center"/>
                </w:tcPr>
                <w:p w14:paraId="40619710">
                  <w:pPr>
                    <w:pStyle w:val="89"/>
                    <w:keepNext w:val="0"/>
                    <w:keepLines w:val="0"/>
                    <w:pageBreakBefore w:val="0"/>
                    <w:widowControl w:val="0"/>
                    <w:kinsoku/>
                    <w:wordWrap/>
                    <w:overflowPunct/>
                    <w:topLinePunct w:val="0"/>
                    <w:bidi w:val="0"/>
                    <w:spacing w:line="320" w:lineRule="exact"/>
                    <w:ind w:firstLine="0" w:firstLineChars="0"/>
                    <w:jc w:val="both"/>
                    <w:textAlignment w:val="auto"/>
                    <w:rPr>
                      <w:b w:val="0"/>
                      <w:bCs/>
                      <w:color w:val="auto"/>
                      <w:kern w:val="0"/>
                      <w:sz w:val="21"/>
                      <w:szCs w:val="21"/>
                      <w:highlight w:val="none"/>
                    </w:rPr>
                  </w:pPr>
                  <w:r>
                    <w:rPr>
                      <w:rFonts w:hint="eastAsia"/>
                      <w:b w:val="0"/>
                      <w:bCs/>
                      <w:color w:val="auto"/>
                      <w:kern w:val="0"/>
                      <w:sz w:val="21"/>
                      <w:szCs w:val="21"/>
                      <w:highlight w:val="none"/>
                    </w:rPr>
                    <w:t>取水口下游500米范围内有重要水生生物的自然产卵场、索饵场、越冬场和洄游通道的新增河道取水的污染类建设项目</w:t>
                  </w:r>
                </w:p>
              </w:tc>
              <w:tc>
                <w:tcPr>
                  <w:tcW w:w="3298" w:type="dxa"/>
                  <w:tcBorders>
                    <w:tl2br w:val="nil"/>
                    <w:tr2bl w:val="nil"/>
                  </w:tcBorders>
                  <w:vAlign w:val="center"/>
                </w:tcPr>
                <w:p w14:paraId="7AED0931">
                  <w:pPr>
                    <w:pStyle w:val="89"/>
                    <w:keepNext w:val="0"/>
                    <w:keepLines w:val="0"/>
                    <w:pageBreakBefore w:val="0"/>
                    <w:widowControl w:val="0"/>
                    <w:kinsoku/>
                    <w:wordWrap/>
                    <w:overflowPunct/>
                    <w:topLinePunct w:val="0"/>
                    <w:bidi w:val="0"/>
                    <w:spacing w:line="320" w:lineRule="exact"/>
                    <w:ind w:firstLine="0" w:firstLineChars="0"/>
                    <w:jc w:val="both"/>
                    <w:textAlignment w:val="auto"/>
                    <w:rPr>
                      <w:rFonts w:hint="eastAsia" w:eastAsia="宋体"/>
                      <w:b w:val="0"/>
                      <w:bCs/>
                      <w:color w:val="auto"/>
                      <w:kern w:val="0"/>
                      <w:sz w:val="21"/>
                      <w:szCs w:val="21"/>
                      <w:highlight w:val="none"/>
                      <w:lang w:eastAsia="zh-CN"/>
                    </w:rPr>
                  </w:pPr>
                  <w:r>
                    <w:rPr>
                      <w:rFonts w:hint="eastAsia"/>
                      <w:b w:val="0"/>
                      <w:bCs/>
                      <w:color w:val="auto"/>
                      <w:kern w:val="0"/>
                      <w:sz w:val="21"/>
                      <w:szCs w:val="21"/>
                      <w:highlight w:val="none"/>
                    </w:rPr>
                    <w:t>本项目不涉及取水口</w:t>
                  </w:r>
                  <w:r>
                    <w:rPr>
                      <w:rFonts w:hint="eastAsia"/>
                      <w:b w:val="0"/>
                      <w:bCs/>
                      <w:color w:val="auto"/>
                      <w:kern w:val="0"/>
                      <w:sz w:val="21"/>
                      <w:szCs w:val="21"/>
                      <w:highlight w:val="none"/>
                      <w:lang w:eastAsia="zh-CN"/>
                    </w:rPr>
                    <w:t>。</w:t>
                  </w:r>
                </w:p>
              </w:tc>
              <w:tc>
                <w:tcPr>
                  <w:tcW w:w="905" w:type="dxa"/>
                  <w:tcBorders>
                    <w:tl2br w:val="nil"/>
                    <w:tr2bl w:val="nil"/>
                  </w:tcBorders>
                  <w:vAlign w:val="center"/>
                </w:tcPr>
                <w:p w14:paraId="72868878">
                  <w:pPr>
                    <w:pStyle w:val="89"/>
                    <w:keepNext w:val="0"/>
                    <w:keepLines w:val="0"/>
                    <w:pageBreakBefore w:val="0"/>
                    <w:widowControl w:val="0"/>
                    <w:kinsoku/>
                    <w:wordWrap/>
                    <w:overflowPunct/>
                    <w:topLinePunct w:val="0"/>
                    <w:bidi w:val="0"/>
                    <w:spacing w:line="320" w:lineRule="exact"/>
                    <w:ind w:firstLine="0" w:firstLineChars="0"/>
                    <w:textAlignment w:val="auto"/>
                    <w:rPr>
                      <w:b w:val="0"/>
                      <w:bCs/>
                      <w:color w:val="auto"/>
                      <w:kern w:val="0"/>
                      <w:sz w:val="21"/>
                      <w:szCs w:val="21"/>
                      <w:highlight w:val="none"/>
                    </w:rPr>
                  </w:pPr>
                  <w:r>
                    <w:rPr>
                      <w:rFonts w:hint="eastAsia"/>
                      <w:b w:val="0"/>
                      <w:bCs/>
                      <w:color w:val="auto"/>
                      <w:kern w:val="0"/>
                      <w:sz w:val="21"/>
                      <w:szCs w:val="21"/>
                      <w:highlight w:val="none"/>
                    </w:rPr>
                    <w:t>否</w:t>
                  </w:r>
                </w:p>
              </w:tc>
            </w:tr>
            <w:tr w14:paraId="2ADF9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dxa"/>
                  <w:tcBorders>
                    <w:tl2br w:val="nil"/>
                    <w:tr2bl w:val="nil"/>
                  </w:tcBorders>
                  <w:vAlign w:val="center"/>
                </w:tcPr>
                <w:p w14:paraId="44D41990">
                  <w:pPr>
                    <w:pStyle w:val="89"/>
                    <w:keepNext w:val="0"/>
                    <w:keepLines w:val="0"/>
                    <w:pageBreakBefore w:val="0"/>
                    <w:widowControl w:val="0"/>
                    <w:kinsoku/>
                    <w:wordWrap/>
                    <w:overflowPunct/>
                    <w:topLinePunct w:val="0"/>
                    <w:bidi w:val="0"/>
                    <w:spacing w:line="320" w:lineRule="exact"/>
                    <w:ind w:firstLine="0" w:firstLineChars="0"/>
                    <w:textAlignment w:val="auto"/>
                    <w:rPr>
                      <w:b w:val="0"/>
                      <w:bCs/>
                      <w:color w:val="auto"/>
                      <w:kern w:val="0"/>
                      <w:sz w:val="21"/>
                      <w:szCs w:val="21"/>
                      <w:highlight w:val="none"/>
                    </w:rPr>
                  </w:pPr>
                  <w:r>
                    <w:rPr>
                      <w:rFonts w:hint="eastAsia"/>
                      <w:b w:val="0"/>
                      <w:bCs/>
                      <w:color w:val="auto"/>
                      <w:kern w:val="0"/>
                      <w:sz w:val="21"/>
                      <w:szCs w:val="21"/>
                      <w:highlight w:val="none"/>
                    </w:rPr>
                    <w:t>海洋</w:t>
                  </w:r>
                </w:p>
              </w:tc>
              <w:tc>
                <w:tcPr>
                  <w:tcW w:w="2641" w:type="dxa"/>
                  <w:tcBorders>
                    <w:tl2br w:val="nil"/>
                    <w:tr2bl w:val="nil"/>
                  </w:tcBorders>
                  <w:vAlign w:val="center"/>
                </w:tcPr>
                <w:p w14:paraId="17E586D3">
                  <w:pPr>
                    <w:pStyle w:val="89"/>
                    <w:keepNext w:val="0"/>
                    <w:keepLines w:val="0"/>
                    <w:pageBreakBefore w:val="0"/>
                    <w:widowControl w:val="0"/>
                    <w:kinsoku/>
                    <w:wordWrap/>
                    <w:overflowPunct/>
                    <w:topLinePunct w:val="0"/>
                    <w:bidi w:val="0"/>
                    <w:spacing w:line="320" w:lineRule="exact"/>
                    <w:ind w:firstLine="0" w:firstLineChars="0"/>
                    <w:jc w:val="both"/>
                    <w:textAlignment w:val="auto"/>
                    <w:rPr>
                      <w:b w:val="0"/>
                      <w:bCs/>
                      <w:color w:val="auto"/>
                      <w:kern w:val="0"/>
                      <w:sz w:val="21"/>
                      <w:szCs w:val="21"/>
                      <w:highlight w:val="none"/>
                    </w:rPr>
                  </w:pPr>
                  <w:r>
                    <w:rPr>
                      <w:rFonts w:hint="eastAsia"/>
                      <w:b w:val="0"/>
                      <w:bCs/>
                      <w:color w:val="auto"/>
                      <w:kern w:val="0"/>
                      <w:sz w:val="21"/>
                      <w:szCs w:val="21"/>
                      <w:highlight w:val="none"/>
                    </w:rPr>
                    <w:t>直接向海排放污染物的海洋工程建设项目</w:t>
                  </w:r>
                </w:p>
              </w:tc>
              <w:tc>
                <w:tcPr>
                  <w:tcW w:w="3298" w:type="dxa"/>
                  <w:tcBorders>
                    <w:tl2br w:val="nil"/>
                    <w:tr2bl w:val="nil"/>
                  </w:tcBorders>
                  <w:vAlign w:val="center"/>
                </w:tcPr>
                <w:p w14:paraId="5B721A80">
                  <w:pPr>
                    <w:pStyle w:val="89"/>
                    <w:keepNext w:val="0"/>
                    <w:keepLines w:val="0"/>
                    <w:pageBreakBefore w:val="0"/>
                    <w:widowControl w:val="0"/>
                    <w:kinsoku/>
                    <w:wordWrap/>
                    <w:overflowPunct/>
                    <w:topLinePunct w:val="0"/>
                    <w:bidi w:val="0"/>
                    <w:spacing w:line="320" w:lineRule="exact"/>
                    <w:ind w:firstLine="0" w:firstLineChars="0"/>
                    <w:jc w:val="both"/>
                    <w:textAlignment w:val="auto"/>
                    <w:rPr>
                      <w:b w:val="0"/>
                      <w:bCs/>
                      <w:color w:val="auto"/>
                      <w:kern w:val="0"/>
                      <w:sz w:val="21"/>
                      <w:szCs w:val="21"/>
                      <w:highlight w:val="none"/>
                    </w:rPr>
                  </w:pPr>
                  <w:r>
                    <w:rPr>
                      <w:rFonts w:hint="eastAsia"/>
                      <w:b w:val="0"/>
                      <w:bCs/>
                      <w:color w:val="auto"/>
                      <w:kern w:val="0"/>
                      <w:sz w:val="21"/>
                      <w:szCs w:val="21"/>
                      <w:highlight w:val="none"/>
                    </w:rPr>
                    <w:t>项目不涉及海洋工程</w:t>
                  </w:r>
                </w:p>
              </w:tc>
              <w:tc>
                <w:tcPr>
                  <w:tcW w:w="905" w:type="dxa"/>
                  <w:tcBorders>
                    <w:tl2br w:val="nil"/>
                    <w:tr2bl w:val="nil"/>
                  </w:tcBorders>
                  <w:vAlign w:val="center"/>
                </w:tcPr>
                <w:p w14:paraId="436F9623">
                  <w:pPr>
                    <w:pStyle w:val="89"/>
                    <w:keepNext w:val="0"/>
                    <w:keepLines w:val="0"/>
                    <w:pageBreakBefore w:val="0"/>
                    <w:widowControl w:val="0"/>
                    <w:kinsoku/>
                    <w:wordWrap/>
                    <w:overflowPunct/>
                    <w:topLinePunct w:val="0"/>
                    <w:bidi w:val="0"/>
                    <w:spacing w:line="320" w:lineRule="exact"/>
                    <w:ind w:firstLine="0" w:firstLineChars="0"/>
                    <w:textAlignment w:val="auto"/>
                    <w:rPr>
                      <w:b w:val="0"/>
                      <w:bCs/>
                      <w:color w:val="auto"/>
                      <w:kern w:val="0"/>
                      <w:sz w:val="21"/>
                      <w:szCs w:val="21"/>
                      <w:highlight w:val="none"/>
                    </w:rPr>
                  </w:pPr>
                  <w:r>
                    <w:rPr>
                      <w:rFonts w:hint="eastAsia"/>
                      <w:b w:val="0"/>
                      <w:bCs/>
                      <w:color w:val="auto"/>
                      <w:kern w:val="0"/>
                      <w:sz w:val="21"/>
                      <w:szCs w:val="21"/>
                      <w:highlight w:val="none"/>
                    </w:rPr>
                    <w:t>否</w:t>
                  </w:r>
                </w:p>
              </w:tc>
            </w:tr>
            <w:tr w14:paraId="1767E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dxa"/>
                  <w:tcBorders>
                    <w:tl2br w:val="nil"/>
                    <w:tr2bl w:val="nil"/>
                  </w:tcBorders>
                  <w:shd w:val="clear" w:color="auto" w:fill="FFFFFF"/>
                  <w:vAlign w:val="center"/>
                </w:tcPr>
                <w:p w14:paraId="5FA24B9E">
                  <w:pPr>
                    <w:keepNext w:val="0"/>
                    <w:keepLines w:val="0"/>
                    <w:pageBreakBefore w:val="0"/>
                    <w:widowControl w:val="0"/>
                    <w:kinsoku/>
                    <w:wordWrap/>
                    <w:overflowPunct/>
                    <w:topLinePunct w:val="0"/>
                    <w:bidi w:val="0"/>
                    <w:adjustRightInd w:val="0"/>
                    <w:snapToGrid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地下水</w:t>
                  </w:r>
                </w:p>
              </w:tc>
              <w:tc>
                <w:tcPr>
                  <w:tcW w:w="2641" w:type="dxa"/>
                  <w:tcBorders>
                    <w:tl2br w:val="nil"/>
                    <w:tr2bl w:val="nil"/>
                  </w:tcBorders>
                  <w:shd w:val="clear" w:color="auto" w:fill="FFFFFF"/>
                  <w:vAlign w:val="center"/>
                </w:tcPr>
                <w:p w14:paraId="703BD286">
                  <w:pPr>
                    <w:keepNext w:val="0"/>
                    <w:keepLines w:val="0"/>
                    <w:pageBreakBefore w:val="0"/>
                    <w:widowControl w:val="0"/>
                    <w:kinsoku/>
                    <w:wordWrap/>
                    <w:overflowPunct/>
                    <w:topLinePunct w:val="0"/>
                    <w:bidi w:val="0"/>
                    <w:adjustRightInd w:val="0"/>
                    <w:snapToGrid w:val="0"/>
                    <w:spacing w:line="320" w:lineRule="exact"/>
                    <w:ind w:firstLine="0" w:firstLineChars="0"/>
                    <w:jc w:val="left"/>
                    <w:textAlignment w:val="auto"/>
                    <w:rPr>
                      <w:color w:val="auto"/>
                      <w:sz w:val="21"/>
                      <w:szCs w:val="21"/>
                      <w:highlight w:val="none"/>
                    </w:rPr>
                  </w:pPr>
                  <w:r>
                    <w:rPr>
                      <w:color w:val="auto"/>
                      <w:sz w:val="21"/>
                      <w:szCs w:val="21"/>
                      <w:highlight w:val="none"/>
                    </w:rPr>
                    <w:t>涉及集中式饮用水水源和热水、矿泉水、温泉等特殊地下水资源保护区的开展地下</w:t>
                  </w:r>
                  <w:r>
                    <w:rPr>
                      <w:rFonts w:hint="eastAsia"/>
                      <w:color w:val="auto"/>
                      <w:sz w:val="21"/>
                      <w:szCs w:val="21"/>
                      <w:highlight w:val="none"/>
                    </w:rPr>
                    <w:t>水专</w:t>
                  </w:r>
                  <w:r>
                    <w:rPr>
                      <w:color w:val="auto"/>
                      <w:sz w:val="21"/>
                      <w:szCs w:val="21"/>
                      <w:highlight w:val="none"/>
                    </w:rPr>
                    <w:t>项评价工作</w:t>
                  </w:r>
                </w:p>
              </w:tc>
              <w:tc>
                <w:tcPr>
                  <w:tcW w:w="3298" w:type="dxa"/>
                  <w:tcBorders>
                    <w:tl2br w:val="nil"/>
                    <w:tr2bl w:val="nil"/>
                  </w:tcBorders>
                  <w:shd w:val="clear" w:color="auto" w:fill="FFFFFF"/>
                  <w:vAlign w:val="center"/>
                </w:tcPr>
                <w:p w14:paraId="42084E9F">
                  <w:pPr>
                    <w:keepNext w:val="0"/>
                    <w:keepLines w:val="0"/>
                    <w:pageBreakBefore w:val="0"/>
                    <w:widowControl w:val="0"/>
                    <w:kinsoku/>
                    <w:wordWrap/>
                    <w:overflowPunct/>
                    <w:topLinePunct w:val="0"/>
                    <w:bidi w:val="0"/>
                    <w:adjustRightInd w:val="0"/>
                    <w:snapToGrid w:val="0"/>
                    <w:spacing w:line="320" w:lineRule="exact"/>
                    <w:ind w:firstLine="0" w:firstLineChars="0"/>
                    <w:jc w:val="left"/>
                    <w:textAlignment w:val="auto"/>
                    <w:rPr>
                      <w:color w:val="auto"/>
                      <w:sz w:val="21"/>
                      <w:szCs w:val="21"/>
                      <w:highlight w:val="none"/>
                    </w:rPr>
                  </w:pPr>
                  <w:r>
                    <w:rPr>
                      <w:color w:val="auto"/>
                      <w:sz w:val="21"/>
                      <w:szCs w:val="21"/>
                      <w:highlight w:val="none"/>
                    </w:rPr>
                    <w:t>本项目不涉及集中式饮用水水源和热水、矿泉水、温泉等特殊地下水资源保护区。</w:t>
                  </w:r>
                </w:p>
              </w:tc>
              <w:tc>
                <w:tcPr>
                  <w:tcW w:w="905" w:type="dxa"/>
                  <w:tcBorders>
                    <w:tl2br w:val="nil"/>
                    <w:tr2bl w:val="nil"/>
                  </w:tcBorders>
                  <w:shd w:val="clear" w:color="auto" w:fill="FFFFFF"/>
                  <w:vAlign w:val="center"/>
                </w:tcPr>
                <w:p w14:paraId="53BD11FC">
                  <w:pPr>
                    <w:keepNext w:val="0"/>
                    <w:keepLines w:val="0"/>
                    <w:pageBreakBefore w:val="0"/>
                    <w:widowControl w:val="0"/>
                    <w:kinsoku/>
                    <w:wordWrap/>
                    <w:overflowPunct/>
                    <w:topLinePunct w:val="0"/>
                    <w:bidi w:val="0"/>
                    <w:adjustRightInd w:val="0"/>
                    <w:snapToGrid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否</w:t>
                  </w:r>
                </w:p>
              </w:tc>
            </w:tr>
            <w:tr w14:paraId="52C7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dxa"/>
                  <w:tcBorders>
                    <w:tl2br w:val="nil"/>
                    <w:tr2bl w:val="nil"/>
                  </w:tcBorders>
                  <w:shd w:val="clear" w:color="auto" w:fill="FFFFFF"/>
                  <w:vAlign w:val="center"/>
                </w:tcPr>
                <w:p w14:paraId="079A7DCD">
                  <w:pPr>
                    <w:keepNext w:val="0"/>
                    <w:keepLines w:val="0"/>
                    <w:pageBreakBefore w:val="0"/>
                    <w:widowControl w:val="0"/>
                    <w:kinsoku/>
                    <w:wordWrap/>
                    <w:overflowPunct/>
                    <w:topLinePunct w:val="0"/>
                    <w:bidi w:val="0"/>
                    <w:adjustRightInd w:val="0"/>
                    <w:snapToGrid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土壤和噪声</w:t>
                  </w:r>
                </w:p>
              </w:tc>
              <w:tc>
                <w:tcPr>
                  <w:tcW w:w="2641" w:type="dxa"/>
                  <w:tcBorders>
                    <w:tl2br w:val="nil"/>
                    <w:tr2bl w:val="nil"/>
                  </w:tcBorders>
                  <w:shd w:val="clear" w:color="auto" w:fill="FFFFFF"/>
                  <w:vAlign w:val="center"/>
                </w:tcPr>
                <w:p w14:paraId="4CD8C48A">
                  <w:pPr>
                    <w:keepNext w:val="0"/>
                    <w:keepLines w:val="0"/>
                    <w:pageBreakBefore w:val="0"/>
                    <w:widowControl w:val="0"/>
                    <w:kinsoku/>
                    <w:wordWrap/>
                    <w:overflowPunct/>
                    <w:topLinePunct w:val="0"/>
                    <w:bidi w:val="0"/>
                    <w:adjustRightInd w:val="0"/>
                    <w:snapToGrid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不开展</w:t>
                  </w:r>
                </w:p>
              </w:tc>
              <w:tc>
                <w:tcPr>
                  <w:tcW w:w="3298" w:type="dxa"/>
                  <w:tcBorders>
                    <w:tl2br w:val="nil"/>
                    <w:tr2bl w:val="nil"/>
                  </w:tcBorders>
                  <w:shd w:val="clear" w:color="auto" w:fill="FFFFFF"/>
                  <w:vAlign w:val="center"/>
                </w:tcPr>
                <w:p w14:paraId="32F8BC46">
                  <w:pPr>
                    <w:keepNext w:val="0"/>
                    <w:keepLines w:val="0"/>
                    <w:pageBreakBefore w:val="0"/>
                    <w:widowControl w:val="0"/>
                    <w:kinsoku/>
                    <w:wordWrap/>
                    <w:overflowPunct/>
                    <w:topLinePunct w:val="0"/>
                    <w:bidi w:val="0"/>
                    <w:adjustRightInd w:val="0"/>
                    <w:snapToGrid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w:t>
                  </w:r>
                </w:p>
              </w:tc>
              <w:tc>
                <w:tcPr>
                  <w:tcW w:w="905" w:type="dxa"/>
                  <w:tcBorders>
                    <w:tl2br w:val="nil"/>
                    <w:tr2bl w:val="nil"/>
                  </w:tcBorders>
                  <w:shd w:val="clear" w:color="auto" w:fill="FFFFFF"/>
                  <w:vAlign w:val="center"/>
                </w:tcPr>
                <w:p w14:paraId="0B5B909D">
                  <w:pPr>
                    <w:keepNext w:val="0"/>
                    <w:keepLines w:val="0"/>
                    <w:pageBreakBefore w:val="0"/>
                    <w:widowControl w:val="0"/>
                    <w:kinsoku/>
                    <w:wordWrap/>
                    <w:overflowPunct/>
                    <w:topLinePunct w:val="0"/>
                    <w:bidi w:val="0"/>
                    <w:adjustRightInd w:val="0"/>
                    <w:snapToGrid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否</w:t>
                  </w:r>
                </w:p>
              </w:tc>
            </w:tr>
            <w:tr w14:paraId="3F87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3" w:type="dxa"/>
                  <w:gridSpan w:val="4"/>
                  <w:tcBorders>
                    <w:tl2br w:val="nil"/>
                    <w:tr2bl w:val="nil"/>
                  </w:tcBorders>
                  <w:vAlign w:val="center"/>
                </w:tcPr>
                <w:p w14:paraId="4F4FB046">
                  <w:pPr>
                    <w:pStyle w:val="89"/>
                    <w:keepNext w:val="0"/>
                    <w:keepLines w:val="0"/>
                    <w:pageBreakBefore w:val="0"/>
                    <w:widowControl w:val="0"/>
                    <w:kinsoku/>
                    <w:wordWrap/>
                    <w:overflowPunct/>
                    <w:topLinePunct w:val="0"/>
                    <w:bidi w:val="0"/>
                    <w:spacing w:line="320" w:lineRule="exact"/>
                    <w:ind w:firstLine="0" w:firstLineChars="0"/>
                    <w:jc w:val="both"/>
                    <w:textAlignment w:val="auto"/>
                    <w:rPr>
                      <w:b w:val="0"/>
                      <w:bCs/>
                      <w:color w:val="auto"/>
                      <w:kern w:val="0"/>
                      <w:sz w:val="18"/>
                      <w:szCs w:val="18"/>
                      <w:highlight w:val="none"/>
                    </w:rPr>
                  </w:pPr>
                  <w:r>
                    <w:rPr>
                      <w:rFonts w:hint="eastAsia"/>
                      <w:b w:val="0"/>
                      <w:bCs/>
                      <w:color w:val="auto"/>
                      <w:kern w:val="0"/>
                      <w:sz w:val="18"/>
                      <w:szCs w:val="18"/>
                      <w:highlight w:val="none"/>
                    </w:rPr>
                    <w:t>注：①废气中有毒有害污染物指纳入《有毒有害大气污染物名录》的污染物（不包括无排放标准的污染物）。</w:t>
                  </w:r>
                </w:p>
                <w:p w14:paraId="3F2A5176">
                  <w:pPr>
                    <w:pStyle w:val="89"/>
                    <w:keepNext w:val="0"/>
                    <w:keepLines w:val="0"/>
                    <w:pageBreakBefore w:val="0"/>
                    <w:widowControl w:val="0"/>
                    <w:kinsoku/>
                    <w:wordWrap/>
                    <w:overflowPunct/>
                    <w:topLinePunct w:val="0"/>
                    <w:bidi w:val="0"/>
                    <w:spacing w:line="320" w:lineRule="exact"/>
                    <w:ind w:firstLine="0" w:firstLineChars="0"/>
                    <w:jc w:val="both"/>
                    <w:textAlignment w:val="auto"/>
                    <w:rPr>
                      <w:b w:val="0"/>
                      <w:bCs/>
                      <w:color w:val="auto"/>
                      <w:kern w:val="0"/>
                      <w:sz w:val="18"/>
                      <w:szCs w:val="18"/>
                      <w:highlight w:val="none"/>
                    </w:rPr>
                  </w:pPr>
                  <w:r>
                    <w:rPr>
                      <w:rFonts w:hint="eastAsia"/>
                      <w:b w:val="0"/>
                      <w:bCs/>
                      <w:color w:val="auto"/>
                      <w:kern w:val="0"/>
                      <w:sz w:val="18"/>
                      <w:szCs w:val="18"/>
                      <w:highlight w:val="none"/>
                    </w:rPr>
                    <w:t>②环境空气保护目标指自然保护区、风景名胜区、居住区、文化区和农村地区中人群较集中的区域。</w:t>
                  </w:r>
                </w:p>
                <w:p w14:paraId="5583E226">
                  <w:pPr>
                    <w:pStyle w:val="89"/>
                    <w:keepNext w:val="0"/>
                    <w:keepLines w:val="0"/>
                    <w:pageBreakBefore w:val="0"/>
                    <w:widowControl w:val="0"/>
                    <w:kinsoku/>
                    <w:wordWrap/>
                    <w:overflowPunct/>
                    <w:topLinePunct w:val="0"/>
                    <w:bidi w:val="0"/>
                    <w:spacing w:line="320" w:lineRule="exact"/>
                    <w:ind w:firstLine="0" w:firstLineChars="0"/>
                    <w:jc w:val="both"/>
                    <w:textAlignment w:val="auto"/>
                    <w:rPr>
                      <w:b w:val="0"/>
                      <w:bCs/>
                      <w:color w:val="auto"/>
                      <w:kern w:val="0"/>
                      <w:sz w:val="21"/>
                      <w:szCs w:val="21"/>
                      <w:highlight w:val="none"/>
                    </w:rPr>
                  </w:pPr>
                  <w:r>
                    <w:rPr>
                      <w:rFonts w:hint="eastAsia"/>
                      <w:b w:val="0"/>
                      <w:bCs/>
                      <w:color w:val="auto"/>
                      <w:kern w:val="0"/>
                      <w:sz w:val="18"/>
                      <w:szCs w:val="18"/>
                      <w:highlight w:val="none"/>
                    </w:rPr>
                    <w:t>③临界量及其计算方法可参考《建设项目环境风险评价技术导则》（HJ 169）附录B、附录C。</w:t>
                  </w:r>
                </w:p>
              </w:tc>
            </w:tr>
          </w:tbl>
          <w:p w14:paraId="54182386">
            <w:pPr>
              <w:ind w:firstLine="420" w:firstLineChars="200"/>
              <w:rPr>
                <w:color w:val="auto"/>
                <w:kern w:val="0"/>
                <w:sz w:val="21"/>
                <w:szCs w:val="21"/>
                <w:highlight w:val="none"/>
              </w:rPr>
            </w:pPr>
          </w:p>
        </w:tc>
      </w:tr>
      <w:tr w14:paraId="0D8FBA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4" w:hRule="atLeast"/>
          <w:jc w:val="center"/>
        </w:trPr>
        <w:tc>
          <w:tcPr>
            <w:tcW w:w="1366" w:type="dxa"/>
            <w:vAlign w:val="center"/>
          </w:tcPr>
          <w:p w14:paraId="5010272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color w:val="auto"/>
                <w:kern w:val="0"/>
                <w:sz w:val="24"/>
                <w:szCs w:val="24"/>
                <w:highlight w:val="none"/>
              </w:rPr>
            </w:pPr>
            <w:r>
              <w:rPr>
                <w:color w:val="auto"/>
                <w:kern w:val="0"/>
                <w:sz w:val="24"/>
                <w:szCs w:val="24"/>
                <w:highlight w:val="none"/>
              </w:rPr>
              <w:t>规划情况</w:t>
            </w:r>
          </w:p>
        </w:tc>
        <w:tc>
          <w:tcPr>
            <w:tcW w:w="7830" w:type="dxa"/>
            <w:gridSpan w:val="3"/>
            <w:vAlign w:val="center"/>
          </w:tcPr>
          <w:p w14:paraId="16BB22FE">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left"/>
              <w:textAlignment w:val="auto"/>
              <w:rPr>
                <w:rFonts w:hint="eastAsia" w:eastAsia="宋体"/>
                <w:color w:val="auto"/>
                <w:kern w:val="0"/>
                <w:sz w:val="24"/>
                <w:szCs w:val="24"/>
                <w:highlight w:val="none"/>
                <w:lang w:eastAsia="zh-CN"/>
              </w:rPr>
            </w:pPr>
            <w:r>
              <w:rPr>
                <w:rFonts w:ascii="Times New Roman" w:hAnsi="Times New Roman" w:eastAsia="宋体" w:cs="Times New Roman"/>
                <w:color w:val="auto"/>
                <w:kern w:val="0"/>
                <w:sz w:val="24"/>
                <w:szCs w:val="24"/>
                <w:highlight w:val="none"/>
                <w:lang w:val="en-US" w:eastAsia="zh-CN" w:bidi="ar-SA"/>
              </w:rPr>
              <w:t>（1）</w:t>
            </w:r>
            <w:r>
              <w:rPr>
                <w:rFonts w:hint="eastAsia"/>
                <w:color w:val="auto"/>
                <w:kern w:val="0"/>
                <w:sz w:val="24"/>
                <w:szCs w:val="24"/>
                <w:highlight w:val="none"/>
              </w:rPr>
              <w:t>名称：《寻甸回族彝族自治县国土空间总体规划（2021—2035年）》</w:t>
            </w:r>
            <w:r>
              <w:rPr>
                <w:rFonts w:hint="eastAsia"/>
                <w:color w:val="auto"/>
                <w:kern w:val="0"/>
                <w:sz w:val="24"/>
                <w:szCs w:val="24"/>
                <w:highlight w:val="none"/>
                <w:lang w:eastAsia="zh-CN"/>
              </w:rPr>
              <w:t>；</w:t>
            </w:r>
          </w:p>
          <w:p w14:paraId="243A2E9C">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left"/>
              <w:textAlignment w:val="auto"/>
              <w:rPr>
                <w:rFonts w:hint="eastAsia" w:eastAsia="宋体"/>
                <w:color w:val="auto"/>
                <w:kern w:val="0"/>
                <w:sz w:val="24"/>
                <w:szCs w:val="24"/>
                <w:highlight w:val="none"/>
                <w:lang w:eastAsia="zh-CN"/>
              </w:rPr>
            </w:pPr>
            <w:r>
              <w:rPr>
                <w:rFonts w:ascii="Times New Roman" w:hAnsi="Times New Roman" w:eastAsia="宋体" w:cs="Times New Roman"/>
                <w:color w:val="auto"/>
                <w:kern w:val="0"/>
                <w:sz w:val="24"/>
                <w:szCs w:val="24"/>
                <w:highlight w:val="none"/>
                <w:lang w:val="en-US" w:eastAsia="zh-CN" w:bidi="ar-SA"/>
              </w:rPr>
              <w:t>（2）</w:t>
            </w:r>
            <w:r>
              <w:rPr>
                <w:rFonts w:hint="eastAsia"/>
                <w:color w:val="auto"/>
                <w:kern w:val="0"/>
                <w:sz w:val="24"/>
                <w:szCs w:val="24"/>
                <w:highlight w:val="none"/>
              </w:rPr>
              <w:t>审批机关：昆明市人民政府</w:t>
            </w:r>
            <w:r>
              <w:rPr>
                <w:rFonts w:hint="eastAsia"/>
                <w:color w:val="auto"/>
                <w:kern w:val="0"/>
                <w:sz w:val="24"/>
                <w:szCs w:val="24"/>
                <w:highlight w:val="none"/>
                <w:lang w:eastAsia="zh-CN"/>
              </w:rPr>
              <w:t>；</w:t>
            </w:r>
          </w:p>
          <w:p w14:paraId="671AE352">
            <w:pPr>
              <w:pStyle w:val="14"/>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eastAsia="宋体"/>
                <w:color w:val="auto"/>
                <w:kern w:val="0"/>
                <w:sz w:val="24"/>
                <w:szCs w:val="24"/>
                <w:highlight w:val="none"/>
                <w:lang w:eastAsia="zh-CN"/>
              </w:rPr>
            </w:pPr>
            <w:r>
              <w:rPr>
                <w:rFonts w:hint="eastAsia" w:ascii="Times New Roman" w:hAnsi="Times New Roman"/>
                <w:color w:val="auto"/>
                <w:kern w:val="0"/>
                <w:sz w:val="24"/>
                <w:szCs w:val="24"/>
                <w:highlight w:val="none"/>
              </w:rPr>
              <w:t>（3）审批文件名称及文号：昆明市人民政府关于《寻甸回族彝族自治县国土空间总体规划（2021—2035年）》的批复（昆政复〔2025〕12号）</w:t>
            </w:r>
            <w:r>
              <w:rPr>
                <w:rFonts w:hint="eastAsia" w:ascii="Times New Roman" w:hAnsi="Times New Roman"/>
                <w:color w:val="auto"/>
                <w:kern w:val="0"/>
                <w:sz w:val="24"/>
                <w:szCs w:val="24"/>
                <w:highlight w:val="none"/>
                <w:lang w:eastAsia="zh-CN"/>
              </w:rPr>
              <w:t>。</w:t>
            </w:r>
          </w:p>
        </w:tc>
      </w:tr>
      <w:tr w14:paraId="2F634D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78" w:hRule="atLeast"/>
          <w:jc w:val="center"/>
        </w:trPr>
        <w:tc>
          <w:tcPr>
            <w:tcW w:w="1366" w:type="dxa"/>
            <w:vAlign w:val="center"/>
          </w:tcPr>
          <w:p w14:paraId="5DE04D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color w:val="auto"/>
                <w:kern w:val="0"/>
                <w:sz w:val="24"/>
                <w:szCs w:val="24"/>
                <w:highlight w:val="none"/>
              </w:rPr>
            </w:pPr>
            <w:r>
              <w:rPr>
                <w:color w:val="auto"/>
                <w:kern w:val="0"/>
                <w:sz w:val="24"/>
                <w:szCs w:val="24"/>
                <w:highlight w:val="none"/>
              </w:rPr>
              <w:t>规划环境影响评价情况</w:t>
            </w:r>
          </w:p>
        </w:tc>
        <w:tc>
          <w:tcPr>
            <w:tcW w:w="7830" w:type="dxa"/>
            <w:gridSpan w:val="3"/>
            <w:vAlign w:val="center"/>
          </w:tcPr>
          <w:p w14:paraId="011C22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color w:val="auto"/>
                <w:kern w:val="0"/>
                <w:sz w:val="24"/>
                <w:szCs w:val="24"/>
                <w:highlight w:val="none"/>
              </w:rPr>
            </w:pPr>
            <w:r>
              <w:rPr>
                <w:rFonts w:hint="eastAsia"/>
                <w:color w:val="auto"/>
                <w:kern w:val="0"/>
                <w:sz w:val="24"/>
                <w:szCs w:val="24"/>
                <w:highlight w:val="none"/>
              </w:rPr>
              <w:t>无</w:t>
            </w:r>
          </w:p>
        </w:tc>
      </w:tr>
      <w:tr w14:paraId="5BD143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66" w:type="dxa"/>
            <w:vAlign w:val="center"/>
          </w:tcPr>
          <w:p w14:paraId="0FA8D2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color w:val="auto"/>
                <w:kern w:val="0"/>
                <w:sz w:val="24"/>
                <w:szCs w:val="24"/>
                <w:highlight w:val="none"/>
              </w:rPr>
            </w:pPr>
            <w:r>
              <w:rPr>
                <w:color w:val="auto"/>
                <w:kern w:val="0"/>
                <w:sz w:val="24"/>
                <w:szCs w:val="24"/>
                <w:highlight w:val="none"/>
              </w:rPr>
              <w:t>规划及规划环境影响评价符合性分析</w:t>
            </w:r>
          </w:p>
        </w:tc>
        <w:tc>
          <w:tcPr>
            <w:tcW w:w="7830" w:type="dxa"/>
            <w:gridSpan w:val="3"/>
            <w:vAlign w:val="center"/>
          </w:tcPr>
          <w:p w14:paraId="5AA9E55B">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left"/>
              <w:textAlignment w:val="auto"/>
              <w:rPr>
                <w:b/>
                <w:bCs/>
                <w:color w:val="auto"/>
                <w:kern w:val="0"/>
                <w:sz w:val="24"/>
                <w:szCs w:val="24"/>
                <w:highlight w:val="none"/>
              </w:rPr>
            </w:pPr>
            <w:r>
              <w:rPr>
                <w:rFonts w:ascii="Times New Roman" w:hAnsi="Times New Roman" w:eastAsia="宋体" w:cs="Times New Roman"/>
                <w:b/>
                <w:bCs/>
                <w:color w:val="auto"/>
                <w:kern w:val="0"/>
                <w:sz w:val="24"/>
                <w:szCs w:val="24"/>
                <w:highlight w:val="none"/>
                <w:lang w:val="en-US" w:eastAsia="zh-CN" w:bidi="ar-SA"/>
              </w:rPr>
              <w:t>1、</w:t>
            </w:r>
            <w:r>
              <w:rPr>
                <w:rFonts w:hint="eastAsia"/>
                <w:b/>
                <w:bCs/>
                <w:color w:val="auto"/>
                <w:kern w:val="0"/>
                <w:sz w:val="24"/>
                <w:szCs w:val="24"/>
                <w:highlight w:val="none"/>
              </w:rPr>
              <w:t>与《寻甸回族彝族自治县国土空间总体规划（2021—2035年）》符合性分析</w:t>
            </w:r>
          </w:p>
          <w:p w14:paraId="42D0AED6">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b/>
                <w:bCs/>
                <w:color w:val="auto"/>
                <w:sz w:val="21"/>
                <w:szCs w:val="21"/>
                <w:highlight w:val="none"/>
              </w:rPr>
            </w:pPr>
            <w:r>
              <w:rPr>
                <w:rFonts w:hint="eastAsia"/>
                <w:b/>
                <w:bCs/>
                <w:color w:val="auto"/>
                <w:sz w:val="21"/>
                <w:szCs w:val="21"/>
                <w:highlight w:val="none"/>
              </w:rPr>
              <w:t>表1-</w:t>
            </w:r>
            <w:r>
              <w:rPr>
                <w:rFonts w:hint="eastAsia"/>
                <w:b/>
                <w:bCs/>
                <w:color w:val="auto"/>
                <w:sz w:val="21"/>
                <w:szCs w:val="21"/>
                <w:highlight w:val="none"/>
                <w:lang w:val="en-US" w:eastAsia="zh-CN"/>
              </w:rPr>
              <w:t>2</w:t>
            </w:r>
            <w:r>
              <w:rPr>
                <w:rFonts w:hint="eastAsia"/>
                <w:b/>
                <w:bCs/>
                <w:color w:val="auto"/>
                <w:sz w:val="21"/>
                <w:szCs w:val="21"/>
                <w:highlight w:val="none"/>
              </w:rPr>
              <w:t xml:space="preserve"> </w:t>
            </w:r>
            <w:r>
              <w:rPr>
                <w:rFonts w:hint="eastAsia"/>
                <w:b/>
                <w:bCs/>
                <w:color w:val="auto"/>
                <w:kern w:val="0"/>
                <w:sz w:val="21"/>
                <w:szCs w:val="21"/>
                <w:highlight w:val="none"/>
              </w:rPr>
              <w:t>与《寻甸回族彝族自治县国土空间总体规划（2021—2035年）》符合性分析</w:t>
            </w:r>
          </w:p>
          <w:tbl>
            <w:tblPr>
              <w:tblStyle w:val="27"/>
              <w:tblW w:w="77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3492"/>
              <w:gridCol w:w="2806"/>
              <w:gridCol w:w="919"/>
            </w:tblGrid>
            <w:tr w14:paraId="1649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6" w:type="dxa"/>
                  <w:vAlign w:val="center"/>
                </w:tcPr>
                <w:p w14:paraId="5AD01092">
                  <w:pPr>
                    <w:pStyle w:val="14"/>
                    <w:keepNext w:val="0"/>
                    <w:keepLines w:val="0"/>
                    <w:pageBreakBefore w:val="0"/>
                    <w:kinsoku/>
                    <w:wordWrap/>
                    <w:overflowPunct/>
                    <w:topLinePunct w:val="0"/>
                    <w:autoSpaceDE/>
                    <w:autoSpaceDN/>
                    <w:bidi w:val="0"/>
                    <w:adjustRightInd/>
                    <w:snapToGrid/>
                    <w:spacing w:beforeAutospacing="0" w:afterAutospacing="0" w:line="320" w:lineRule="exact"/>
                    <w:jc w:val="center"/>
                    <w:textAlignment w:val="auto"/>
                    <w:rPr>
                      <w:rFonts w:ascii="Times New Roman" w:hAnsi="Times New Roman"/>
                      <w:b/>
                      <w:bCs/>
                      <w:color w:val="auto"/>
                      <w:sz w:val="21"/>
                      <w:szCs w:val="21"/>
                      <w:highlight w:val="none"/>
                    </w:rPr>
                  </w:pPr>
                  <w:r>
                    <w:rPr>
                      <w:rFonts w:ascii="Times New Roman" w:hAnsi="Times New Roman"/>
                      <w:b/>
                      <w:bCs/>
                      <w:color w:val="auto"/>
                      <w:sz w:val="21"/>
                      <w:szCs w:val="21"/>
                      <w:highlight w:val="none"/>
                    </w:rPr>
                    <w:t>序号</w:t>
                  </w:r>
                </w:p>
              </w:tc>
              <w:tc>
                <w:tcPr>
                  <w:tcW w:w="3492" w:type="dxa"/>
                  <w:vAlign w:val="center"/>
                </w:tcPr>
                <w:p w14:paraId="7B18A028">
                  <w:pPr>
                    <w:pStyle w:val="14"/>
                    <w:keepNext w:val="0"/>
                    <w:keepLines w:val="0"/>
                    <w:pageBreakBefore w:val="0"/>
                    <w:kinsoku/>
                    <w:wordWrap/>
                    <w:overflowPunct/>
                    <w:topLinePunct w:val="0"/>
                    <w:autoSpaceDE/>
                    <w:autoSpaceDN/>
                    <w:bidi w:val="0"/>
                    <w:adjustRightInd/>
                    <w:snapToGrid/>
                    <w:spacing w:beforeAutospacing="0" w:afterAutospacing="0" w:line="320" w:lineRule="exact"/>
                    <w:jc w:val="center"/>
                    <w:textAlignment w:val="auto"/>
                    <w:rPr>
                      <w:rFonts w:ascii="Times New Roman" w:hAnsi="Times New Roman"/>
                      <w:b/>
                      <w:bCs/>
                      <w:color w:val="auto"/>
                      <w:sz w:val="21"/>
                      <w:szCs w:val="21"/>
                      <w:highlight w:val="none"/>
                    </w:rPr>
                  </w:pPr>
                  <w:r>
                    <w:rPr>
                      <w:rFonts w:ascii="Times New Roman" w:hAnsi="Times New Roman"/>
                      <w:b/>
                      <w:bCs/>
                      <w:color w:val="auto"/>
                      <w:sz w:val="21"/>
                      <w:szCs w:val="21"/>
                      <w:highlight w:val="none"/>
                    </w:rPr>
                    <w:t>内容</w:t>
                  </w:r>
                </w:p>
              </w:tc>
              <w:tc>
                <w:tcPr>
                  <w:tcW w:w="2806" w:type="dxa"/>
                  <w:vAlign w:val="center"/>
                </w:tcPr>
                <w:p w14:paraId="7AC506AE">
                  <w:pPr>
                    <w:pStyle w:val="14"/>
                    <w:keepNext w:val="0"/>
                    <w:keepLines w:val="0"/>
                    <w:pageBreakBefore w:val="0"/>
                    <w:kinsoku/>
                    <w:wordWrap/>
                    <w:overflowPunct/>
                    <w:topLinePunct w:val="0"/>
                    <w:autoSpaceDE/>
                    <w:autoSpaceDN/>
                    <w:bidi w:val="0"/>
                    <w:adjustRightInd/>
                    <w:snapToGrid/>
                    <w:spacing w:beforeAutospacing="0" w:afterAutospacing="0" w:line="320" w:lineRule="exact"/>
                    <w:jc w:val="center"/>
                    <w:textAlignment w:val="auto"/>
                    <w:rPr>
                      <w:rFonts w:ascii="Times New Roman" w:hAnsi="Times New Roman"/>
                      <w:b/>
                      <w:bCs/>
                      <w:color w:val="auto"/>
                      <w:sz w:val="21"/>
                      <w:szCs w:val="21"/>
                      <w:highlight w:val="none"/>
                    </w:rPr>
                  </w:pPr>
                  <w:r>
                    <w:rPr>
                      <w:rFonts w:ascii="Times New Roman" w:hAnsi="Times New Roman"/>
                      <w:b/>
                      <w:bCs/>
                      <w:color w:val="auto"/>
                      <w:sz w:val="21"/>
                      <w:szCs w:val="21"/>
                      <w:highlight w:val="none"/>
                    </w:rPr>
                    <w:t>本项目</w:t>
                  </w:r>
                </w:p>
              </w:tc>
              <w:tc>
                <w:tcPr>
                  <w:tcW w:w="919" w:type="dxa"/>
                  <w:vAlign w:val="center"/>
                </w:tcPr>
                <w:p w14:paraId="739E2DA1">
                  <w:pPr>
                    <w:pStyle w:val="14"/>
                    <w:keepNext w:val="0"/>
                    <w:keepLines w:val="0"/>
                    <w:pageBreakBefore w:val="0"/>
                    <w:kinsoku/>
                    <w:wordWrap/>
                    <w:overflowPunct/>
                    <w:topLinePunct w:val="0"/>
                    <w:autoSpaceDE/>
                    <w:autoSpaceDN/>
                    <w:bidi w:val="0"/>
                    <w:adjustRightInd/>
                    <w:snapToGrid/>
                    <w:spacing w:beforeAutospacing="0" w:afterAutospacing="0" w:line="320" w:lineRule="exact"/>
                    <w:jc w:val="center"/>
                    <w:textAlignment w:val="auto"/>
                    <w:rPr>
                      <w:rFonts w:ascii="Times New Roman" w:hAnsi="Times New Roman"/>
                      <w:b/>
                      <w:bCs/>
                      <w:color w:val="auto"/>
                      <w:sz w:val="21"/>
                      <w:szCs w:val="21"/>
                      <w:highlight w:val="none"/>
                    </w:rPr>
                  </w:pPr>
                  <w:r>
                    <w:rPr>
                      <w:rFonts w:ascii="Times New Roman" w:hAnsi="Times New Roman"/>
                      <w:b/>
                      <w:bCs/>
                      <w:color w:val="auto"/>
                      <w:sz w:val="21"/>
                      <w:szCs w:val="21"/>
                      <w:highlight w:val="none"/>
                    </w:rPr>
                    <w:t>符合性</w:t>
                  </w:r>
                </w:p>
              </w:tc>
            </w:tr>
            <w:tr w14:paraId="61207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6" w:type="dxa"/>
                  <w:vAlign w:val="center"/>
                </w:tcPr>
                <w:p w14:paraId="1ADCD7EA">
                  <w:pPr>
                    <w:pStyle w:val="14"/>
                    <w:keepNext w:val="0"/>
                    <w:keepLines w:val="0"/>
                    <w:pageBreakBefore w:val="0"/>
                    <w:kinsoku/>
                    <w:wordWrap/>
                    <w:overflowPunct/>
                    <w:topLinePunct w:val="0"/>
                    <w:autoSpaceDE/>
                    <w:autoSpaceDN/>
                    <w:bidi w:val="0"/>
                    <w:adjustRightInd/>
                    <w:snapToGrid/>
                    <w:spacing w:beforeAutospacing="0" w:afterAutospacing="0" w:line="320" w:lineRule="exact"/>
                    <w:jc w:val="center"/>
                    <w:textAlignment w:val="auto"/>
                    <w:rPr>
                      <w:rFonts w:ascii="Times New Roman" w:hAnsi="Times New Roman"/>
                      <w:color w:val="auto"/>
                      <w:sz w:val="21"/>
                      <w:szCs w:val="21"/>
                      <w:highlight w:val="none"/>
                    </w:rPr>
                  </w:pPr>
                  <w:r>
                    <w:rPr>
                      <w:rFonts w:ascii="Times New Roman" w:hAnsi="Times New Roman"/>
                      <w:color w:val="auto"/>
                      <w:sz w:val="21"/>
                      <w:szCs w:val="21"/>
                      <w:highlight w:val="none"/>
                    </w:rPr>
                    <w:t>1</w:t>
                  </w:r>
                </w:p>
              </w:tc>
              <w:tc>
                <w:tcPr>
                  <w:tcW w:w="3492" w:type="dxa"/>
                  <w:vAlign w:val="center"/>
                </w:tcPr>
                <w:p w14:paraId="2553E6E7">
                  <w:pPr>
                    <w:pStyle w:val="14"/>
                    <w:keepNext w:val="0"/>
                    <w:keepLines w:val="0"/>
                    <w:pageBreakBefore w:val="0"/>
                    <w:kinsoku/>
                    <w:wordWrap/>
                    <w:overflowPunct/>
                    <w:topLinePunct w:val="0"/>
                    <w:autoSpaceDE/>
                    <w:autoSpaceDN/>
                    <w:bidi w:val="0"/>
                    <w:adjustRightInd/>
                    <w:snapToGrid/>
                    <w:spacing w:beforeAutospacing="0" w:afterAutospacing="0" w:line="320" w:lineRule="exact"/>
                    <w:jc w:val="both"/>
                    <w:textAlignment w:val="auto"/>
                    <w:rPr>
                      <w:rFonts w:ascii="Times New Roman" w:hAnsi="Times New Roman"/>
                      <w:color w:val="auto"/>
                      <w:sz w:val="21"/>
                      <w:szCs w:val="21"/>
                      <w:highlight w:val="none"/>
                    </w:rPr>
                  </w:pPr>
                  <w:r>
                    <w:rPr>
                      <w:rFonts w:ascii="Times New Roman" w:hAnsi="Times New Roman"/>
                      <w:color w:val="auto"/>
                      <w:sz w:val="21"/>
                      <w:szCs w:val="21"/>
                      <w:highlight w:val="none"/>
                    </w:rPr>
                    <w:t>规划要求：《规划》是空间发展的指南，需贯彻新发展理念，统筹发展和安全，促进人与自然和谐共生，发挥高原特色农业发展标杆功能。</w:t>
                  </w:r>
                </w:p>
              </w:tc>
              <w:tc>
                <w:tcPr>
                  <w:tcW w:w="2806" w:type="dxa"/>
                  <w:vAlign w:val="center"/>
                </w:tcPr>
                <w:p w14:paraId="1ECDFCEB">
                  <w:pPr>
                    <w:pStyle w:val="14"/>
                    <w:keepNext w:val="0"/>
                    <w:keepLines w:val="0"/>
                    <w:pageBreakBefore w:val="0"/>
                    <w:kinsoku/>
                    <w:wordWrap/>
                    <w:overflowPunct/>
                    <w:topLinePunct w:val="0"/>
                    <w:autoSpaceDE/>
                    <w:autoSpaceDN/>
                    <w:bidi w:val="0"/>
                    <w:adjustRightInd/>
                    <w:snapToGrid/>
                    <w:spacing w:beforeAutospacing="0" w:afterAutospacing="0" w:line="320" w:lineRule="exact"/>
                    <w:jc w:val="both"/>
                    <w:textAlignment w:val="auto"/>
                    <w:rPr>
                      <w:rFonts w:ascii="Times New Roman" w:hAnsi="Times New Roman"/>
                      <w:color w:val="auto"/>
                      <w:sz w:val="21"/>
                      <w:szCs w:val="21"/>
                      <w:highlight w:val="none"/>
                    </w:rPr>
                  </w:pPr>
                  <w:r>
                    <w:rPr>
                      <w:rFonts w:hint="eastAsia" w:ascii="Times New Roman" w:hAnsi="Times New Roman"/>
                      <w:color w:val="auto"/>
                      <w:sz w:val="21"/>
                      <w:szCs w:val="21"/>
                      <w:highlight w:val="none"/>
                    </w:rPr>
                    <w:t>微生物肥料制造</w:t>
                  </w:r>
                  <w:r>
                    <w:rPr>
                      <w:rFonts w:ascii="Times New Roman" w:hAnsi="Times New Roman"/>
                      <w:color w:val="auto"/>
                      <w:sz w:val="21"/>
                      <w:szCs w:val="21"/>
                      <w:highlight w:val="none"/>
                    </w:rPr>
                    <w:t>属于农业产业链延伸产业，通过资源化利用农业废弃提升农业绿色发展水平，与“高原特色农业标杆”定位及“绿色高效发展”理念匹配。</w:t>
                  </w:r>
                </w:p>
              </w:tc>
              <w:tc>
                <w:tcPr>
                  <w:tcW w:w="919" w:type="dxa"/>
                  <w:vAlign w:val="center"/>
                </w:tcPr>
                <w:p w14:paraId="5F6C8468">
                  <w:pPr>
                    <w:pStyle w:val="14"/>
                    <w:keepNext w:val="0"/>
                    <w:keepLines w:val="0"/>
                    <w:pageBreakBefore w:val="0"/>
                    <w:kinsoku/>
                    <w:wordWrap/>
                    <w:overflowPunct/>
                    <w:topLinePunct w:val="0"/>
                    <w:autoSpaceDE/>
                    <w:autoSpaceDN/>
                    <w:bidi w:val="0"/>
                    <w:adjustRightInd/>
                    <w:snapToGrid/>
                    <w:spacing w:beforeAutospacing="0" w:afterAutospacing="0" w:line="320" w:lineRule="exact"/>
                    <w:jc w:val="center"/>
                    <w:textAlignment w:val="auto"/>
                    <w:rPr>
                      <w:rFonts w:ascii="Times New Roman" w:hAnsi="Times New Roman"/>
                      <w:color w:val="auto"/>
                      <w:sz w:val="21"/>
                      <w:szCs w:val="21"/>
                      <w:highlight w:val="none"/>
                    </w:rPr>
                  </w:pPr>
                  <w:r>
                    <w:rPr>
                      <w:rFonts w:ascii="Times New Roman" w:hAnsi="Times New Roman"/>
                      <w:color w:val="auto"/>
                      <w:sz w:val="21"/>
                      <w:szCs w:val="21"/>
                      <w:highlight w:val="none"/>
                    </w:rPr>
                    <w:t>符合</w:t>
                  </w:r>
                </w:p>
              </w:tc>
            </w:tr>
            <w:tr w14:paraId="4E63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6" w:type="dxa"/>
                  <w:vAlign w:val="center"/>
                </w:tcPr>
                <w:p w14:paraId="366BF077">
                  <w:pPr>
                    <w:pStyle w:val="14"/>
                    <w:keepNext w:val="0"/>
                    <w:keepLines w:val="0"/>
                    <w:pageBreakBefore w:val="0"/>
                    <w:kinsoku/>
                    <w:wordWrap/>
                    <w:overflowPunct/>
                    <w:topLinePunct w:val="0"/>
                    <w:autoSpaceDE/>
                    <w:autoSpaceDN/>
                    <w:bidi w:val="0"/>
                    <w:adjustRightInd/>
                    <w:snapToGrid/>
                    <w:spacing w:beforeAutospacing="0" w:afterAutospacing="0" w:line="320" w:lineRule="exact"/>
                    <w:jc w:val="center"/>
                    <w:textAlignment w:val="auto"/>
                    <w:rPr>
                      <w:rFonts w:ascii="Times New Roman" w:hAnsi="Times New Roman"/>
                      <w:color w:val="auto"/>
                      <w:sz w:val="21"/>
                      <w:szCs w:val="21"/>
                      <w:highlight w:val="none"/>
                    </w:rPr>
                  </w:pPr>
                  <w:r>
                    <w:rPr>
                      <w:rFonts w:ascii="Times New Roman" w:hAnsi="Times New Roman"/>
                      <w:color w:val="auto"/>
                      <w:sz w:val="21"/>
                      <w:szCs w:val="21"/>
                      <w:highlight w:val="none"/>
                    </w:rPr>
                    <w:t>2</w:t>
                  </w:r>
                </w:p>
              </w:tc>
              <w:tc>
                <w:tcPr>
                  <w:tcW w:w="3492" w:type="dxa"/>
                  <w:vAlign w:val="center"/>
                </w:tcPr>
                <w:p w14:paraId="65F4CA8A">
                  <w:pPr>
                    <w:pStyle w:val="14"/>
                    <w:keepNext w:val="0"/>
                    <w:keepLines w:val="0"/>
                    <w:pageBreakBefore w:val="0"/>
                    <w:kinsoku/>
                    <w:wordWrap/>
                    <w:overflowPunct/>
                    <w:topLinePunct w:val="0"/>
                    <w:autoSpaceDE/>
                    <w:autoSpaceDN/>
                    <w:bidi w:val="0"/>
                    <w:adjustRightInd/>
                    <w:snapToGrid/>
                    <w:spacing w:beforeAutospacing="0" w:afterAutospacing="0" w:line="320" w:lineRule="exact"/>
                    <w:jc w:val="both"/>
                    <w:textAlignment w:val="auto"/>
                    <w:rPr>
                      <w:rFonts w:ascii="Times New Roman" w:hAnsi="Times New Roman"/>
                      <w:color w:val="auto"/>
                      <w:sz w:val="21"/>
                      <w:szCs w:val="21"/>
                      <w:highlight w:val="none"/>
                    </w:rPr>
                  </w:pPr>
                  <w:r>
                    <w:rPr>
                      <w:rFonts w:ascii="Times New Roman" w:hAnsi="Times New Roman"/>
                      <w:color w:val="auto"/>
                      <w:sz w:val="21"/>
                      <w:szCs w:val="21"/>
                      <w:highlight w:val="none"/>
                    </w:rPr>
                    <w:t>安全发展空间基础：城镇开发边界面积控制在32.85平方千米以内；严格保护耕地（保有量≥141.93万亩）、永久基本农田（≥117.86万亩）及生态保护红线（≥682.88平方千米）</w:t>
                  </w:r>
                </w:p>
              </w:tc>
              <w:tc>
                <w:tcPr>
                  <w:tcW w:w="2806" w:type="dxa"/>
                  <w:vAlign w:val="center"/>
                </w:tcPr>
                <w:p w14:paraId="7B0AEAA5">
                  <w:pPr>
                    <w:pStyle w:val="14"/>
                    <w:keepNext w:val="0"/>
                    <w:keepLines w:val="0"/>
                    <w:pageBreakBefore w:val="0"/>
                    <w:kinsoku/>
                    <w:wordWrap/>
                    <w:overflowPunct/>
                    <w:topLinePunct w:val="0"/>
                    <w:autoSpaceDE/>
                    <w:autoSpaceDN/>
                    <w:bidi w:val="0"/>
                    <w:adjustRightInd/>
                    <w:snapToGrid/>
                    <w:spacing w:beforeAutospacing="0" w:afterAutospacing="0" w:line="320" w:lineRule="exact"/>
                    <w:jc w:val="both"/>
                    <w:textAlignment w:val="auto"/>
                    <w:rPr>
                      <w:rFonts w:ascii="Times New Roman" w:hAnsi="Times New Roman"/>
                      <w:color w:val="auto"/>
                      <w:sz w:val="21"/>
                      <w:szCs w:val="21"/>
                      <w:highlight w:val="none"/>
                    </w:rPr>
                  </w:pPr>
                  <w:r>
                    <w:rPr>
                      <w:rFonts w:ascii="Times New Roman" w:hAnsi="Times New Roman"/>
                      <w:color w:val="auto"/>
                      <w:sz w:val="21"/>
                      <w:szCs w:val="21"/>
                      <w:highlight w:val="none"/>
                    </w:rPr>
                    <w:t>项目位于城市开发边界线以外，不占用生态红线、基本农田。</w:t>
                  </w:r>
                </w:p>
              </w:tc>
              <w:tc>
                <w:tcPr>
                  <w:tcW w:w="919" w:type="dxa"/>
                  <w:vAlign w:val="center"/>
                </w:tcPr>
                <w:p w14:paraId="6CD8A5F6">
                  <w:pPr>
                    <w:pStyle w:val="14"/>
                    <w:keepNext w:val="0"/>
                    <w:keepLines w:val="0"/>
                    <w:pageBreakBefore w:val="0"/>
                    <w:kinsoku/>
                    <w:wordWrap/>
                    <w:overflowPunct/>
                    <w:topLinePunct w:val="0"/>
                    <w:autoSpaceDE/>
                    <w:autoSpaceDN/>
                    <w:bidi w:val="0"/>
                    <w:adjustRightInd/>
                    <w:snapToGrid/>
                    <w:spacing w:beforeAutospacing="0" w:afterAutospacing="0" w:line="320" w:lineRule="exact"/>
                    <w:jc w:val="center"/>
                    <w:textAlignment w:val="auto"/>
                    <w:rPr>
                      <w:rFonts w:ascii="Times New Roman" w:hAnsi="Times New Roman"/>
                      <w:color w:val="auto"/>
                      <w:sz w:val="21"/>
                      <w:szCs w:val="21"/>
                      <w:highlight w:val="none"/>
                    </w:rPr>
                  </w:pPr>
                  <w:r>
                    <w:rPr>
                      <w:rFonts w:ascii="Times New Roman" w:hAnsi="Times New Roman"/>
                      <w:color w:val="auto"/>
                      <w:sz w:val="21"/>
                      <w:szCs w:val="21"/>
                      <w:highlight w:val="none"/>
                    </w:rPr>
                    <w:t>符合</w:t>
                  </w:r>
                </w:p>
              </w:tc>
            </w:tr>
            <w:tr w14:paraId="201D6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6" w:type="dxa"/>
                  <w:vAlign w:val="center"/>
                </w:tcPr>
                <w:p w14:paraId="661B073B">
                  <w:pPr>
                    <w:pStyle w:val="14"/>
                    <w:keepNext w:val="0"/>
                    <w:keepLines w:val="0"/>
                    <w:pageBreakBefore w:val="0"/>
                    <w:kinsoku/>
                    <w:wordWrap/>
                    <w:overflowPunct/>
                    <w:topLinePunct w:val="0"/>
                    <w:autoSpaceDE/>
                    <w:autoSpaceDN/>
                    <w:bidi w:val="0"/>
                    <w:adjustRightInd/>
                    <w:snapToGrid/>
                    <w:spacing w:beforeAutospacing="0" w:afterAutospacing="0" w:line="320" w:lineRule="exact"/>
                    <w:jc w:val="center"/>
                    <w:textAlignment w:val="auto"/>
                    <w:rPr>
                      <w:rFonts w:ascii="Times New Roman" w:hAnsi="Times New Roman"/>
                      <w:color w:val="auto"/>
                      <w:sz w:val="21"/>
                      <w:szCs w:val="21"/>
                      <w:highlight w:val="none"/>
                    </w:rPr>
                  </w:pPr>
                  <w:r>
                    <w:rPr>
                      <w:rFonts w:ascii="Times New Roman" w:hAnsi="Times New Roman"/>
                      <w:color w:val="auto"/>
                      <w:sz w:val="21"/>
                      <w:szCs w:val="21"/>
                      <w:highlight w:val="none"/>
                    </w:rPr>
                    <w:t>3</w:t>
                  </w:r>
                </w:p>
              </w:tc>
              <w:tc>
                <w:tcPr>
                  <w:tcW w:w="3492" w:type="dxa"/>
                  <w:vAlign w:val="center"/>
                </w:tcPr>
                <w:p w14:paraId="35F15E11">
                  <w:pPr>
                    <w:pStyle w:val="14"/>
                    <w:keepNext w:val="0"/>
                    <w:keepLines w:val="0"/>
                    <w:pageBreakBefore w:val="0"/>
                    <w:kinsoku/>
                    <w:wordWrap/>
                    <w:overflowPunct/>
                    <w:topLinePunct w:val="0"/>
                    <w:autoSpaceDE/>
                    <w:autoSpaceDN/>
                    <w:bidi w:val="0"/>
                    <w:adjustRightInd/>
                    <w:snapToGrid/>
                    <w:spacing w:beforeAutospacing="0" w:afterAutospacing="0" w:line="320" w:lineRule="exact"/>
                    <w:jc w:val="both"/>
                    <w:textAlignment w:val="auto"/>
                    <w:rPr>
                      <w:rFonts w:ascii="Times New Roman" w:hAnsi="Times New Roman"/>
                      <w:color w:val="auto"/>
                      <w:sz w:val="21"/>
                      <w:szCs w:val="21"/>
                      <w:highlight w:val="none"/>
                    </w:rPr>
                  </w:pPr>
                  <w:r>
                    <w:rPr>
                      <w:rFonts w:ascii="Times New Roman" w:hAnsi="Times New Roman"/>
                      <w:color w:val="auto"/>
                      <w:sz w:val="21"/>
                      <w:szCs w:val="21"/>
                      <w:highlight w:val="none"/>
                    </w:rPr>
                    <w:t>国土空间开发保护格局：规划要求“引导产业和人口集聚，优化现代服务业空间布局，支撑高质量发展”。规划强调“构建现代化基础设施体系，完善城乡各类基础设施规划要求“加强重要生态空间保护和管控，推进生态修复。</w:t>
                  </w:r>
                </w:p>
              </w:tc>
              <w:tc>
                <w:tcPr>
                  <w:tcW w:w="2806" w:type="dxa"/>
                  <w:vAlign w:val="center"/>
                </w:tcPr>
                <w:p w14:paraId="07B280C8">
                  <w:pPr>
                    <w:pStyle w:val="14"/>
                    <w:keepNext w:val="0"/>
                    <w:keepLines w:val="0"/>
                    <w:pageBreakBefore w:val="0"/>
                    <w:kinsoku/>
                    <w:wordWrap/>
                    <w:overflowPunct/>
                    <w:topLinePunct w:val="0"/>
                    <w:autoSpaceDE/>
                    <w:autoSpaceDN/>
                    <w:bidi w:val="0"/>
                    <w:adjustRightInd/>
                    <w:snapToGrid/>
                    <w:spacing w:beforeAutospacing="0" w:afterAutospacing="0" w:line="320" w:lineRule="exact"/>
                    <w:jc w:val="both"/>
                    <w:textAlignment w:val="auto"/>
                    <w:rPr>
                      <w:rFonts w:ascii="Times New Roman" w:hAnsi="Times New Roman"/>
                      <w:color w:val="auto"/>
                      <w:sz w:val="21"/>
                      <w:szCs w:val="21"/>
                      <w:highlight w:val="none"/>
                    </w:rPr>
                  </w:pPr>
                  <w:r>
                    <w:rPr>
                      <w:rFonts w:ascii="Times New Roman" w:hAnsi="Times New Roman"/>
                      <w:color w:val="auto"/>
                      <w:sz w:val="21"/>
                      <w:szCs w:val="21"/>
                      <w:highlight w:val="none"/>
                    </w:rPr>
                    <w:t>本项目</w:t>
                  </w:r>
                  <w:r>
                    <w:rPr>
                      <w:rFonts w:hint="eastAsia" w:ascii="Times New Roman" w:hAnsi="Times New Roman"/>
                      <w:color w:val="auto"/>
                      <w:sz w:val="21"/>
                      <w:szCs w:val="21"/>
                      <w:highlight w:val="none"/>
                      <w:lang w:val="en-US" w:eastAsia="zh-CN"/>
                    </w:rPr>
                    <w:t>充分依托现有项目的场地和设施</w:t>
                  </w:r>
                  <w:r>
                    <w:rPr>
                      <w:rFonts w:ascii="Times New Roman" w:hAnsi="Times New Roman"/>
                      <w:color w:val="auto"/>
                      <w:sz w:val="21"/>
                      <w:szCs w:val="21"/>
                      <w:highlight w:val="none"/>
                    </w:rPr>
                    <w:t>，</w:t>
                  </w:r>
                  <w:r>
                    <w:rPr>
                      <w:rFonts w:hint="eastAsia" w:ascii="Times New Roman" w:hAnsi="Times New Roman"/>
                      <w:color w:val="auto"/>
                      <w:sz w:val="21"/>
                      <w:szCs w:val="21"/>
                      <w:highlight w:val="none"/>
                      <w:lang w:val="en-US" w:eastAsia="zh-CN"/>
                    </w:rPr>
                    <w:t>原料充分利用现有项目产生的尾菜废水和果蔬渣生产复合微生物肥，其</w:t>
                  </w:r>
                  <w:r>
                    <w:rPr>
                      <w:rFonts w:ascii="Times New Roman" w:hAnsi="Times New Roman"/>
                      <w:color w:val="auto"/>
                      <w:sz w:val="21"/>
                      <w:szCs w:val="21"/>
                      <w:highlight w:val="none"/>
                    </w:rPr>
                    <w:t>符合产业集聚导向，避免分散布局</w:t>
                  </w:r>
                  <w:r>
                    <w:rPr>
                      <w:rFonts w:hint="eastAsia" w:ascii="Times New Roman" w:hAnsi="Times New Roman"/>
                      <w:color w:val="auto"/>
                      <w:sz w:val="21"/>
                      <w:szCs w:val="21"/>
                      <w:highlight w:val="none"/>
                      <w:lang w:eastAsia="zh-CN"/>
                    </w:rPr>
                    <w:t>；</w:t>
                  </w:r>
                  <w:r>
                    <w:rPr>
                      <w:rFonts w:hint="eastAsia" w:ascii="Times New Roman" w:hAnsi="Times New Roman"/>
                      <w:color w:val="auto"/>
                      <w:sz w:val="21"/>
                      <w:szCs w:val="21"/>
                      <w:highlight w:val="none"/>
                      <w:lang w:val="en-US" w:eastAsia="zh-CN"/>
                    </w:rPr>
                    <w:t>且</w:t>
                  </w:r>
                  <w:r>
                    <w:rPr>
                      <w:rFonts w:ascii="Times New Roman" w:hAnsi="Times New Roman"/>
                      <w:color w:val="auto"/>
                      <w:sz w:val="21"/>
                      <w:szCs w:val="21"/>
                      <w:highlight w:val="none"/>
                    </w:rPr>
                    <w:t>项目依托现有或规划的交通、能源、水利等基础设施，确保生产运营保障，符合基础设施统筹要求。</w:t>
                  </w:r>
                </w:p>
              </w:tc>
              <w:tc>
                <w:tcPr>
                  <w:tcW w:w="919" w:type="dxa"/>
                  <w:vAlign w:val="center"/>
                </w:tcPr>
                <w:p w14:paraId="66031A86">
                  <w:pPr>
                    <w:pStyle w:val="14"/>
                    <w:keepNext w:val="0"/>
                    <w:keepLines w:val="0"/>
                    <w:pageBreakBefore w:val="0"/>
                    <w:kinsoku/>
                    <w:wordWrap/>
                    <w:overflowPunct/>
                    <w:topLinePunct w:val="0"/>
                    <w:autoSpaceDE/>
                    <w:autoSpaceDN/>
                    <w:bidi w:val="0"/>
                    <w:adjustRightInd/>
                    <w:snapToGrid/>
                    <w:spacing w:beforeAutospacing="0" w:afterAutospacing="0" w:line="320" w:lineRule="exact"/>
                    <w:jc w:val="center"/>
                    <w:textAlignment w:val="auto"/>
                    <w:rPr>
                      <w:rFonts w:ascii="Times New Roman" w:hAnsi="Times New Roman"/>
                      <w:color w:val="auto"/>
                      <w:sz w:val="21"/>
                      <w:szCs w:val="21"/>
                      <w:highlight w:val="none"/>
                    </w:rPr>
                  </w:pPr>
                  <w:r>
                    <w:rPr>
                      <w:rFonts w:ascii="Times New Roman" w:hAnsi="Times New Roman"/>
                      <w:color w:val="auto"/>
                      <w:sz w:val="21"/>
                      <w:szCs w:val="21"/>
                      <w:highlight w:val="none"/>
                    </w:rPr>
                    <w:t>符合</w:t>
                  </w:r>
                </w:p>
              </w:tc>
            </w:tr>
            <w:tr w14:paraId="3F9B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6" w:type="dxa"/>
                  <w:vAlign w:val="center"/>
                </w:tcPr>
                <w:p w14:paraId="22A21944">
                  <w:pPr>
                    <w:pStyle w:val="14"/>
                    <w:keepNext w:val="0"/>
                    <w:keepLines w:val="0"/>
                    <w:pageBreakBefore w:val="0"/>
                    <w:kinsoku/>
                    <w:wordWrap/>
                    <w:overflowPunct/>
                    <w:topLinePunct w:val="0"/>
                    <w:autoSpaceDE/>
                    <w:autoSpaceDN/>
                    <w:bidi w:val="0"/>
                    <w:adjustRightInd/>
                    <w:snapToGrid/>
                    <w:spacing w:beforeAutospacing="0" w:afterAutospacing="0" w:line="320" w:lineRule="exact"/>
                    <w:jc w:val="center"/>
                    <w:textAlignment w:val="auto"/>
                    <w:rPr>
                      <w:rFonts w:ascii="Times New Roman" w:hAnsi="Times New Roman"/>
                      <w:color w:val="auto"/>
                      <w:sz w:val="21"/>
                      <w:szCs w:val="21"/>
                      <w:highlight w:val="none"/>
                    </w:rPr>
                  </w:pPr>
                  <w:r>
                    <w:rPr>
                      <w:rFonts w:ascii="Times New Roman" w:hAnsi="Times New Roman"/>
                      <w:color w:val="auto"/>
                      <w:sz w:val="21"/>
                      <w:szCs w:val="21"/>
                      <w:highlight w:val="none"/>
                    </w:rPr>
                    <w:t>4</w:t>
                  </w:r>
                </w:p>
              </w:tc>
              <w:tc>
                <w:tcPr>
                  <w:tcW w:w="3492" w:type="dxa"/>
                  <w:vAlign w:val="center"/>
                </w:tcPr>
                <w:p w14:paraId="3FB0089D">
                  <w:pPr>
                    <w:pStyle w:val="14"/>
                    <w:keepNext w:val="0"/>
                    <w:keepLines w:val="0"/>
                    <w:pageBreakBefore w:val="0"/>
                    <w:kinsoku/>
                    <w:wordWrap/>
                    <w:overflowPunct/>
                    <w:topLinePunct w:val="0"/>
                    <w:autoSpaceDE/>
                    <w:autoSpaceDN/>
                    <w:bidi w:val="0"/>
                    <w:adjustRightInd/>
                    <w:snapToGrid/>
                    <w:spacing w:beforeAutospacing="0" w:afterAutospacing="0" w:line="320" w:lineRule="exact"/>
                    <w:jc w:val="both"/>
                    <w:textAlignment w:val="auto"/>
                    <w:rPr>
                      <w:rFonts w:ascii="Times New Roman" w:hAnsi="Times New Roman"/>
                      <w:color w:val="auto"/>
                      <w:sz w:val="21"/>
                      <w:szCs w:val="21"/>
                      <w:highlight w:val="none"/>
                    </w:rPr>
                  </w:pPr>
                  <w:r>
                    <w:rPr>
                      <w:rFonts w:ascii="Times New Roman" w:hAnsi="Times New Roman"/>
                      <w:color w:val="auto"/>
                      <w:sz w:val="21"/>
                      <w:szCs w:val="21"/>
                      <w:highlight w:val="none"/>
                    </w:rPr>
                    <w:t>城乡空间品质：规划要求“加大存量用地挖潜，提高土地节约集约利用水平”</w:t>
                  </w:r>
                </w:p>
              </w:tc>
              <w:tc>
                <w:tcPr>
                  <w:tcW w:w="2806" w:type="dxa"/>
                  <w:vAlign w:val="center"/>
                </w:tcPr>
                <w:p w14:paraId="5F4750BD">
                  <w:pPr>
                    <w:keepNext w:val="0"/>
                    <w:keepLines w:val="0"/>
                    <w:pageBreakBefore w:val="0"/>
                    <w:widowControl/>
                    <w:kinsoku/>
                    <w:wordWrap/>
                    <w:overflowPunct/>
                    <w:topLinePunct w:val="0"/>
                    <w:autoSpaceDE/>
                    <w:autoSpaceDN/>
                    <w:bidi w:val="0"/>
                    <w:adjustRightInd/>
                    <w:snapToGrid/>
                    <w:spacing w:beforeAutospacing="0" w:afterAutospacing="0" w:line="320" w:lineRule="exact"/>
                    <w:jc w:val="both"/>
                    <w:textAlignment w:val="auto"/>
                    <w:rPr>
                      <w:color w:val="auto"/>
                      <w:sz w:val="21"/>
                      <w:szCs w:val="21"/>
                      <w:highlight w:val="none"/>
                    </w:rPr>
                  </w:pPr>
                  <w:r>
                    <w:rPr>
                      <w:color w:val="auto"/>
                      <w:sz w:val="21"/>
                      <w:szCs w:val="21"/>
                      <w:highlight w:val="none"/>
                    </w:rPr>
                    <w:t>项目新增地块为工业用地。利用存量工业用地，避免粗放式占地，符合节约集约要求。</w:t>
                  </w:r>
                </w:p>
              </w:tc>
              <w:tc>
                <w:tcPr>
                  <w:tcW w:w="919" w:type="dxa"/>
                  <w:vAlign w:val="center"/>
                </w:tcPr>
                <w:p w14:paraId="4DF15D78">
                  <w:pPr>
                    <w:pStyle w:val="14"/>
                    <w:keepNext w:val="0"/>
                    <w:keepLines w:val="0"/>
                    <w:pageBreakBefore w:val="0"/>
                    <w:kinsoku/>
                    <w:wordWrap/>
                    <w:overflowPunct/>
                    <w:topLinePunct w:val="0"/>
                    <w:autoSpaceDE/>
                    <w:autoSpaceDN/>
                    <w:bidi w:val="0"/>
                    <w:adjustRightInd/>
                    <w:snapToGrid/>
                    <w:spacing w:beforeAutospacing="0" w:afterAutospacing="0" w:line="320" w:lineRule="exact"/>
                    <w:jc w:val="center"/>
                    <w:textAlignment w:val="auto"/>
                    <w:rPr>
                      <w:rFonts w:ascii="Times New Roman" w:hAnsi="Times New Roman"/>
                      <w:color w:val="auto"/>
                      <w:sz w:val="21"/>
                      <w:szCs w:val="21"/>
                      <w:highlight w:val="none"/>
                    </w:rPr>
                  </w:pPr>
                  <w:r>
                    <w:rPr>
                      <w:rFonts w:ascii="Times New Roman" w:hAnsi="Times New Roman"/>
                      <w:color w:val="auto"/>
                      <w:sz w:val="21"/>
                      <w:szCs w:val="21"/>
                      <w:highlight w:val="none"/>
                    </w:rPr>
                    <w:t>符合</w:t>
                  </w:r>
                </w:p>
              </w:tc>
            </w:tr>
          </w:tbl>
          <w:p w14:paraId="4E6D8D44">
            <w:pPr>
              <w:pStyle w:val="14"/>
              <w:spacing w:line="360" w:lineRule="auto"/>
              <w:rPr>
                <w:color w:val="auto"/>
                <w:sz w:val="21"/>
                <w:szCs w:val="21"/>
                <w:highlight w:val="none"/>
              </w:rPr>
            </w:pPr>
          </w:p>
        </w:tc>
      </w:tr>
      <w:tr w14:paraId="6F179F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66" w:type="dxa"/>
            <w:vAlign w:val="center"/>
          </w:tcPr>
          <w:p w14:paraId="06105D8F">
            <w:pPr>
              <w:jc w:val="center"/>
              <w:rPr>
                <w:color w:val="auto"/>
                <w:kern w:val="0"/>
                <w:sz w:val="21"/>
                <w:szCs w:val="21"/>
                <w:highlight w:val="none"/>
              </w:rPr>
            </w:pPr>
            <w:r>
              <w:rPr>
                <w:color w:val="auto"/>
                <w:kern w:val="0"/>
                <w:sz w:val="21"/>
                <w:szCs w:val="21"/>
                <w:highlight w:val="none"/>
              </w:rPr>
              <w:t>其他符合性分析</w:t>
            </w:r>
          </w:p>
        </w:tc>
        <w:tc>
          <w:tcPr>
            <w:tcW w:w="7830" w:type="dxa"/>
            <w:gridSpan w:val="3"/>
            <w:vAlign w:val="center"/>
          </w:tcPr>
          <w:p w14:paraId="3CE1F657">
            <w:pPr>
              <w:keepNext w:val="0"/>
              <w:keepLines w:val="0"/>
              <w:pageBreakBefore w:val="0"/>
              <w:widowControl w:val="0"/>
              <w:kinsoku/>
              <w:wordWrap/>
              <w:overflowPunct/>
              <w:topLinePunct w:val="0"/>
              <w:bidi w:val="0"/>
              <w:adjustRightInd w:val="0"/>
              <w:snapToGrid w:val="0"/>
              <w:spacing w:line="440" w:lineRule="exact"/>
              <w:jc w:val="left"/>
              <w:textAlignment w:val="auto"/>
              <w:rPr>
                <w:b/>
                <w:bCs/>
                <w:color w:val="auto"/>
                <w:sz w:val="24"/>
                <w:szCs w:val="24"/>
                <w:highlight w:val="none"/>
              </w:rPr>
            </w:pPr>
            <w:r>
              <w:rPr>
                <w:b/>
                <w:bCs/>
                <w:color w:val="auto"/>
                <w:sz w:val="24"/>
                <w:szCs w:val="24"/>
                <w:highlight w:val="none"/>
              </w:rPr>
              <w:t>1、产业政策符合性分析</w:t>
            </w:r>
          </w:p>
          <w:p w14:paraId="13776564">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textAlignment w:val="auto"/>
              <w:rPr>
                <w:rFonts w:hint="default" w:eastAsia="宋体"/>
                <w:color w:val="auto"/>
                <w:sz w:val="24"/>
                <w:szCs w:val="24"/>
                <w:highlight w:val="none"/>
                <w:lang w:val="en-US" w:eastAsia="zh-CN"/>
              </w:rPr>
            </w:pPr>
            <w:r>
              <w:rPr>
                <w:rFonts w:hint="eastAsia"/>
                <w:color w:val="auto"/>
                <w:sz w:val="24"/>
                <w:szCs w:val="24"/>
                <w:highlight w:val="none"/>
              </w:rPr>
              <w:t>本项目属于</w:t>
            </w:r>
            <w:r>
              <w:rPr>
                <w:color w:val="auto"/>
                <w:kern w:val="0"/>
                <w:sz w:val="24"/>
                <w:szCs w:val="24"/>
                <w:highlight w:val="none"/>
              </w:rPr>
              <w:t>C26</w:t>
            </w:r>
            <w:r>
              <w:rPr>
                <w:rFonts w:hint="eastAsia"/>
                <w:color w:val="auto"/>
                <w:kern w:val="0"/>
                <w:sz w:val="24"/>
                <w:szCs w:val="24"/>
                <w:highlight w:val="none"/>
              </w:rPr>
              <w:t>25有机肥料及微生物肥料制造</w:t>
            </w:r>
            <w:r>
              <w:rPr>
                <w:rFonts w:hint="eastAsia"/>
                <w:color w:val="auto"/>
                <w:sz w:val="24"/>
                <w:szCs w:val="24"/>
                <w:highlight w:val="none"/>
              </w:rPr>
              <w:t>，根据《产业结构调整指导目录（2024本）》，属于产业政策鼓励类中的“一、农林牧渔业-13、绿色农业：全生物降解地膜、高强度易回收地膜农田示范与应用，受污染耕地风险管控与修复，符合绿色低碳循环要求的饲料、饲料添加剂、肥料、农药、兽药等优质安全环保农业投入品及绿色食品生产允许使用的食品添加剂开发，农产品及其产地环境监测技术开发和应用，</w:t>
            </w:r>
            <w:r>
              <w:rPr>
                <w:rFonts w:hint="eastAsia"/>
                <w:b/>
                <w:bCs/>
                <w:color w:val="auto"/>
                <w:sz w:val="24"/>
                <w:szCs w:val="24"/>
                <w:highlight w:val="none"/>
              </w:rPr>
              <w:t>有机废弃物无害化、价值化处理及有机肥料产业化技术开发与应用</w:t>
            </w:r>
            <w:r>
              <w:rPr>
                <w:rFonts w:hint="eastAsia"/>
                <w:color w:val="auto"/>
                <w:sz w:val="24"/>
                <w:szCs w:val="24"/>
                <w:highlight w:val="none"/>
              </w:rPr>
              <w:t>”</w:t>
            </w:r>
            <w:r>
              <w:rPr>
                <w:rFonts w:hint="eastAsia"/>
                <w:color w:val="auto"/>
                <w:sz w:val="24"/>
                <w:szCs w:val="24"/>
                <w:highlight w:val="none"/>
                <w:lang w:eastAsia="zh-CN"/>
              </w:rPr>
              <w:t>，</w:t>
            </w:r>
            <w:r>
              <w:rPr>
                <w:rFonts w:hint="eastAsia"/>
                <w:color w:val="auto"/>
                <w:sz w:val="24"/>
                <w:szCs w:val="24"/>
                <w:highlight w:val="none"/>
                <w:lang w:val="en-US" w:eastAsia="zh-CN"/>
              </w:rPr>
              <w:t>符合国家产业政策。</w:t>
            </w:r>
          </w:p>
          <w:p w14:paraId="43E010BD">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textAlignment w:val="auto"/>
              <w:rPr>
                <w:color w:val="auto"/>
                <w:kern w:val="0"/>
                <w:sz w:val="24"/>
                <w:szCs w:val="24"/>
                <w:highlight w:val="none"/>
              </w:rPr>
            </w:pPr>
            <w:r>
              <w:rPr>
                <w:rFonts w:hint="eastAsia"/>
                <w:color w:val="auto"/>
                <w:kern w:val="0"/>
                <w:sz w:val="24"/>
                <w:szCs w:val="24"/>
                <w:highlight w:val="none"/>
              </w:rPr>
              <w:t>根据国家发展改革委会同商务部、市场监管总局2025年4月24日发布的《市场准入负面清单（2025年版）》，本项目不属于负面清单中禁止准入事项，亦不属于许可准入事项，属于市场准入负面清单以外的行业且不涉及与市场准入相关的禁止性规定。因此，本项目可依法进行建设和投产。</w:t>
            </w:r>
          </w:p>
          <w:p w14:paraId="65F8C7F8">
            <w:pPr>
              <w:keepNext w:val="0"/>
              <w:keepLines w:val="0"/>
              <w:pageBreakBefore w:val="0"/>
              <w:widowControl w:val="0"/>
              <w:kinsoku/>
              <w:wordWrap/>
              <w:overflowPunct/>
              <w:topLinePunct w:val="0"/>
              <w:bidi w:val="0"/>
              <w:spacing w:line="440" w:lineRule="exact"/>
              <w:ind w:firstLine="480" w:firstLineChars="200"/>
              <w:textAlignment w:val="auto"/>
              <w:rPr>
                <w:color w:val="auto"/>
                <w:kern w:val="0"/>
                <w:sz w:val="24"/>
                <w:szCs w:val="24"/>
                <w:highlight w:val="none"/>
              </w:rPr>
            </w:pPr>
            <w:r>
              <w:rPr>
                <w:rFonts w:hint="eastAsia"/>
                <w:color w:val="auto"/>
                <w:sz w:val="24"/>
                <w:szCs w:val="24"/>
                <w:highlight w:val="none"/>
                <w:lang w:val="en-US" w:eastAsia="zh-CN"/>
              </w:rPr>
              <w:t>且</w:t>
            </w:r>
            <w:r>
              <w:rPr>
                <w:color w:val="auto"/>
                <w:sz w:val="24"/>
                <w:szCs w:val="24"/>
                <w:highlight w:val="none"/>
              </w:rPr>
              <w:t>项目于20</w:t>
            </w:r>
            <w:r>
              <w:rPr>
                <w:rFonts w:hint="eastAsia"/>
                <w:color w:val="auto"/>
                <w:sz w:val="24"/>
                <w:szCs w:val="24"/>
                <w:highlight w:val="none"/>
              </w:rPr>
              <w:t>25</w:t>
            </w:r>
            <w:r>
              <w:rPr>
                <w:color w:val="auto"/>
                <w:sz w:val="24"/>
                <w:szCs w:val="24"/>
                <w:highlight w:val="none"/>
              </w:rPr>
              <w:t>年</w:t>
            </w:r>
            <w:r>
              <w:rPr>
                <w:rFonts w:hint="eastAsia"/>
                <w:color w:val="auto"/>
                <w:sz w:val="24"/>
                <w:szCs w:val="24"/>
                <w:highlight w:val="none"/>
              </w:rPr>
              <w:t>10</w:t>
            </w:r>
            <w:r>
              <w:rPr>
                <w:color w:val="auto"/>
                <w:sz w:val="24"/>
                <w:szCs w:val="24"/>
                <w:highlight w:val="none"/>
              </w:rPr>
              <w:t>月</w:t>
            </w:r>
            <w:r>
              <w:rPr>
                <w:rFonts w:hint="eastAsia"/>
                <w:color w:val="auto"/>
                <w:sz w:val="24"/>
                <w:szCs w:val="24"/>
                <w:highlight w:val="none"/>
              </w:rPr>
              <w:t>30</w:t>
            </w:r>
            <w:r>
              <w:rPr>
                <w:color w:val="auto"/>
                <w:sz w:val="24"/>
                <w:szCs w:val="24"/>
                <w:highlight w:val="none"/>
              </w:rPr>
              <w:t>日在云南省投资项目在线审批监管平台上完成备案，项目代码为</w:t>
            </w:r>
            <w:r>
              <w:rPr>
                <w:rFonts w:hint="eastAsia" w:eastAsia="Calibri"/>
                <w:color w:val="auto"/>
                <w:kern w:val="0"/>
                <w:sz w:val="24"/>
                <w:szCs w:val="24"/>
                <w:highlight w:val="none"/>
              </w:rPr>
              <w:t>2510-530129-04-01-957343</w:t>
            </w:r>
            <w:r>
              <w:rPr>
                <w:color w:val="auto"/>
                <w:sz w:val="24"/>
                <w:szCs w:val="24"/>
                <w:highlight w:val="none"/>
              </w:rPr>
              <w:t>。</w:t>
            </w:r>
          </w:p>
          <w:p w14:paraId="141C506F">
            <w:pPr>
              <w:pStyle w:val="15"/>
              <w:keepNext w:val="0"/>
              <w:keepLines w:val="0"/>
              <w:pageBreakBefore w:val="0"/>
              <w:widowControl w:val="0"/>
              <w:kinsoku/>
              <w:wordWrap/>
              <w:overflowPunct/>
              <w:topLinePunct w:val="0"/>
              <w:bidi w:val="0"/>
              <w:spacing w:line="440" w:lineRule="exact"/>
              <w:ind w:firstLine="480" w:firstLineChars="200"/>
              <w:textAlignment w:val="auto"/>
              <w:rPr>
                <w:rFonts w:ascii="Times New Roman" w:cs="Times New Roman"/>
                <w:color w:val="auto"/>
                <w:sz w:val="24"/>
                <w:szCs w:val="24"/>
                <w:highlight w:val="none"/>
              </w:rPr>
            </w:pPr>
            <w:r>
              <w:rPr>
                <w:rFonts w:ascii="Times New Roman" w:cs="Times New Roman"/>
                <w:color w:val="auto"/>
                <w:kern w:val="0"/>
                <w:sz w:val="24"/>
                <w:szCs w:val="24"/>
                <w:highlight w:val="none"/>
              </w:rPr>
              <w:t>综上，本项目的建设符合国家现行的产业政策。</w:t>
            </w:r>
          </w:p>
          <w:p w14:paraId="1D4675E9">
            <w:pPr>
              <w:keepNext w:val="0"/>
              <w:keepLines w:val="0"/>
              <w:pageBreakBefore w:val="0"/>
              <w:kinsoku/>
              <w:wordWrap/>
              <w:overflowPunct/>
              <w:topLinePunct w:val="0"/>
              <w:autoSpaceDE/>
              <w:autoSpaceDN/>
              <w:bidi w:val="0"/>
              <w:adjustRightInd/>
              <w:spacing w:line="440" w:lineRule="exact"/>
              <w:ind w:right="0"/>
              <w:textAlignment w:val="auto"/>
              <w:rPr>
                <w:b/>
                <w:color w:val="auto"/>
                <w:sz w:val="24"/>
                <w:szCs w:val="24"/>
                <w:highlight w:val="none"/>
              </w:rPr>
            </w:pPr>
            <w:r>
              <w:rPr>
                <w:b/>
                <w:bCs/>
                <w:color w:val="auto"/>
                <w:sz w:val="24"/>
                <w:szCs w:val="24"/>
                <w:highlight w:val="none"/>
              </w:rPr>
              <w:t>2、</w:t>
            </w:r>
            <w:bookmarkStart w:id="14" w:name="_Toc147891714"/>
            <w:bookmarkStart w:id="15" w:name="_Toc181025431"/>
            <w:bookmarkStart w:id="16" w:name="_Toc181011686"/>
            <w:bookmarkStart w:id="17" w:name="_Toc317583870"/>
            <w:bookmarkStart w:id="18" w:name="_Toc181025599"/>
            <w:bookmarkStart w:id="19" w:name="_Toc142310342"/>
            <w:bookmarkStart w:id="20" w:name="_Toc182886899"/>
            <w:bookmarkStart w:id="21" w:name="_Toc146947600"/>
            <w:bookmarkStart w:id="22" w:name="_Toc146948000"/>
            <w:r>
              <w:rPr>
                <w:b/>
                <w:color w:val="auto"/>
                <w:sz w:val="24"/>
                <w:szCs w:val="24"/>
                <w:highlight w:val="none"/>
              </w:rPr>
              <w:t>项目与周围环境的相容性分析</w:t>
            </w:r>
            <w:bookmarkEnd w:id="14"/>
            <w:bookmarkEnd w:id="15"/>
            <w:bookmarkEnd w:id="16"/>
            <w:bookmarkEnd w:id="17"/>
            <w:bookmarkEnd w:id="18"/>
            <w:bookmarkEnd w:id="19"/>
            <w:bookmarkEnd w:id="20"/>
            <w:bookmarkEnd w:id="21"/>
            <w:bookmarkEnd w:id="22"/>
          </w:p>
          <w:p w14:paraId="1B240F8F">
            <w:pPr>
              <w:keepNext w:val="0"/>
              <w:keepLines w:val="0"/>
              <w:pageBreakBefore w:val="0"/>
              <w:kinsoku/>
              <w:wordWrap/>
              <w:overflowPunct/>
              <w:topLinePunct w:val="0"/>
              <w:autoSpaceDE/>
              <w:autoSpaceDN/>
              <w:bidi w:val="0"/>
              <w:adjustRightInd/>
              <w:spacing w:line="440" w:lineRule="exact"/>
              <w:ind w:right="0" w:firstLine="480" w:firstLineChars="200"/>
              <w:textAlignment w:val="auto"/>
              <w:rPr>
                <w:rFonts w:hint="eastAsia"/>
                <w:color w:val="auto"/>
                <w:sz w:val="24"/>
                <w:szCs w:val="24"/>
                <w:highlight w:val="none"/>
              </w:rPr>
            </w:pPr>
            <w:r>
              <w:rPr>
                <w:rFonts w:hint="eastAsia"/>
                <w:color w:val="auto"/>
                <w:sz w:val="24"/>
                <w:szCs w:val="24"/>
                <w:highlight w:val="none"/>
              </w:rPr>
              <w:t>根据现场踏勘，项目西侧10m为废弃砖厂、东侧572m为混凝土厂、西侧20m为冷库，最近的环境敏感目标为西南侧74m的散户和313m处的大法古村</w:t>
            </w:r>
            <w:r>
              <w:rPr>
                <w:rFonts w:hint="eastAsia"/>
                <w:color w:val="auto"/>
                <w:sz w:val="24"/>
                <w:szCs w:val="24"/>
                <w:highlight w:val="none"/>
                <w:lang w:eastAsia="zh-CN"/>
              </w:rPr>
              <w:t>；</w:t>
            </w:r>
            <w:r>
              <w:rPr>
                <w:rFonts w:hint="eastAsia"/>
                <w:color w:val="auto"/>
                <w:sz w:val="24"/>
                <w:szCs w:val="24"/>
                <w:highlight w:val="none"/>
              </w:rPr>
              <w:t>项目周边500m范围内无食品、药品等对环境敏感的企业，无学校、医院等敏感目标，植被主要为灌木，生态结构较为单一；动植物类型较少。项目区及周围无古树名木分布，亦无珍稀保护动物，只有少量的鼠类、虫类、麻雀等。</w:t>
            </w:r>
          </w:p>
          <w:p w14:paraId="06122779">
            <w:pPr>
              <w:keepNext w:val="0"/>
              <w:keepLines w:val="0"/>
              <w:pageBreakBefore w:val="0"/>
              <w:kinsoku/>
              <w:wordWrap/>
              <w:overflowPunct/>
              <w:topLinePunct w:val="0"/>
              <w:autoSpaceDE/>
              <w:autoSpaceDN/>
              <w:bidi w:val="0"/>
              <w:adjustRightInd/>
              <w:spacing w:line="440" w:lineRule="exact"/>
              <w:ind w:right="0" w:firstLine="480" w:firstLineChars="200"/>
              <w:textAlignment w:val="auto"/>
              <w:rPr>
                <w:color w:val="auto"/>
                <w:sz w:val="24"/>
                <w:szCs w:val="24"/>
                <w:highlight w:val="none"/>
              </w:rPr>
            </w:pPr>
            <w:r>
              <w:rPr>
                <w:color w:val="auto"/>
                <w:sz w:val="24"/>
                <w:szCs w:val="24"/>
                <w:highlight w:val="none"/>
              </w:rPr>
              <w:t>根据</w:t>
            </w:r>
            <w:r>
              <w:rPr>
                <w:rFonts w:hint="eastAsia"/>
                <w:color w:val="auto"/>
                <w:sz w:val="24"/>
                <w:szCs w:val="24"/>
                <w:highlight w:val="none"/>
              </w:rPr>
              <w:t>下文</w:t>
            </w:r>
            <w:r>
              <w:rPr>
                <w:color w:val="auto"/>
                <w:sz w:val="24"/>
                <w:szCs w:val="24"/>
                <w:highlight w:val="none"/>
              </w:rPr>
              <w:t>分析</w:t>
            </w:r>
            <w:r>
              <w:rPr>
                <w:rFonts w:hint="eastAsia"/>
                <w:color w:val="auto"/>
                <w:sz w:val="24"/>
                <w:szCs w:val="24"/>
                <w:highlight w:val="none"/>
                <w:lang w:val="en-US" w:eastAsia="zh-CN"/>
              </w:rPr>
              <w:t>本</w:t>
            </w:r>
            <w:r>
              <w:rPr>
                <w:color w:val="auto"/>
                <w:sz w:val="24"/>
                <w:szCs w:val="24"/>
                <w:highlight w:val="none"/>
              </w:rPr>
              <w:t>项目废气、废水、噪声达标排放，固体废物处置率100%，项目与周围环境相容。</w:t>
            </w:r>
          </w:p>
          <w:p w14:paraId="33263F57">
            <w:pPr>
              <w:keepNext w:val="0"/>
              <w:keepLines w:val="0"/>
              <w:pageBreakBefore w:val="0"/>
              <w:kinsoku/>
              <w:wordWrap/>
              <w:overflowPunct/>
              <w:topLinePunct w:val="0"/>
              <w:autoSpaceDE/>
              <w:autoSpaceDN/>
              <w:bidi w:val="0"/>
              <w:adjustRightInd/>
              <w:spacing w:line="440" w:lineRule="exact"/>
              <w:ind w:right="0" w:firstLine="480" w:firstLineChars="200"/>
              <w:textAlignment w:val="auto"/>
              <w:rPr>
                <w:color w:val="auto"/>
                <w:kern w:val="18"/>
                <w:sz w:val="24"/>
                <w:szCs w:val="24"/>
                <w:highlight w:val="none"/>
              </w:rPr>
            </w:pPr>
            <w:r>
              <w:rPr>
                <w:rFonts w:hint="eastAsia" w:ascii="宋体" w:hAnsi="宋体" w:cs="宋体"/>
                <w:color w:val="auto"/>
                <w:sz w:val="24"/>
                <w:szCs w:val="24"/>
                <w:highlight w:val="none"/>
              </w:rPr>
              <w:t>综上所述，扩建后项目不与区域环境相冲突，扩建后项目的建设符合当地环境的要求，扩建后</w:t>
            </w:r>
            <w:r>
              <w:rPr>
                <w:rFonts w:hint="eastAsia" w:ascii="宋体" w:hAnsi="宋体" w:cs="宋体"/>
                <w:color w:val="auto"/>
                <w:kern w:val="0"/>
                <w:sz w:val="24"/>
                <w:szCs w:val="24"/>
                <w:highlight w:val="none"/>
                <w:lang w:bidi="ar"/>
              </w:rPr>
              <w:t>项目与周边环境相容。</w:t>
            </w:r>
          </w:p>
          <w:p w14:paraId="5D58C252">
            <w:pPr>
              <w:pStyle w:val="2"/>
              <w:keepNext w:val="0"/>
              <w:keepLines w:val="0"/>
              <w:pageBreakBefore w:val="0"/>
              <w:kinsoku/>
              <w:wordWrap/>
              <w:overflowPunct/>
              <w:topLinePunct w:val="0"/>
              <w:autoSpaceDE/>
              <w:autoSpaceDN/>
              <w:bidi w:val="0"/>
              <w:adjustRightInd/>
              <w:spacing w:before="0" w:after="0" w:line="440" w:lineRule="exact"/>
              <w:ind w:right="0"/>
              <w:textAlignment w:val="auto"/>
              <w:rPr>
                <w:b/>
                <w:bCs/>
                <w:color w:val="auto"/>
                <w:sz w:val="24"/>
                <w:szCs w:val="24"/>
                <w:highlight w:val="none"/>
              </w:rPr>
            </w:pPr>
            <w:r>
              <w:rPr>
                <w:b/>
                <w:bCs/>
                <w:color w:val="auto"/>
                <w:sz w:val="24"/>
                <w:szCs w:val="24"/>
                <w:highlight w:val="none"/>
              </w:rPr>
              <w:t>3、选址合理性分析</w:t>
            </w:r>
          </w:p>
          <w:p w14:paraId="3123BC33">
            <w:pPr>
              <w:keepNext w:val="0"/>
              <w:keepLines w:val="0"/>
              <w:pageBreakBefore w:val="0"/>
              <w:kinsoku/>
              <w:wordWrap/>
              <w:overflowPunct/>
              <w:topLinePunct w:val="0"/>
              <w:autoSpaceDE/>
              <w:autoSpaceDN/>
              <w:bidi w:val="0"/>
              <w:adjustRightInd/>
              <w:spacing w:line="440" w:lineRule="exact"/>
              <w:ind w:right="0" w:firstLine="480" w:firstLineChars="200"/>
              <w:textAlignment w:val="auto"/>
              <w:rPr>
                <w:color w:val="auto"/>
                <w:sz w:val="24"/>
                <w:szCs w:val="24"/>
                <w:highlight w:val="none"/>
              </w:rPr>
            </w:pPr>
            <w:r>
              <w:rPr>
                <w:rFonts w:hint="eastAsia"/>
                <w:color w:val="auto"/>
                <w:sz w:val="24"/>
                <w:szCs w:val="24"/>
                <w:highlight w:val="none"/>
                <w:lang w:val="en-US" w:eastAsia="zh-CN"/>
              </w:rPr>
              <w:t>本项目扩建的</w:t>
            </w:r>
            <w:r>
              <w:rPr>
                <w:rFonts w:hint="eastAsia"/>
                <w:color w:val="auto"/>
                <w:sz w:val="24"/>
                <w:szCs w:val="24"/>
                <w:highlight w:val="none"/>
                <w:lang w:eastAsia="zh-CN"/>
              </w:rPr>
              <w:t>固体复合微生物肥料</w:t>
            </w:r>
            <w:r>
              <w:rPr>
                <w:rFonts w:hint="eastAsia"/>
                <w:color w:val="auto"/>
                <w:sz w:val="24"/>
                <w:szCs w:val="24"/>
                <w:highlight w:val="none"/>
              </w:rPr>
              <w:t>生产厂房位于公司西南侧新租用地块，该地块用地性质为工业用地，查询文件见附件6：自然资源局三区三线及用地证明；</w:t>
            </w:r>
            <w:r>
              <w:rPr>
                <w:rFonts w:hint="eastAsia"/>
                <w:color w:val="auto"/>
                <w:sz w:val="24"/>
                <w:szCs w:val="24"/>
                <w:highlight w:val="none"/>
                <w:lang w:val="en-US" w:eastAsia="zh-CN"/>
              </w:rPr>
              <w:t>扩建的</w:t>
            </w:r>
            <w:r>
              <w:rPr>
                <w:rFonts w:hint="eastAsia"/>
                <w:color w:val="auto"/>
                <w:sz w:val="24"/>
                <w:szCs w:val="24"/>
                <w:highlight w:val="none"/>
                <w:lang w:eastAsia="zh-CN"/>
              </w:rPr>
              <w:t>液体复合微生物肥料</w:t>
            </w:r>
            <w:r>
              <w:rPr>
                <w:rFonts w:hint="eastAsia"/>
                <w:color w:val="auto"/>
                <w:sz w:val="24"/>
                <w:szCs w:val="24"/>
                <w:highlight w:val="none"/>
              </w:rPr>
              <w:t>建设于现</w:t>
            </w:r>
            <w:r>
              <w:rPr>
                <w:rFonts w:hint="eastAsia"/>
                <w:color w:val="auto"/>
                <w:sz w:val="24"/>
                <w:szCs w:val="24"/>
                <w:highlight w:val="none"/>
                <w:lang w:val="en-US" w:eastAsia="zh-CN"/>
              </w:rPr>
              <w:t>有项目二级烘干粉碎车间，紧邻</w:t>
            </w:r>
            <w:r>
              <w:rPr>
                <w:rFonts w:hint="eastAsia"/>
                <w:color w:val="auto"/>
                <w:sz w:val="24"/>
                <w:szCs w:val="24"/>
                <w:highlight w:val="none"/>
              </w:rPr>
              <w:t>污水站</w:t>
            </w:r>
            <w:r>
              <w:rPr>
                <w:rFonts w:hint="eastAsia"/>
                <w:color w:val="auto"/>
                <w:sz w:val="24"/>
                <w:szCs w:val="24"/>
                <w:highlight w:val="none"/>
                <w:lang w:val="en-US" w:eastAsia="zh-CN"/>
              </w:rPr>
              <w:t>布置方便尾菜废水的取用</w:t>
            </w:r>
            <w:r>
              <w:rPr>
                <w:rFonts w:hint="eastAsia"/>
                <w:color w:val="auto"/>
                <w:sz w:val="24"/>
                <w:szCs w:val="24"/>
                <w:highlight w:val="none"/>
              </w:rPr>
              <w:t>，未新增建设用地</w:t>
            </w:r>
            <w:r>
              <w:rPr>
                <w:rFonts w:hint="eastAsia"/>
                <w:color w:val="auto"/>
                <w:sz w:val="24"/>
                <w:szCs w:val="24"/>
                <w:highlight w:val="none"/>
                <w:lang w:eastAsia="zh-CN"/>
              </w:rPr>
              <w:t>，</w:t>
            </w:r>
            <w:r>
              <w:rPr>
                <w:rFonts w:hint="eastAsia"/>
                <w:color w:val="auto"/>
                <w:sz w:val="24"/>
                <w:szCs w:val="24"/>
                <w:highlight w:val="none"/>
                <w:lang w:val="en-US" w:eastAsia="zh-CN"/>
              </w:rPr>
              <w:t>根据现有项目选址意见，用地属于自然保留地和采矿用地，根据现有项目环保竣工验收报告，现有项目用地手续已完善。经根据下文</w:t>
            </w:r>
            <w:r>
              <w:rPr>
                <w:color w:val="auto"/>
                <w:sz w:val="24"/>
                <w:szCs w:val="24"/>
                <w:highlight w:val="none"/>
              </w:rPr>
              <w:t>与</w:t>
            </w:r>
            <w:r>
              <w:rPr>
                <w:rFonts w:hint="eastAsia"/>
                <w:color w:val="auto"/>
                <w:sz w:val="24"/>
                <w:szCs w:val="24"/>
                <w:highlight w:val="none"/>
              </w:rPr>
              <w:t>《</w:t>
            </w:r>
            <w:r>
              <w:rPr>
                <w:rFonts w:hint="eastAsia"/>
                <w:color w:val="auto"/>
                <w:kern w:val="0"/>
                <w:sz w:val="24"/>
                <w:szCs w:val="24"/>
                <w:highlight w:val="none"/>
                <w:lang w:bidi="ar"/>
              </w:rPr>
              <w:t>昆明市生态环境分区管控动态更新方案</w:t>
            </w:r>
            <w:r>
              <w:rPr>
                <w:rFonts w:hint="eastAsia"/>
                <w:color w:val="auto"/>
                <w:sz w:val="24"/>
                <w:szCs w:val="24"/>
                <w:highlight w:val="none"/>
              </w:rPr>
              <w:t>》</w:t>
            </w:r>
            <w:r>
              <w:rPr>
                <w:color w:val="auto"/>
                <w:kern w:val="0"/>
                <w:sz w:val="24"/>
                <w:szCs w:val="24"/>
                <w:highlight w:val="none"/>
                <w:lang w:bidi="ar"/>
              </w:rPr>
              <w:t>、</w:t>
            </w:r>
            <w:r>
              <w:rPr>
                <w:rFonts w:hint="eastAsia"/>
                <w:color w:val="auto"/>
                <w:sz w:val="24"/>
                <w:szCs w:val="24"/>
                <w:highlight w:val="none"/>
              </w:rPr>
              <w:t>《中华人民共和国长江保护法》、</w:t>
            </w:r>
            <w:r>
              <w:rPr>
                <w:color w:val="auto"/>
                <w:kern w:val="0"/>
                <w:sz w:val="24"/>
                <w:szCs w:val="24"/>
                <w:highlight w:val="none"/>
              </w:rPr>
              <w:t>《云南省长江经济带发展负面清单指南实施细则（试行，2022年版）》、</w:t>
            </w:r>
            <w:r>
              <w:rPr>
                <w:color w:val="auto"/>
                <w:sz w:val="24"/>
                <w:szCs w:val="24"/>
                <w:highlight w:val="none"/>
              </w:rPr>
              <w:t>《</w:t>
            </w:r>
            <w:r>
              <w:rPr>
                <w:rFonts w:hint="eastAsia"/>
                <w:color w:val="auto"/>
                <w:sz w:val="24"/>
                <w:szCs w:val="24"/>
                <w:highlight w:val="none"/>
              </w:rPr>
              <w:t>云南省牛栏江保护条例</w:t>
            </w:r>
            <w:r>
              <w:rPr>
                <w:color w:val="auto"/>
                <w:sz w:val="24"/>
                <w:szCs w:val="24"/>
                <w:highlight w:val="none"/>
              </w:rPr>
              <w:t>》</w:t>
            </w:r>
            <w:r>
              <w:rPr>
                <w:rFonts w:hint="eastAsia"/>
                <w:color w:val="auto"/>
                <w:sz w:val="24"/>
                <w:szCs w:val="24"/>
                <w:highlight w:val="none"/>
              </w:rPr>
              <w:t>、《牛栏江流域（云南部分）水环境保护规划（2009-2030年）》、《牛栏江流域（寻甸段）水环境保护规划（2009-2030 年）》实施情况中期评估报告等相关法律法规、规划</w:t>
            </w:r>
            <w:r>
              <w:rPr>
                <w:rFonts w:hint="eastAsia"/>
                <w:color w:val="auto"/>
                <w:sz w:val="24"/>
                <w:szCs w:val="24"/>
                <w:highlight w:val="none"/>
                <w:lang w:val="en-US" w:eastAsia="zh-CN"/>
              </w:rPr>
              <w:t>分析，本</w:t>
            </w:r>
            <w:r>
              <w:rPr>
                <w:rFonts w:hint="eastAsia"/>
                <w:color w:val="auto"/>
                <w:sz w:val="24"/>
                <w:szCs w:val="24"/>
                <w:highlight w:val="none"/>
              </w:rPr>
              <w:t>扩建项目</w:t>
            </w:r>
            <w:r>
              <w:rPr>
                <w:rFonts w:hint="eastAsia"/>
                <w:color w:val="auto"/>
                <w:sz w:val="24"/>
                <w:szCs w:val="24"/>
                <w:highlight w:val="none"/>
                <w:lang w:val="en-US" w:eastAsia="zh-CN"/>
              </w:rPr>
              <w:t>与其</w:t>
            </w:r>
            <w:r>
              <w:rPr>
                <w:rFonts w:hint="eastAsia"/>
                <w:color w:val="auto"/>
                <w:sz w:val="24"/>
                <w:szCs w:val="24"/>
                <w:highlight w:val="none"/>
              </w:rPr>
              <w:t>相关法律法规、规划相符或不冲突。</w:t>
            </w:r>
          </w:p>
          <w:p w14:paraId="224A6E72">
            <w:pPr>
              <w:keepNext w:val="0"/>
              <w:keepLines w:val="0"/>
              <w:pageBreakBefore w:val="0"/>
              <w:kinsoku/>
              <w:wordWrap/>
              <w:overflowPunct/>
              <w:topLinePunct w:val="0"/>
              <w:autoSpaceDE/>
              <w:autoSpaceDN/>
              <w:bidi w:val="0"/>
              <w:adjustRightInd/>
              <w:spacing w:line="440" w:lineRule="exact"/>
              <w:ind w:right="0" w:firstLine="480" w:firstLineChars="200"/>
              <w:textAlignment w:val="auto"/>
              <w:rPr>
                <w:rFonts w:hint="eastAsia"/>
                <w:color w:val="auto"/>
                <w:sz w:val="24"/>
                <w:szCs w:val="24"/>
                <w:highlight w:val="none"/>
                <w:lang w:eastAsia="zh-CN"/>
              </w:rPr>
            </w:pPr>
            <w:r>
              <w:rPr>
                <w:rFonts w:hint="eastAsia"/>
                <w:color w:val="auto"/>
                <w:sz w:val="24"/>
                <w:szCs w:val="24"/>
                <w:highlight w:val="none"/>
                <w:lang w:val="en-US" w:eastAsia="zh-CN"/>
              </w:rPr>
              <w:t>本</w:t>
            </w:r>
            <w:r>
              <w:rPr>
                <w:rFonts w:hint="eastAsia"/>
                <w:color w:val="auto"/>
                <w:sz w:val="24"/>
                <w:szCs w:val="24"/>
                <w:highlight w:val="none"/>
              </w:rPr>
              <w:t>项目建设</w:t>
            </w:r>
            <w:r>
              <w:rPr>
                <w:rFonts w:hint="eastAsia"/>
                <w:color w:val="auto"/>
                <w:sz w:val="24"/>
                <w:szCs w:val="24"/>
                <w:highlight w:val="none"/>
                <w:lang w:val="en-US" w:eastAsia="zh-CN"/>
              </w:rPr>
              <w:t>选址</w:t>
            </w:r>
            <w:r>
              <w:rPr>
                <w:color w:val="auto"/>
                <w:sz w:val="24"/>
                <w:szCs w:val="24"/>
                <w:highlight w:val="none"/>
              </w:rPr>
              <w:t>已取得</w:t>
            </w:r>
            <w:r>
              <w:rPr>
                <w:rFonts w:hint="eastAsia"/>
                <w:color w:val="auto"/>
                <w:sz w:val="24"/>
                <w:szCs w:val="24"/>
                <w:highlight w:val="none"/>
              </w:rPr>
              <w:t>寻甸回族彝族自治县自然资源</w:t>
            </w:r>
            <w:r>
              <w:rPr>
                <w:color w:val="auto"/>
                <w:sz w:val="24"/>
                <w:szCs w:val="24"/>
                <w:highlight w:val="none"/>
              </w:rPr>
              <w:t>局</w:t>
            </w:r>
            <w:r>
              <w:rPr>
                <w:rFonts w:hint="eastAsia"/>
                <w:color w:val="auto"/>
                <w:sz w:val="24"/>
                <w:szCs w:val="24"/>
                <w:highlight w:val="none"/>
              </w:rPr>
              <w:t>仁德自然资源所</w:t>
            </w:r>
            <w:r>
              <w:rPr>
                <w:color w:val="auto"/>
                <w:sz w:val="24"/>
                <w:szCs w:val="24"/>
                <w:highlight w:val="none"/>
              </w:rPr>
              <w:t>于20</w:t>
            </w:r>
            <w:r>
              <w:rPr>
                <w:rFonts w:hint="eastAsia"/>
                <w:color w:val="auto"/>
                <w:sz w:val="24"/>
                <w:szCs w:val="24"/>
                <w:highlight w:val="none"/>
              </w:rPr>
              <w:t>25</w:t>
            </w:r>
            <w:r>
              <w:rPr>
                <w:color w:val="auto"/>
                <w:sz w:val="24"/>
                <w:szCs w:val="24"/>
                <w:highlight w:val="none"/>
              </w:rPr>
              <w:t>年</w:t>
            </w:r>
            <w:r>
              <w:rPr>
                <w:rFonts w:hint="eastAsia"/>
                <w:color w:val="auto"/>
                <w:sz w:val="24"/>
                <w:szCs w:val="24"/>
                <w:highlight w:val="none"/>
              </w:rPr>
              <w:t>11</w:t>
            </w:r>
            <w:r>
              <w:rPr>
                <w:color w:val="auto"/>
                <w:sz w:val="24"/>
                <w:szCs w:val="24"/>
                <w:highlight w:val="none"/>
              </w:rPr>
              <w:t>月</w:t>
            </w:r>
            <w:r>
              <w:rPr>
                <w:rFonts w:hint="eastAsia"/>
                <w:color w:val="auto"/>
                <w:sz w:val="24"/>
                <w:szCs w:val="24"/>
                <w:highlight w:val="none"/>
              </w:rPr>
              <w:t>21</w:t>
            </w:r>
            <w:r>
              <w:rPr>
                <w:color w:val="auto"/>
                <w:sz w:val="24"/>
                <w:szCs w:val="24"/>
                <w:highlight w:val="none"/>
              </w:rPr>
              <w:t>日出具的</w:t>
            </w:r>
            <w:r>
              <w:rPr>
                <w:rFonts w:hint="eastAsia"/>
                <w:color w:val="auto"/>
                <w:sz w:val="24"/>
                <w:szCs w:val="24"/>
                <w:highlight w:val="none"/>
              </w:rPr>
              <w:t>“关于云南錦创环境科技有限公司改扩建”范围是否涉及生态红线及城镇开发边界的证明”（详见附件6项目“三区三线”查询文件）</w:t>
            </w:r>
            <w:r>
              <w:rPr>
                <w:rFonts w:hint="eastAsia"/>
                <w:color w:val="auto"/>
                <w:sz w:val="24"/>
                <w:szCs w:val="24"/>
                <w:highlight w:val="none"/>
                <w:lang w:val="en-US" w:eastAsia="zh-CN"/>
              </w:rPr>
              <w:t>及现场勘察</w:t>
            </w:r>
            <w:r>
              <w:rPr>
                <w:color w:val="auto"/>
                <w:sz w:val="24"/>
                <w:szCs w:val="24"/>
                <w:highlight w:val="none"/>
              </w:rPr>
              <w:t>，</w:t>
            </w:r>
            <w:r>
              <w:rPr>
                <w:rFonts w:hint="eastAsia"/>
                <w:color w:val="auto"/>
                <w:sz w:val="24"/>
                <w:szCs w:val="24"/>
                <w:highlight w:val="none"/>
              </w:rPr>
              <w:t>本项目厂界外500m范围不涉及自然保护区、风景名胜区、饮用水水源保护区等环境敏感区域，用地不涉及基本农田、生态红线，不涉及生物多样性优先保护单元；周围外环境对本项目无明显制约因素</w:t>
            </w:r>
            <w:r>
              <w:rPr>
                <w:rFonts w:hint="eastAsia"/>
                <w:color w:val="auto"/>
                <w:sz w:val="24"/>
                <w:szCs w:val="24"/>
                <w:highlight w:val="none"/>
                <w:lang w:eastAsia="zh-CN"/>
              </w:rPr>
              <w:t>。</w:t>
            </w:r>
          </w:p>
          <w:p w14:paraId="2377E96D">
            <w:pPr>
              <w:keepNext w:val="0"/>
              <w:keepLines w:val="0"/>
              <w:pageBreakBefore w:val="0"/>
              <w:widowControl/>
              <w:suppressLineNumbers w:val="0"/>
              <w:kinsoku/>
              <w:wordWrap/>
              <w:overflowPunct/>
              <w:topLinePunct w:val="0"/>
              <w:autoSpaceDE/>
              <w:autoSpaceDN/>
              <w:bidi w:val="0"/>
              <w:adjustRightInd/>
              <w:snapToGrid/>
              <w:spacing w:before="0" w:beforeLines="0" w:line="440" w:lineRule="exact"/>
              <w:ind w:firstLine="480" w:firstLineChars="200"/>
              <w:jc w:val="left"/>
              <w:textAlignment w:val="auto"/>
              <w:rPr>
                <w:rFonts w:hint="default" w:eastAsia="宋体"/>
                <w:color w:val="auto"/>
                <w:sz w:val="24"/>
                <w:szCs w:val="24"/>
                <w:highlight w:val="none"/>
                <w:lang w:val="en-US" w:eastAsia="zh-CN"/>
              </w:rPr>
            </w:pPr>
            <w:r>
              <w:rPr>
                <w:color w:val="auto"/>
                <w:kern w:val="0"/>
                <w:sz w:val="24"/>
                <w:szCs w:val="24"/>
                <w:highlight w:val="none"/>
                <w:lang w:bidi="ar"/>
              </w:rPr>
              <w:t>环境质量现状评价结果表明，</w:t>
            </w:r>
            <w:r>
              <w:rPr>
                <w:rFonts w:hint="eastAsia"/>
                <w:color w:val="auto"/>
                <w:kern w:val="0"/>
                <w:sz w:val="24"/>
                <w:szCs w:val="24"/>
                <w:highlight w:val="none"/>
                <w:lang w:val="en-US" w:eastAsia="zh-CN" w:bidi="ar"/>
              </w:rPr>
              <w:t>建设</w:t>
            </w:r>
            <w:r>
              <w:rPr>
                <w:color w:val="auto"/>
                <w:kern w:val="0"/>
                <w:sz w:val="24"/>
                <w:szCs w:val="24"/>
                <w:highlight w:val="none"/>
                <w:lang w:bidi="ar"/>
              </w:rPr>
              <w:t>区域大气环境</w:t>
            </w:r>
            <w:r>
              <w:rPr>
                <w:rFonts w:hint="eastAsia"/>
                <w:color w:val="auto"/>
                <w:kern w:val="0"/>
                <w:sz w:val="24"/>
                <w:szCs w:val="24"/>
                <w:highlight w:val="none"/>
                <w:lang w:bidi="ar"/>
              </w:rPr>
              <w:t>、地表水环境、地下水环境、</w:t>
            </w:r>
            <w:r>
              <w:rPr>
                <w:color w:val="auto"/>
                <w:kern w:val="0"/>
                <w:sz w:val="24"/>
                <w:szCs w:val="24"/>
                <w:highlight w:val="none"/>
                <w:lang w:bidi="ar"/>
              </w:rPr>
              <w:t>声环境</w:t>
            </w:r>
            <w:r>
              <w:rPr>
                <w:rFonts w:hint="eastAsia"/>
                <w:color w:val="auto"/>
                <w:kern w:val="0"/>
                <w:sz w:val="24"/>
                <w:szCs w:val="24"/>
                <w:highlight w:val="none"/>
                <w:lang w:bidi="ar"/>
              </w:rPr>
              <w:t>、土壤环境</w:t>
            </w:r>
            <w:r>
              <w:rPr>
                <w:color w:val="auto"/>
                <w:kern w:val="0"/>
                <w:sz w:val="24"/>
                <w:szCs w:val="24"/>
                <w:highlight w:val="none"/>
                <w:lang w:bidi="ar"/>
              </w:rPr>
              <w:t>质量较好，满足环境功能要求。</w:t>
            </w:r>
            <w:r>
              <w:rPr>
                <w:color w:val="auto"/>
                <w:sz w:val="24"/>
                <w:szCs w:val="24"/>
                <w:highlight w:val="none"/>
              </w:rPr>
              <w:t>根据</w:t>
            </w:r>
            <w:r>
              <w:rPr>
                <w:rFonts w:hint="eastAsia"/>
                <w:color w:val="auto"/>
                <w:sz w:val="24"/>
                <w:szCs w:val="24"/>
                <w:highlight w:val="none"/>
              </w:rPr>
              <w:t>下文</w:t>
            </w:r>
            <w:r>
              <w:rPr>
                <w:color w:val="auto"/>
                <w:sz w:val="24"/>
                <w:szCs w:val="24"/>
                <w:highlight w:val="none"/>
              </w:rPr>
              <w:t>分析</w:t>
            </w:r>
            <w:r>
              <w:rPr>
                <w:rFonts w:hint="eastAsia"/>
                <w:color w:val="auto"/>
                <w:sz w:val="24"/>
                <w:szCs w:val="24"/>
                <w:highlight w:val="none"/>
              </w:rPr>
              <w:t>可知：</w:t>
            </w:r>
            <w:r>
              <w:rPr>
                <w:color w:val="auto"/>
                <w:sz w:val="24"/>
                <w:szCs w:val="24"/>
                <w:highlight w:val="none"/>
              </w:rPr>
              <w:t>采取</w:t>
            </w:r>
            <w:r>
              <w:rPr>
                <w:rFonts w:hint="eastAsia"/>
                <w:color w:val="auto"/>
                <w:sz w:val="24"/>
                <w:szCs w:val="24"/>
                <w:highlight w:val="none"/>
              </w:rPr>
              <w:t>相应的</w:t>
            </w:r>
            <w:r>
              <w:rPr>
                <w:color w:val="auto"/>
                <w:sz w:val="24"/>
                <w:szCs w:val="24"/>
                <w:highlight w:val="none"/>
              </w:rPr>
              <w:t>污染防治和控制措施后，外排污染物可达标排放，固体废物处置率100%，</w:t>
            </w:r>
            <w:r>
              <w:rPr>
                <w:rFonts w:hint="eastAsia"/>
                <w:color w:val="auto"/>
                <w:sz w:val="24"/>
                <w:szCs w:val="24"/>
                <w:highlight w:val="none"/>
                <w:lang w:val="en-US" w:eastAsia="zh-CN"/>
              </w:rPr>
              <w:t>且本项目</w:t>
            </w:r>
          </w:p>
          <w:p w14:paraId="21E74A8D">
            <w:pPr>
              <w:keepNext w:val="0"/>
              <w:keepLines w:val="0"/>
              <w:pageBreakBefore w:val="0"/>
              <w:widowControl/>
              <w:suppressLineNumbers w:val="0"/>
              <w:kinsoku/>
              <w:wordWrap/>
              <w:overflowPunct/>
              <w:topLinePunct w:val="0"/>
              <w:autoSpaceDE/>
              <w:autoSpaceDN/>
              <w:bidi w:val="0"/>
              <w:adjustRightInd/>
              <w:snapToGrid/>
              <w:spacing w:before="0" w:beforeLines="0" w:line="440" w:lineRule="exact"/>
              <w:ind w:firstLine="480" w:firstLineChars="200"/>
              <w:jc w:val="left"/>
              <w:textAlignment w:val="auto"/>
              <w:rPr>
                <w:color w:val="auto"/>
                <w:sz w:val="24"/>
                <w:szCs w:val="24"/>
                <w:highlight w:val="none"/>
              </w:rPr>
            </w:pPr>
            <w:r>
              <w:rPr>
                <w:color w:val="auto"/>
                <w:kern w:val="0"/>
                <w:sz w:val="24"/>
                <w:szCs w:val="24"/>
                <w:highlight w:val="none"/>
                <w:lang w:bidi="ar"/>
              </w:rPr>
              <w:t>项目的建设对区域大气环境、水环境、声环境及生态环境的影响均不大，对周边环境</w:t>
            </w:r>
            <w:r>
              <w:rPr>
                <w:rFonts w:hint="eastAsia"/>
                <w:color w:val="auto"/>
                <w:kern w:val="0"/>
                <w:sz w:val="24"/>
                <w:szCs w:val="24"/>
                <w:highlight w:val="none"/>
                <w:lang w:bidi="ar"/>
              </w:rPr>
              <w:t>敏感目标</w:t>
            </w:r>
            <w:r>
              <w:rPr>
                <w:color w:val="auto"/>
                <w:kern w:val="0"/>
                <w:sz w:val="24"/>
                <w:szCs w:val="24"/>
                <w:highlight w:val="none"/>
                <w:lang w:bidi="ar"/>
              </w:rPr>
              <w:t>影响均较小。</w:t>
            </w:r>
            <w:r>
              <w:rPr>
                <w:rFonts w:hint="eastAsia"/>
                <w:color w:val="auto"/>
                <w:sz w:val="24"/>
                <w:szCs w:val="24"/>
                <w:highlight w:val="none"/>
              </w:rPr>
              <w:t>项目最近的大气环境保护目标为西南侧74m的散户和313m处的大法古村</w:t>
            </w:r>
            <w:r>
              <w:rPr>
                <w:rFonts w:hint="eastAsia"/>
                <w:color w:val="auto"/>
                <w:sz w:val="24"/>
                <w:szCs w:val="24"/>
                <w:highlight w:val="none"/>
                <w:lang w:eastAsia="zh-CN"/>
              </w:rPr>
              <w:t>，</w:t>
            </w:r>
            <w:r>
              <w:rPr>
                <w:rFonts w:hint="eastAsia" w:cs="Times New Roman"/>
                <w:color w:val="auto"/>
                <w:spacing w:val="0"/>
                <w:sz w:val="24"/>
                <w:szCs w:val="24"/>
                <w:highlight w:val="none"/>
                <w:lang w:val="en-US" w:eastAsia="zh-CN"/>
              </w:rPr>
              <w:t>位于项目所处地点上风向和侧风向，本项目产生的粉尘、氨、硫化氢和臭气经扩散、周围植被吸收后对大气环境保护目标影响较小。</w:t>
            </w:r>
          </w:p>
          <w:p w14:paraId="5857EA79">
            <w:pPr>
              <w:keepNext w:val="0"/>
              <w:keepLines w:val="0"/>
              <w:pageBreakBefore w:val="0"/>
              <w:kinsoku/>
              <w:wordWrap/>
              <w:overflowPunct/>
              <w:topLinePunct w:val="0"/>
              <w:autoSpaceDE/>
              <w:autoSpaceDN/>
              <w:bidi w:val="0"/>
              <w:adjustRightInd/>
              <w:spacing w:line="440" w:lineRule="exact"/>
              <w:ind w:right="0" w:firstLine="480" w:firstLineChars="200"/>
              <w:textAlignment w:val="auto"/>
              <w:rPr>
                <w:color w:val="auto"/>
                <w:sz w:val="24"/>
                <w:szCs w:val="24"/>
                <w:highlight w:val="none"/>
              </w:rPr>
            </w:pPr>
            <w:r>
              <w:rPr>
                <w:rFonts w:hint="eastAsia"/>
                <w:color w:val="auto"/>
                <w:sz w:val="24"/>
                <w:szCs w:val="24"/>
                <w:highlight w:val="none"/>
              </w:rPr>
              <w:t>综上所述，从法律法规、规划、用地、环境质量现状、环境影响、主导风向等方面，项目选址合理可行。</w:t>
            </w:r>
          </w:p>
          <w:p w14:paraId="3FCB04B1">
            <w:pPr>
              <w:keepNext w:val="0"/>
              <w:keepLines w:val="0"/>
              <w:pageBreakBefore w:val="0"/>
              <w:widowControl w:val="0"/>
              <w:kinsoku/>
              <w:wordWrap/>
              <w:overflowPunct/>
              <w:topLinePunct w:val="0"/>
              <w:autoSpaceDE/>
              <w:autoSpaceDN/>
              <w:bidi w:val="0"/>
              <w:adjustRightInd/>
              <w:snapToGrid/>
              <w:spacing w:line="440" w:lineRule="exact"/>
              <w:jc w:val="left"/>
              <w:textAlignment w:val="auto"/>
              <w:rPr>
                <w:b/>
                <w:bCs/>
                <w:color w:val="auto"/>
                <w:kern w:val="0"/>
                <w:sz w:val="24"/>
                <w:szCs w:val="24"/>
                <w:highlight w:val="none"/>
              </w:rPr>
            </w:pPr>
            <w:r>
              <w:rPr>
                <w:rFonts w:hint="eastAsia"/>
                <w:b/>
                <w:bCs/>
                <w:color w:val="auto"/>
                <w:kern w:val="0"/>
                <w:sz w:val="24"/>
                <w:szCs w:val="24"/>
                <w:highlight w:val="none"/>
              </w:rPr>
              <w:t>4</w:t>
            </w:r>
            <w:r>
              <w:rPr>
                <w:b/>
                <w:bCs/>
                <w:color w:val="auto"/>
                <w:kern w:val="0"/>
                <w:sz w:val="24"/>
                <w:szCs w:val="24"/>
                <w:highlight w:val="none"/>
              </w:rPr>
              <w:t>、项目与《昆明市生态环境分区管控动态更新方案（</w:t>
            </w:r>
            <w:r>
              <w:rPr>
                <w:rFonts w:hint="eastAsia"/>
                <w:b/>
                <w:bCs/>
                <w:color w:val="auto"/>
                <w:kern w:val="0"/>
                <w:sz w:val="24"/>
                <w:szCs w:val="24"/>
                <w:highlight w:val="none"/>
              </w:rPr>
              <w:t>2023</w:t>
            </w:r>
            <w:r>
              <w:rPr>
                <w:b/>
                <w:bCs/>
                <w:color w:val="auto"/>
                <w:kern w:val="0"/>
                <w:sz w:val="24"/>
                <w:szCs w:val="24"/>
                <w:highlight w:val="none"/>
              </w:rPr>
              <w:t>）》的相符性分析</w:t>
            </w:r>
          </w:p>
          <w:p w14:paraId="6A7FC0E2">
            <w:pPr>
              <w:pStyle w:val="115"/>
              <w:keepNext w:val="0"/>
              <w:keepLines w:val="0"/>
              <w:pageBreakBefore w:val="0"/>
              <w:widowControl w:val="0"/>
              <w:kinsoku/>
              <w:wordWrap/>
              <w:overflowPunct/>
              <w:topLinePunct w:val="0"/>
              <w:autoSpaceDE/>
              <w:autoSpaceDN/>
              <w:bidi w:val="0"/>
              <w:adjustRightInd/>
              <w:snapToGrid/>
              <w:spacing w:line="440" w:lineRule="exact"/>
              <w:ind w:firstLine="480"/>
              <w:textAlignment w:val="auto"/>
              <w:rPr>
                <w:color w:val="auto"/>
                <w:sz w:val="21"/>
                <w:szCs w:val="21"/>
                <w:highlight w:val="none"/>
              </w:rPr>
            </w:pPr>
            <w:r>
              <w:rPr>
                <w:color w:val="auto"/>
                <w:sz w:val="24"/>
                <w:szCs w:val="24"/>
                <w:highlight w:val="none"/>
              </w:rPr>
              <w:t>根据</w:t>
            </w:r>
            <w:r>
              <w:rPr>
                <w:rFonts w:hint="eastAsia"/>
                <w:color w:val="auto"/>
                <w:sz w:val="24"/>
                <w:szCs w:val="24"/>
                <w:highlight w:val="none"/>
              </w:rPr>
              <w:t>2024年11月12日昆明市生态环境局关于公开昆明市生态环境局关于印发《昆明市生态环境分区管控动态更新方案（2023年）》的通知，本项目根据云南省生态环境分区管控公共服务查询平台查询，扩建区域及依托地块属于寻甸回族彝族自治县矿产资源重点管控单</w:t>
            </w:r>
            <w:r>
              <w:rPr>
                <w:rFonts w:hint="eastAsia"/>
                <w:color w:val="auto"/>
                <w:kern w:val="0"/>
                <w:sz w:val="24"/>
                <w:szCs w:val="24"/>
                <w:highlight w:val="none"/>
              </w:rPr>
              <w:t>元。（管控单元查询图见下图1-1）。扩建</w:t>
            </w:r>
            <w:r>
              <w:rPr>
                <w:color w:val="auto"/>
                <w:sz w:val="24"/>
                <w:szCs w:val="24"/>
                <w:highlight w:val="none"/>
              </w:rPr>
              <w:t>项目与</w:t>
            </w:r>
            <w:r>
              <w:rPr>
                <w:rFonts w:hint="eastAsia"/>
                <w:color w:val="auto"/>
                <w:sz w:val="24"/>
                <w:szCs w:val="24"/>
                <w:highlight w:val="none"/>
              </w:rPr>
              <w:t>《昆明市生态环境分工管控动态更新方案（2023）》</w:t>
            </w:r>
            <w:r>
              <w:rPr>
                <w:color w:val="auto"/>
                <w:sz w:val="24"/>
                <w:szCs w:val="24"/>
                <w:highlight w:val="none"/>
              </w:rPr>
              <w:t>的符合性分析如表1-</w:t>
            </w:r>
            <w:r>
              <w:rPr>
                <w:rFonts w:hint="eastAsia"/>
                <w:color w:val="auto"/>
                <w:sz w:val="24"/>
                <w:szCs w:val="24"/>
                <w:highlight w:val="none"/>
                <w:lang w:val="en-US" w:eastAsia="zh-CN"/>
              </w:rPr>
              <w:t>3</w:t>
            </w:r>
            <w:r>
              <w:rPr>
                <w:color w:val="auto"/>
                <w:sz w:val="24"/>
                <w:szCs w:val="24"/>
                <w:highlight w:val="none"/>
              </w:rPr>
              <w:t>所示。</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0"/>
            </w:tblGrid>
            <w:tr w14:paraId="19FC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95" w:hRule="atLeast"/>
              </w:trPr>
              <w:tc>
                <w:tcPr>
                  <w:tcW w:w="7740" w:type="dxa"/>
                </w:tcPr>
                <w:p w14:paraId="42177BFD">
                  <w:pPr>
                    <w:pStyle w:val="115"/>
                    <w:ind w:firstLine="0" w:firstLineChars="0"/>
                    <w:rPr>
                      <w:color w:val="auto"/>
                      <w:sz w:val="21"/>
                      <w:szCs w:val="21"/>
                      <w:highlight w:val="none"/>
                    </w:rPr>
                  </w:pPr>
                  <w:r>
                    <w:rPr>
                      <w:rFonts w:hint="eastAsia"/>
                      <w:color w:val="auto"/>
                      <w:sz w:val="21"/>
                      <w:szCs w:val="21"/>
                      <w:highlight w:val="none"/>
                    </w:rPr>
                    <w:drawing>
                      <wp:inline distT="0" distB="0" distL="114300" distR="114300">
                        <wp:extent cx="4709160" cy="4368165"/>
                        <wp:effectExtent l="0" t="0" r="0" b="5715"/>
                        <wp:docPr id="53" name="图片 53" descr="管控单元截图2026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管控单元截图20260121"/>
                                <pic:cNvPicPr>
                                  <a:picLocks noChangeAspect="1"/>
                                </pic:cNvPicPr>
                              </pic:nvPicPr>
                              <pic:blipFill>
                                <a:blip r:embed="rId10"/>
                                <a:stretch>
                                  <a:fillRect/>
                                </a:stretch>
                              </pic:blipFill>
                              <pic:spPr>
                                <a:xfrm>
                                  <a:off x="0" y="0"/>
                                  <a:ext cx="4709160" cy="4368165"/>
                                </a:xfrm>
                                <a:prstGeom prst="rect">
                                  <a:avLst/>
                                </a:prstGeom>
                              </pic:spPr>
                            </pic:pic>
                          </a:graphicData>
                        </a:graphic>
                      </wp:inline>
                    </w:drawing>
                  </w:r>
                </w:p>
              </w:tc>
            </w:tr>
          </w:tbl>
          <w:p w14:paraId="0277FC32">
            <w:pPr>
              <w:pStyle w:val="115"/>
              <w:ind w:firstLine="422"/>
              <w:jc w:val="center"/>
              <w:rPr>
                <w:rFonts w:cs="Times New Roman"/>
                <w:b/>
                <w:bCs/>
                <w:color w:val="auto"/>
                <w:sz w:val="21"/>
                <w:szCs w:val="21"/>
                <w:highlight w:val="none"/>
              </w:rPr>
            </w:pPr>
            <w:r>
              <w:rPr>
                <w:rFonts w:cs="Times New Roman"/>
                <w:b/>
                <w:bCs/>
                <w:color w:val="auto"/>
                <w:sz w:val="21"/>
                <w:szCs w:val="21"/>
                <w:highlight w:val="none"/>
              </w:rPr>
              <w:t xml:space="preserve">图1-1 </w:t>
            </w:r>
            <w:r>
              <w:rPr>
                <w:rFonts w:hint="eastAsia" w:cs="Times New Roman"/>
                <w:b/>
                <w:bCs/>
                <w:color w:val="auto"/>
                <w:sz w:val="21"/>
                <w:szCs w:val="21"/>
                <w:highlight w:val="none"/>
                <w:lang w:val="en-US" w:eastAsia="zh-CN"/>
              </w:rPr>
              <w:t xml:space="preserve"> </w:t>
            </w:r>
            <w:r>
              <w:rPr>
                <w:rFonts w:cs="Times New Roman"/>
                <w:b/>
                <w:bCs/>
                <w:color w:val="auto"/>
                <w:sz w:val="21"/>
                <w:szCs w:val="21"/>
                <w:highlight w:val="none"/>
              </w:rPr>
              <w:t>管控单元分布图</w:t>
            </w:r>
          </w:p>
          <w:p w14:paraId="5012C642">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b/>
                <w:bCs/>
                <w:color w:val="auto"/>
                <w:kern w:val="0"/>
                <w:sz w:val="21"/>
                <w:szCs w:val="21"/>
                <w:highlight w:val="none"/>
              </w:rPr>
            </w:pPr>
            <w:r>
              <w:rPr>
                <w:rFonts w:hint="eastAsia"/>
                <w:b/>
                <w:bCs/>
                <w:color w:val="auto"/>
                <w:kern w:val="0"/>
                <w:sz w:val="21"/>
                <w:szCs w:val="21"/>
                <w:highlight w:val="none"/>
              </w:rPr>
              <w:t>表1-</w:t>
            </w:r>
            <w:r>
              <w:rPr>
                <w:rFonts w:hint="eastAsia"/>
                <w:b/>
                <w:bCs/>
                <w:color w:val="auto"/>
                <w:kern w:val="0"/>
                <w:sz w:val="21"/>
                <w:szCs w:val="21"/>
                <w:highlight w:val="none"/>
                <w:lang w:val="en-US" w:eastAsia="zh-CN"/>
              </w:rPr>
              <w:t xml:space="preserve">3  </w:t>
            </w:r>
            <w:r>
              <w:rPr>
                <w:rFonts w:hint="eastAsia"/>
                <w:b/>
                <w:bCs/>
                <w:color w:val="auto"/>
                <w:kern w:val="0"/>
                <w:sz w:val="21"/>
                <w:szCs w:val="21"/>
                <w:highlight w:val="none"/>
              </w:rPr>
              <w:t>与《昆明市生态环境分区管控动态更</w:t>
            </w:r>
            <w:r>
              <w:rPr>
                <w:b/>
                <w:bCs/>
                <w:color w:val="auto"/>
                <w:kern w:val="0"/>
                <w:sz w:val="21"/>
                <w:szCs w:val="21"/>
                <w:highlight w:val="none"/>
              </w:rPr>
              <w:t>新方案（2023）》</w:t>
            </w:r>
            <w:r>
              <w:rPr>
                <w:rFonts w:hint="eastAsia"/>
                <w:b/>
                <w:bCs/>
                <w:color w:val="auto"/>
                <w:kern w:val="0"/>
                <w:sz w:val="21"/>
                <w:szCs w:val="21"/>
                <w:highlight w:val="none"/>
              </w:rPr>
              <w:t>符合性分析</w:t>
            </w:r>
          </w:p>
          <w:tbl>
            <w:tblPr>
              <w:tblStyle w:val="27"/>
              <w:tblW w:w="77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
              <w:gridCol w:w="137"/>
              <w:gridCol w:w="549"/>
              <w:gridCol w:w="12"/>
              <w:gridCol w:w="3000"/>
              <w:gridCol w:w="624"/>
              <w:gridCol w:w="2244"/>
              <w:gridCol w:w="737"/>
            </w:tblGrid>
            <w:tr w14:paraId="6A5BF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66" w:type="pct"/>
                  <w:noWrap w:val="0"/>
                  <w:vAlign w:val="center"/>
                </w:tcPr>
                <w:p w14:paraId="10C891C3">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b/>
                      <w:bCs/>
                      <w:color w:val="auto"/>
                      <w:kern w:val="0"/>
                      <w:sz w:val="21"/>
                      <w:szCs w:val="21"/>
                      <w:highlight w:val="none"/>
                      <w:vertAlign w:val="baseline"/>
                      <w:lang w:val="en-US" w:eastAsia="zh-CN" w:bidi="ar"/>
                    </w:rPr>
                    <w:t>类别</w:t>
                  </w:r>
                </w:p>
              </w:tc>
              <w:tc>
                <w:tcPr>
                  <w:tcW w:w="2396" w:type="pct"/>
                  <w:gridSpan w:val="4"/>
                  <w:noWrap w:val="0"/>
                  <w:vAlign w:val="center"/>
                </w:tcPr>
                <w:p w14:paraId="3993F491">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b/>
                      <w:bCs/>
                      <w:color w:val="auto"/>
                      <w:kern w:val="0"/>
                      <w:sz w:val="21"/>
                      <w:szCs w:val="21"/>
                      <w:highlight w:val="none"/>
                      <w:lang w:val="en-US" w:eastAsia="zh-CN" w:bidi="ar"/>
                    </w:rPr>
                    <w:t>文件内容</w:t>
                  </w:r>
                </w:p>
              </w:tc>
              <w:tc>
                <w:tcPr>
                  <w:tcW w:w="1858" w:type="pct"/>
                  <w:gridSpan w:val="2"/>
                  <w:noWrap w:val="0"/>
                  <w:vAlign w:val="center"/>
                </w:tcPr>
                <w:p w14:paraId="32B2745E">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b/>
                      <w:color w:val="auto"/>
                      <w:sz w:val="21"/>
                      <w:szCs w:val="21"/>
                      <w:highlight w:val="none"/>
                      <w:lang w:val="en-US" w:eastAsia="zh-CN"/>
                    </w:rPr>
                    <w:t>本项目情况</w:t>
                  </w:r>
                </w:p>
              </w:tc>
              <w:tc>
                <w:tcPr>
                  <w:tcW w:w="477" w:type="pct"/>
                  <w:noWrap w:val="0"/>
                  <w:vAlign w:val="center"/>
                </w:tcPr>
                <w:p w14:paraId="17E70219">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b/>
                      <w:bCs/>
                      <w:color w:val="auto"/>
                      <w:kern w:val="0"/>
                      <w:sz w:val="21"/>
                      <w:szCs w:val="21"/>
                      <w:highlight w:val="none"/>
                      <w:vertAlign w:val="baseline"/>
                      <w:lang w:val="en-US" w:eastAsia="zh-CN" w:bidi="ar"/>
                    </w:rPr>
                    <w:t>符合性</w:t>
                  </w:r>
                </w:p>
              </w:tc>
            </w:tr>
            <w:tr w14:paraId="3F170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66" w:type="pct"/>
                  <w:noWrap w:val="0"/>
                  <w:vAlign w:val="center"/>
                </w:tcPr>
                <w:p w14:paraId="3F4F8B07">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b/>
                      <w:bCs/>
                      <w:color w:val="auto"/>
                      <w:kern w:val="0"/>
                      <w:sz w:val="21"/>
                      <w:szCs w:val="21"/>
                      <w:highlight w:val="none"/>
                      <w:vertAlign w:val="baseline"/>
                      <w:lang w:val="en-US" w:eastAsia="zh-CN" w:bidi="ar"/>
                    </w:rPr>
                    <w:t>一</w:t>
                  </w:r>
                </w:p>
              </w:tc>
              <w:tc>
                <w:tcPr>
                  <w:tcW w:w="4733" w:type="pct"/>
                  <w:gridSpan w:val="7"/>
                  <w:noWrap w:val="0"/>
                  <w:vAlign w:val="center"/>
                </w:tcPr>
                <w:p w14:paraId="75A5604B">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b/>
                      <w:bCs/>
                      <w:color w:val="auto"/>
                      <w:kern w:val="0"/>
                      <w:sz w:val="21"/>
                      <w:szCs w:val="21"/>
                      <w:highlight w:val="none"/>
                      <w:vertAlign w:val="baseline"/>
                      <w:lang w:val="en-US" w:eastAsia="zh-CN" w:bidi="ar"/>
                    </w:rPr>
                    <w:t>总体要求</w:t>
                  </w:r>
                </w:p>
              </w:tc>
            </w:tr>
            <w:tr w14:paraId="1C0EA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noWrap w:val="0"/>
                  <w:vAlign w:val="center"/>
                </w:tcPr>
                <w:p w14:paraId="00E3592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leftChars="0" w:right="0" w:firstLine="0" w:firstLineChars="0"/>
                    <w:jc w:val="both"/>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生态保护红线</w:t>
                  </w:r>
                </w:p>
              </w:tc>
              <w:tc>
                <w:tcPr>
                  <w:tcW w:w="2396" w:type="pct"/>
                  <w:gridSpan w:val="4"/>
                  <w:noWrap w:val="0"/>
                  <w:vAlign w:val="center"/>
                </w:tcPr>
                <w:p w14:paraId="58CC2A6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leftChars="0" w:right="0" w:firstLine="0" w:firstLineChars="0"/>
                    <w:jc w:val="both"/>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更新后，生态保护红线全面与《昆明市国土空间总体规划（2021—2035年）》衔接，全市生态保护红线面积4274.70平方公里，占全市国土面积的20.34%，较原有面积占比减少1.85%。全市一般生态空间面积5151.56平方公里，占国土空间面积的24.37%，较原有面积占比增加2.45%。</w:t>
                  </w:r>
                </w:p>
              </w:tc>
              <w:tc>
                <w:tcPr>
                  <w:tcW w:w="1858" w:type="pct"/>
                  <w:gridSpan w:val="2"/>
                  <w:noWrap w:val="0"/>
                  <w:vAlign w:val="center"/>
                </w:tcPr>
                <w:p w14:paraId="1E42CDCE">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根据寻甸回族彝族自治县自然资源局关于本项目用地范围是否涉及永久基本农田、生态保护红线及城镇开发边界的情况说明（附件6），项目选址不在生态红线范围内，符合生态保护红线要求。</w:t>
                  </w:r>
                </w:p>
              </w:tc>
              <w:tc>
                <w:tcPr>
                  <w:tcW w:w="477" w:type="pct"/>
                  <w:noWrap w:val="0"/>
                  <w:vAlign w:val="center"/>
                </w:tcPr>
                <w:p w14:paraId="60EE22A4">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b w:val="0"/>
                      <w:bCs w:val="0"/>
                      <w:color w:val="auto"/>
                      <w:kern w:val="0"/>
                      <w:sz w:val="21"/>
                      <w:szCs w:val="21"/>
                      <w:highlight w:val="none"/>
                      <w:vertAlign w:val="baseline"/>
                      <w:lang w:val="en-US" w:eastAsia="zh-CN" w:bidi="ar"/>
                    </w:rPr>
                    <w:t>符合</w:t>
                  </w:r>
                </w:p>
              </w:tc>
            </w:tr>
            <w:tr w14:paraId="5CA60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restart"/>
                  <w:noWrap w:val="0"/>
                  <w:vAlign w:val="center"/>
                </w:tcPr>
                <w:p w14:paraId="13BF8C39">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both"/>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b w:val="0"/>
                      <w:bCs w:val="0"/>
                      <w:color w:val="auto"/>
                      <w:kern w:val="0"/>
                      <w:sz w:val="21"/>
                      <w:szCs w:val="21"/>
                      <w:highlight w:val="none"/>
                      <w:vertAlign w:val="baseline"/>
                      <w:lang w:val="en-US" w:eastAsia="zh-CN" w:bidi="ar"/>
                    </w:rPr>
                    <w:t>环境质量底线</w:t>
                  </w:r>
                </w:p>
              </w:tc>
              <w:tc>
                <w:tcPr>
                  <w:tcW w:w="452" w:type="pct"/>
                  <w:gridSpan w:val="3"/>
                  <w:tcBorders>
                    <w:bottom w:val="single" w:color="000000" w:sz="4" w:space="0"/>
                    <w:right w:val="single" w:color="000000" w:sz="4" w:space="0"/>
                  </w:tcBorders>
                  <w:noWrap w:val="0"/>
                  <w:vAlign w:val="center"/>
                </w:tcPr>
                <w:p w14:paraId="0C44C581">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水环境质量底线</w:t>
                  </w:r>
                </w:p>
              </w:tc>
              <w:tc>
                <w:tcPr>
                  <w:tcW w:w="1944" w:type="pct"/>
                  <w:tcBorders>
                    <w:left w:val="single" w:color="000000" w:sz="4" w:space="0"/>
                    <w:bottom w:val="single" w:color="000000" w:sz="4" w:space="0"/>
                  </w:tcBorders>
                  <w:noWrap w:val="0"/>
                  <w:vAlign w:val="center"/>
                </w:tcPr>
                <w:p w14:paraId="24AF98E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到2025年，昆明市地表水国控断面达到或好于Ⅲ类水体比例应达到81.5%，45个省控断面达到或好于Ⅲ类水体比例应达到80%，劣V类水体全面消除，县级及以上集中式饮用水水源地水质达标率100%。</w:t>
                  </w:r>
                </w:p>
              </w:tc>
              <w:tc>
                <w:tcPr>
                  <w:tcW w:w="1858" w:type="pct"/>
                  <w:gridSpan w:val="2"/>
                  <w:tcBorders>
                    <w:bottom w:val="single" w:color="000000" w:sz="4" w:space="0"/>
                  </w:tcBorders>
                  <w:noWrap w:val="0"/>
                  <w:vAlign w:val="center"/>
                </w:tcPr>
                <w:p w14:paraId="65CD318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sz w:val="21"/>
                      <w:szCs w:val="21"/>
                      <w:highlight w:val="none"/>
                    </w:rPr>
                    <w:t>项目所在区域主要地表水体环境质量现状良好，属于达标区。本项目</w:t>
                  </w:r>
                  <w:r>
                    <w:rPr>
                      <w:rFonts w:hint="default" w:ascii="Times New Roman" w:hAnsi="Times New Roman" w:cs="Times New Roman" w:eastAsiaTheme="minorEastAsia"/>
                      <w:color w:val="auto"/>
                      <w:sz w:val="21"/>
                      <w:szCs w:val="21"/>
                      <w:highlight w:val="none"/>
                      <w:lang w:eastAsia="zh-CN"/>
                    </w:rPr>
                    <w:t>运营期</w:t>
                  </w:r>
                  <w:r>
                    <w:rPr>
                      <w:rFonts w:hint="default" w:ascii="Times New Roman" w:hAnsi="Times New Roman" w:cs="Times New Roman" w:eastAsiaTheme="minorEastAsia"/>
                      <w:color w:val="auto"/>
                      <w:sz w:val="21"/>
                      <w:szCs w:val="21"/>
                      <w:highlight w:val="none"/>
                      <w:lang w:val="en-US" w:eastAsia="zh-CN"/>
                    </w:rPr>
                    <w:t>废污水依托现有项目处理设施处理后进入寻甸县污水处理厂处理，不直接进入区域地表水对</w:t>
                  </w:r>
                  <w:r>
                    <w:rPr>
                      <w:rFonts w:hint="default" w:ascii="Times New Roman" w:hAnsi="Times New Roman" w:cs="Times New Roman" w:eastAsiaTheme="minorEastAsia"/>
                      <w:color w:val="auto"/>
                      <w:sz w:val="21"/>
                      <w:szCs w:val="21"/>
                      <w:highlight w:val="none"/>
                    </w:rPr>
                    <w:t>区域地表水环境质量</w:t>
                  </w:r>
                  <w:r>
                    <w:rPr>
                      <w:rFonts w:hint="default" w:ascii="Times New Roman" w:hAnsi="Times New Roman" w:cs="Times New Roman" w:eastAsiaTheme="minorEastAsia"/>
                      <w:color w:val="auto"/>
                      <w:sz w:val="21"/>
                      <w:szCs w:val="21"/>
                      <w:highlight w:val="none"/>
                      <w:lang w:val="en-US" w:eastAsia="zh-CN"/>
                    </w:rPr>
                    <w:t>影响小</w:t>
                  </w:r>
                  <w:r>
                    <w:rPr>
                      <w:rFonts w:hint="default" w:ascii="Times New Roman" w:hAnsi="Times New Roman" w:cs="Times New Roman" w:eastAsiaTheme="minorEastAsia"/>
                      <w:color w:val="auto"/>
                      <w:sz w:val="21"/>
                      <w:szCs w:val="21"/>
                      <w:highlight w:val="none"/>
                    </w:rPr>
                    <w:t>。</w:t>
                  </w:r>
                </w:p>
              </w:tc>
              <w:tc>
                <w:tcPr>
                  <w:tcW w:w="477" w:type="pct"/>
                  <w:tcBorders>
                    <w:bottom w:val="single" w:color="000000" w:sz="4" w:space="0"/>
                  </w:tcBorders>
                  <w:noWrap w:val="0"/>
                  <w:vAlign w:val="center"/>
                </w:tcPr>
                <w:p w14:paraId="6BC64702">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b w:val="0"/>
                      <w:bCs w:val="0"/>
                      <w:color w:val="auto"/>
                      <w:kern w:val="0"/>
                      <w:sz w:val="21"/>
                      <w:szCs w:val="21"/>
                      <w:highlight w:val="none"/>
                      <w:vertAlign w:val="baseline"/>
                      <w:lang w:val="en-US" w:eastAsia="zh-CN" w:bidi="ar"/>
                    </w:rPr>
                    <w:t>符合</w:t>
                  </w:r>
                </w:p>
              </w:tc>
            </w:tr>
            <w:tr w14:paraId="75A1F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noWrap w:val="0"/>
                  <w:vAlign w:val="center"/>
                </w:tcPr>
                <w:p w14:paraId="52458AFF">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b w:val="0"/>
                      <w:bCs w:val="0"/>
                      <w:color w:val="auto"/>
                      <w:kern w:val="0"/>
                      <w:sz w:val="21"/>
                      <w:szCs w:val="21"/>
                      <w:highlight w:val="none"/>
                      <w:vertAlign w:val="baseline"/>
                      <w:lang w:val="en-US" w:eastAsia="zh-CN" w:bidi="ar"/>
                    </w:rPr>
                  </w:pPr>
                </w:p>
              </w:tc>
              <w:tc>
                <w:tcPr>
                  <w:tcW w:w="452" w:type="pct"/>
                  <w:gridSpan w:val="3"/>
                  <w:tcBorders>
                    <w:top w:val="single" w:color="000000" w:sz="4" w:space="0"/>
                    <w:bottom w:val="single" w:color="000000" w:sz="4" w:space="0"/>
                    <w:right w:val="single" w:color="000000" w:sz="4" w:space="0"/>
                  </w:tcBorders>
                  <w:noWrap w:val="0"/>
                  <w:vAlign w:val="center"/>
                </w:tcPr>
                <w:p w14:paraId="1A40B619">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大气环境质量底线</w:t>
                  </w:r>
                </w:p>
              </w:tc>
              <w:tc>
                <w:tcPr>
                  <w:tcW w:w="1944" w:type="pct"/>
                  <w:tcBorders>
                    <w:top w:val="single" w:color="000000" w:sz="4" w:space="0"/>
                    <w:left w:val="single" w:color="000000" w:sz="4" w:space="0"/>
                    <w:bottom w:val="single" w:color="000000" w:sz="4" w:space="0"/>
                  </w:tcBorders>
                  <w:noWrap w:val="0"/>
                  <w:vAlign w:val="center"/>
                </w:tcPr>
                <w:p w14:paraId="741EA17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到2025年，空气质量优良天数比率达99.1%，细颗粒物（PM2.5）浓度不高于24微克/立方米，重污染天数为0。</w:t>
                  </w:r>
                </w:p>
              </w:tc>
              <w:tc>
                <w:tcPr>
                  <w:tcW w:w="1858" w:type="pct"/>
                  <w:gridSpan w:val="2"/>
                  <w:tcBorders>
                    <w:top w:val="single" w:color="000000" w:sz="4" w:space="0"/>
                    <w:bottom w:val="single" w:color="000000" w:sz="4" w:space="0"/>
                  </w:tcBorders>
                  <w:noWrap w:val="0"/>
                  <w:vAlign w:val="center"/>
                </w:tcPr>
                <w:p w14:paraId="21F65470">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sz w:val="21"/>
                      <w:szCs w:val="21"/>
                      <w:highlight w:val="none"/>
                    </w:rPr>
                    <w:t>根据《202</w:t>
                  </w:r>
                  <w:r>
                    <w:rPr>
                      <w:rFonts w:hint="default" w:ascii="Times New Roman" w:hAnsi="Times New Roman" w:cs="Times New Roman" w:eastAsiaTheme="minorEastAsia"/>
                      <w:color w:val="auto"/>
                      <w:sz w:val="21"/>
                      <w:szCs w:val="21"/>
                      <w:highlight w:val="none"/>
                      <w:lang w:val="en-US" w:eastAsia="zh-CN"/>
                    </w:rPr>
                    <w:t>4</w:t>
                  </w:r>
                  <w:r>
                    <w:rPr>
                      <w:rFonts w:hint="default" w:ascii="Times New Roman" w:hAnsi="Times New Roman" w:cs="Times New Roman" w:eastAsiaTheme="minorEastAsia"/>
                      <w:color w:val="auto"/>
                      <w:sz w:val="21"/>
                      <w:szCs w:val="21"/>
                      <w:highlight w:val="none"/>
                    </w:rPr>
                    <w:t>年昆明市生态环境状况公报》</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rPr>
                    <w:t>项目</w:t>
                  </w:r>
                  <w:r>
                    <w:rPr>
                      <w:rFonts w:hint="default" w:ascii="Times New Roman" w:hAnsi="Times New Roman" w:cs="Times New Roman" w:eastAsiaTheme="minorEastAsia"/>
                      <w:color w:val="auto"/>
                      <w:sz w:val="21"/>
                      <w:szCs w:val="21"/>
                      <w:highlight w:val="none"/>
                      <w:lang w:val="en-US" w:eastAsia="zh-CN"/>
                    </w:rPr>
                    <w:t>所在区域</w:t>
                  </w:r>
                  <w:r>
                    <w:rPr>
                      <w:rFonts w:hint="default" w:ascii="Times New Roman" w:hAnsi="Times New Roman" w:cs="Times New Roman" w:eastAsiaTheme="minorEastAsia"/>
                      <w:color w:val="auto"/>
                      <w:sz w:val="21"/>
                      <w:szCs w:val="21"/>
                      <w:highlight w:val="none"/>
                    </w:rPr>
                    <w:t>属于环境空气质量达标区</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rPr>
                    <w:t>项目运营期产生的大气污染物</w:t>
                  </w:r>
                  <w:r>
                    <w:rPr>
                      <w:rFonts w:hint="default" w:ascii="Times New Roman" w:hAnsi="Times New Roman" w:cs="Times New Roman" w:eastAsiaTheme="minorEastAsia"/>
                      <w:color w:val="auto"/>
                      <w:sz w:val="21"/>
                      <w:szCs w:val="21"/>
                      <w:highlight w:val="none"/>
                      <w:lang w:val="en-US" w:eastAsia="zh-CN"/>
                    </w:rPr>
                    <w:t>为</w:t>
                  </w:r>
                  <w:r>
                    <w:rPr>
                      <w:rFonts w:hint="default" w:ascii="Times New Roman" w:hAnsi="Times New Roman" w:cs="Times New Roman" w:eastAsiaTheme="minorEastAsia"/>
                      <w:color w:val="auto"/>
                      <w:sz w:val="21"/>
                      <w:szCs w:val="21"/>
                      <w:highlight w:val="none"/>
                      <w:lang w:eastAsia="zh-CN"/>
                    </w:rPr>
                    <w:t>颗粒物</w:t>
                  </w:r>
                  <w:r>
                    <w:rPr>
                      <w:rFonts w:hint="default" w:ascii="Times New Roman" w:hAnsi="Times New Roman" w:cs="Times New Roman" w:eastAsiaTheme="minorEastAsia"/>
                      <w:color w:val="auto"/>
                      <w:sz w:val="21"/>
                      <w:szCs w:val="21"/>
                      <w:highlight w:val="none"/>
                      <w:lang w:val="en-US" w:eastAsia="zh-CN"/>
                    </w:rPr>
                    <w:t>经布袋除尘器处理后达标排放</w:t>
                  </w:r>
                  <w:r>
                    <w:rPr>
                      <w:rFonts w:hint="default" w:ascii="Times New Roman" w:hAnsi="Times New Roman" w:cs="Times New Roman" w:eastAsiaTheme="minorEastAsia"/>
                      <w:color w:val="auto"/>
                      <w:sz w:val="21"/>
                      <w:szCs w:val="21"/>
                      <w:highlight w:val="none"/>
                    </w:rPr>
                    <w:t>，</w:t>
                  </w:r>
                  <w:r>
                    <w:rPr>
                      <w:rFonts w:hint="default" w:ascii="Times New Roman" w:hAnsi="Times New Roman" w:cs="Times New Roman" w:eastAsiaTheme="minorEastAsia"/>
                      <w:color w:val="auto"/>
                      <w:sz w:val="21"/>
                      <w:szCs w:val="21"/>
                      <w:highlight w:val="none"/>
                      <w:lang w:val="en-US" w:eastAsia="zh-CN"/>
                    </w:rPr>
                    <w:t>氨、硫化氢等经生物除臭处理后达标排放</w:t>
                  </w:r>
                  <w:r>
                    <w:rPr>
                      <w:rFonts w:hint="default" w:ascii="Times New Roman" w:hAnsi="Times New Roman" w:cs="Times New Roman" w:eastAsiaTheme="minorEastAsia"/>
                      <w:color w:val="auto"/>
                      <w:sz w:val="21"/>
                      <w:szCs w:val="21"/>
                      <w:highlight w:val="none"/>
                    </w:rPr>
                    <w:t>对大气环境质量影响较小，不会突破当地环境质量底线。</w:t>
                  </w:r>
                </w:p>
              </w:tc>
              <w:tc>
                <w:tcPr>
                  <w:tcW w:w="477" w:type="pct"/>
                  <w:tcBorders>
                    <w:top w:val="single" w:color="000000" w:sz="4" w:space="0"/>
                    <w:bottom w:val="single" w:color="000000" w:sz="4" w:space="0"/>
                  </w:tcBorders>
                  <w:noWrap w:val="0"/>
                  <w:vAlign w:val="center"/>
                </w:tcPr>
                <w:p w14:paraId="738F73E3">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b w:val="0"/>
                      <w:bCs w:val="0"/>
                      <w:color w:val="auto"/>
                      <w:kern w:val="0"/>
                      <w:sz w:val="21"/>
                      <w:szCs w:val="21"/>
                      <w:highlight w:val="none"/>
                      <w:vertAlign w:val="baseline"/>
                      <w:lang w:val="en-US" w:eastAsia="zh-CN" w:bidi="ar"/>
                    </w:rPr>
                  </w:pPr>
                  <w:r>
                    <w:rPr>
                      <w:rFonts w:hint="default" w:ascii="Times New Roman" w:hAnsi="Times New Roman" w:cs="Times New Roman" w:eastAsiaTheme="minorEastAsia"/>
                      <w:b w:val="0"/>
                      <w:bCs w:val="0"/>
                      <w:color w:val="auto"/>
                      <w:kern w:val="0"/>
                      <w:sz w:val="21"/>
                      <w:szCs w:val="21"/>
                      <w:highlight w:val="none"/>
                      <w:vertAlign w:val="baseline"/>
                      <w:lang w:val="en-US" w:eastAsia="zh-CN" w:bidi="ar"/>
                    </w:rPr>
                    <w:t>符合</w:t>
                  </w:r>
                </w:p>
              </w:tc>
            </w:tr>
            <w:tr w14:paraId="43C6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noWrap w:val="0"/>
                  <w:vAlign w:val="center"/>
                </w:tcPr>
                <w:p w14:paraId="26069306">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b w:val="0"/>
                      <w:bCs w:val="0"/>
                      <w:color w:val="auto"/>
                      <w:kern w:val="0"/>
                      <w:sz w:val="21"/>
                      <w:szCs w:val="21"/>
                      <w:highlight w:val="none"/>
                      <w:vertAlign w:val="baseline"/>
                      <w:lang w:val="en-US" w:eastAsia="zh-CN" w:bidi="ar"/>
                    </w:rPr>
                  </w:pPr>
                </w:p>
              </w:tc>
              <w:tc>
                <w:tcPr>
                  <w:tcW w:w="452" w:type="pct"/>
                  <w:gridSpan w:val="3"/>
                  <w:tcBorders>
                    <w:top w:val="single" w:color="000000" w:sz="4" w:space="0"/>
                    <w:right w:val="single" w:color="000000" w:sz="4" w:space="0"/>
                  </w:tcBorders>
                  <w:noWrap w:val="0"/>
                  <w:vAlign w:val="center"/>
                </w:tcPr>
                <w:p w14:paraId="7F3FC872">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土壤环境风险防控底线</w:t>
                  </w:r>
                </w:p>
              </w:tc>
              <w:tc>
                <w:tcPr>
                  <w:tcW w:w="1944" w:type="pct"/>
                  <w:tcBorders>
                    <w:top w:val="single" w:color="000000" w:sz="4" w:space="0"/>
                    <w:left w:val="single" w:color="000000" w:sz="4" w:space="0"/>
                  </w:tcBorders>
                  <w:noWrap w:val="0"/>
                  <w:vAlign w:val="center"/>
                </w:tcPr>
                <w:p w14:paraId="6A87181E">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right="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全市土壤环境质量总体保持稳定，局部稳中向好，受污染耕地安全利用率不低于90%，重点建设用地安全利用得到有效保障。</w:t>
                  </w:r>
                </w:p>
              </w:tc>
              <w:tc>
                <w:tcPr>
                  <w:tcW w:w="1858" w:type="pct"/>
                  <w:gridSpan w:val="2"/>
                  <w:tcBorders>
                    <w:top w:val="single" w:color="000000" w:sz="4" w:space="0"/>
                  </w:tcBorders>
                  <w:noWrap w:val="0"/>
                  <w:vAlign w:val="center"/>
                </w:tcPr>
                <w:p w14:paraId="59C25498">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both"/>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sz w:val="21"/>
                      <w:szCs w:val="21"/>
                      <w:highlight w:val="none"/>
                      <w:lang w:val="en-US" w:eastAsia="zh-CN"/>
                    </w:rPr>
                    <w:t>本项目占地属于土地资源一般管控区，不占用永久基本农田、城镇空间等，符合国土空间总体规划管控规则，符合土地资源利用上线要求。项目区采取分区防渗，并采取定期检查消除污染隐患，发现有污染物泄漏或渗漏，及时修补，避免对土壤及地下水环境造成影响</w:t>
                  </w:r>
                  <w:r>
                    <w:rPr>
                      <w:rFonts w:hint="default" w:ascii="Times New Roman" w:hAnsi="Times New Roman" w:cs="Times New Roman" w:eastAsiaTheme="minorEastAsia"/>
                      <w:color w:val="auto"/>
                      <w:sz w:val="21"/>
                      <w:szCs w:val="21"/>
                      <w:highlight w:val="none"/>
                    </w:rPr>
                    <w:t>。</w:t>
                  </w:r>
                  <w:r>
                    <w:rPr>
                      <w:rFonts w:hint="default" w:ascii="Times New Roman" w:hAnsi="Times New Roman" w:cs="Times New Roman" w:eastAsiaTheme="minorEastAsia"/>
                      <w:color w:val="auto"/>
                      <w:sz w:val="21"/>
                      <w:szCs w:val="21"/>
                      <w:highlight w:val="none"/>
                      <w:lang w:val="en-US" w:eastAsia="zh-CN"/>
                    </w:rPr>
                    <w:t>综上，项目建设</w:t>
                  </w:r>
                  <w:r>
                    <w:rPr>
                      <w:rFonts w:hint="default" w:ascii="Times New Roman" w:hAnsi="Times New Roman" w:cs="Times New Roman" w:eastAsiaTheme="minorEastAsia"/>
                      <w:color w:val="auto"/>
                      <w:sz w:val="21"/>
                      <w:szCs w:val="21"/>
                      <w:highlight w:val="none"/>
                    </w:rPr>
                    <w:t>对土壤环境质量影响较小</w:t>
                  </w:r>
                  <w:r>
                    <w:rPr>
                      <w:rFonts w:hint="default" w:ascii="Times New Roman" w:hAnsi="Times New Roman" w:cs="Times New Roman" w:eastAsiaTheme="minorEastAsia"/>
                      <w:color w:val="auto"/>
                      <w:sz w:val="21"/>
                      <w:szCs w:val="21"/>
                      <w:highlight w:val="none"/>
                      <w:lang w:eastAsia="zh-CN"/>
                    </w:rPr>
                    <w:t>，不会突破项目所在地的土壤环境风险防控底线</w:t>
                  </w:r>
                  <w:r>
                    <w:rPr>
                      <w:rFonts w:hint="default" w:ascii="Times New Roman" w:hAnsi="Times New Roman" w:cs="Times New Roman" w:eastAsiaTheme="minorEastAsia"/>
                      <w:color w:val="auto"/>
                      <w:sz w:val="21"/>
                      <w:szCs w:val="21"/>
                      <w:highlight w:val="none"/>
                    </w:rPr>
                    <w:t>。</w:t>
                  </w:r>
                </w:p>
              </w:tc>
              <w:tc>
                <w:tcPr>
                  <w:tcW w:w="477" w:type="pct"/>
                  <w:tcBorders>
                    <w:top w:val="single" w:color="000000" w:sz="4" w:space="0"/>
                  </w:tcBorders>
                  <w:noWrap w:val="0"/>
                  <w:vAlign w:val="center"/>
                </w:tcPr>
                <w:p w14:paraId="4E3C657D">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b w:val="0"/>
                      <w:bCs w:val="0"/>
                      <w:color w:val="auto"/>
                      <w:kern w:val="0"/>
                      <w:sz w:val="21"/>
                      <w:szCs w:val="21"/>
                      <w:highlight w:val="none"/>
                      <w:vertAlign w:val="baseline"/>
                      <w:lang w:val="en-US" w:eastAsia="zh-CN" w:bidi="ar"/>
                    </w:rPr>
                  </w:pPr>
                  <w:r>
                    <w:rPr>
                      <w:rFonts w:hint="default" w:ascii="Times New Roman" w:hAnsi="Times New Roman" w:cs="Times New Roman" w:eastAsiaTheme="minorEastAsia"/>
                      <w:b w:val="0"/>
                      <w:bCs w:val="0"/>
                      <w:color w:val="auto"/>
                      <w:kern w:val="0"/>
                      <w:sz w:val="21"/>
                      <w:szCs w:val="21"/>
                      <w:highlight w:val="none"/>
                      <w:vertAlign w:val="baseline"/>
                      <w:lang w:val="en-US" w:eastAsia="zh-CN" w:bidi="ar"/>
                    </w:rPr>
                    <w:t>符合</w:t>
                  </w:r>
                </w:p>
              </w:tc>
            </w:tr>
            <w:tr w14:paraId="54034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restart"/>
                  <w:noWrap w:val="0"/>
                  <w:vAlign w:val="center"/>
                </w:tcPr>
                <w:p w14:paraId="545B484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leftChars="0" w:right="0" w:firstLine="0" w:firstLineChars="0"/>
                    <w:jc w:val="center"/>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资源利用上线</w:t>
                  </w:r>
                </w:p>
              </w:tc>
              <w:tc>
                <w:tcPr>
                  <w:tcW w:w="452" w:type="pct"/>
                  <w:gridSpan w:val="3"/>
                  <w:tcBorders>
                    <w:bottom w:val="single" w:color="000000" w:sz="4" w:space="0"/>
                    <w:right w:val="single" w:color="000000" w:sz="4" w:space="0"/>
                  </w:tcBorders>
                  <w:noWrap w:val="0"/>
                  <w:vAlign w:val="center"/>
                </w:tcPr>
                <w:p w14:paraId="1C8E102B">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水资源利用上线</w:t>
                  </w:r>
                </w:p>
              </w:tc>
              <w:tc>
                <w:tcPr>
                  <w:tcW w:w="1944" w:type="pct"/>
                  <w:tcBorders>
                    <w:left w:val="single" w:color="000000" w:sz="4" w:space="0"/>
                    <w:bottom w:val="single" w:color="000000" w:sz="4" w:space="0"/>
                  </w:tcBorders>
                  <w:noWrap w:val="0"/>
                  <w:vAlign w:val="center"/>
                </w:tcPr>
                <w:p w14:paraId="4AF445CC">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right="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到2025年，按照国家、省、市有关要求和规划，按时完成全市用水总量、用水效率、限制纳污“三条红线”水资源上限控制指标；</w:t>
                  </w:r>
                </w:p>
              </w:tc>
              <w:tc>
                <w:tcPr>
                  <w:tcW w:w="1858" w:type="pct"/>
                  <w:gridSpan w:val="2"/>
                  <w:tcBorders>
                    <w:bottom w:val="single" w:color="000000" w:sz="4" w:space="0"/>
                  </w:tcBorders>
                  <w:noWrap w:val="0"/>
                  <w:vAlign w:val="center"/>
                </w:tcPr>
                <w:p w14:paraId="65AC4801">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right="0" w:firstLine="0" w:firstLineChars="0"/>
                    <w:jc w:val="both"/>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本项目不涉及工艺用水，用水主要环节为办公生活，该环节用水量较少，不会突破水资源利用上限。</w:t>
                  </w:r>
                </w:p>
              </w:tc>
              <w:tc>
                <w:tcPr>
                  <w:tcW w:w="477" w:type="pct"/>
                  <w:tcBorders>
                    <w:bottom w:val="single" w:color="000000" w:sz="4" w:space="0"/>
                  </w:tcBorders>
                  <w:noWrap w:val="0"/>
                  <w:vAlign w:val="center"/>
                </w:tcPr>
                <w:p w14:paraId="4D626280">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b/>
                      <w:bCs/>
                      <w:color w:val="auto"/>
                      <w:kern w:val="0"/>
                      <w:sz w:val="21"/>
                      <w:szCs w:val="21"/>
                      <w:highlight w:val="none"/>
                      <w:vertAlign w:val="baseline"/>
                      <w:lang w:val="en-US" w:eastAsia="zh-CN" w:bidi="ar"/>
                    </w:rPr>
                  </w:pPr>
                  <w:r>
                    <w:rPr>
                      <w:rFonts w:hint="default" w:ascii="Times New Roman" w:hAnsi="Times New Roman" w:cs="Times New Roman" w:eastAsiaTheme="minorEastAsia"/>
                      <w:b w:val="0"/>
                      <w:bCs w:val="0"/>
                      <w:color w:val="auto"/>
                      <w:kern w:val="0"/>
                      <w:sz w:val="21"/>
                      <w:szCs w:val="21"/>
                      <w:highlight w:val="none"/>
                      <w:vertAlign w:val="baseline"/>
                      <w:lang w:val="en-US" w:eastAsia="zh-CN" w:bidi="ar"/>
                    </w:rPr>
                    <w:t>符合</w:t>
                  </w:r>
                </w:p>
              </w:tc>
            </w:tr>
            <w:tr w14:paraId="03FCE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noWrap w:val="0"/>
                  <w:vAlign w:val="center"/>
                </w:tcPr>
                <w:p w14:paraId="1C12F01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leftChars="0" w:right="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p>
              </w:tc>
              <w:tc>
                <w:tcPr>
                  <w:tcW w:w="452" w:type="pct"/>
                  <w:gridSpan w:val="3"/>
                  <w:tcBorders>
                    <w:top w:val="single" w:color="000000" w:sz="4" w:space="0"/>
                    <w:bottom w:val="single" w:color="000000" w:sz="4" w:space="0"/>
                    <w:right w:val="single" w:color="000000" w:sz="4" w:space="0"/>
                  </w:tcBorders>
                  <w:noWrap w:val="0"/>
                  <w:vAlign w:val="center"/>
                </w:tcPr>
                <w:p w14:paraId="6DE0EBB6">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土地资源利用上线</w:t>
                  </w:r>
                </w:p>
              </w:tc>
              <w:tc>
                <w:tcPr>
                  <w:tcW w:w="1944" w:type="pct"/>
                  <w:tcBorders>
                    <w:top w:val="single" w:color="000000" w:sz="4" w:space="0"/>
                    <w:left w:val="single" w:color="000000" w:sz="4" w:space="0"/>
                    <w:bottom w:val="single" w:color="000000" w:sz="4" w:space="0"/>
                  </w:tcBorders>
                  <w:noWrap w:val="0"/>
                  <w:vAlign w:val="center"/>
                </w:tcPr>
                <w:p w14:paraId="21D335A1">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right="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按时完成耕地保有量、基本农田保护面积、建设用地总规模等土地资源利用上限控制指标；</w:t>
                  </w:r>
                </w:p>
              </w:tc>
              <w:tc>
                <w:tcPr>
                  <w:tcW w:w="1858" w:type="pct"/>
                  <w:gridSpan w:val="2"/>
                  <w:tcBorders>
                    <w:top w:val="single" w:color="000000" w:sz="4" w:space="0"/>
                    <w:bottom w:val="single" w:color="000000" w:sz="4" w:space="0"/>
                  </w:tcBorders>
                  <w:noWrap w:val="0"/>
                  <w:vAlign w:val="center"/>
                </w:tcPr>
                <w:p w14:paraId="562D7FC5">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right="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根据寻甸回族彝族自治县自然资源局关于本项目用地范围是否涉及永久基本农田、生态保护红线及城镇开发边界的情况说明（附件6）</w:t>
                  </w:r>
                  <w:r>
                    <w:rPr>
                      <w:rFonts w:hint="default" w:ascii="Times New Roman" w:hAnsi="Times New Roman" w:cs="Times New Roman" w:eastAsiaTheme="minorEastAsia"/>
                      <w:b w:val="0"/>
                      <w:bCs w:val="0"/>
                      <w:color w:val="auto"/>
                      <w:kern w:val="0"/>
                      <w:sz w:val="21"/>
                      <w:szCs w:val="21"/>
                      <w:highlight w:val="none"/>
                      <w:vertAlign w:val="baseline"/>
                      <w:lang w:val="en-US" w:eastAsia="zh-CN" w:bidi="ar"/>
                    </w:rPr>
                    <w:t>，项目新增用地属于工业用地，</w:t>
                  </w:r>
                  <w:r>
                    <w:rPr>
                      <w:rFonts w:hint="default" w:ascii="Times New Roman" w:hAnsi="Times New Roman" w:cs="Times New Roman" w:eastAsiaTheme="minorEastAsia"/>
                      <w:color w:val="auto"/>
                      <w:kern w:val="0"/>
                      <w:sz w:val="21"/>
                      <w:szCs w:val="21"/>
                      <w:highlight w:val="none"/>
                      <w:lang w:val="en-US" w:eastAsia="zh-CN" w:bidi="ar"/>
                    </w:rPr>
                    <w:t>不涉及永久基本农田和耕地的占用不会突破土地利用上限。</w:t>
                  </w:r>
                </w:p>
              </w:tc>
              <w:tc>
                <w:tcPr>
                  <w:tcW w:w="477" w:type="pct"/>
                  <w:tcBorders>
                    <w:top w:val="single" w:color="000000" w:sz="4" w:space="0"/>
                    <w:bottom w:val="single" w:color="000000" w:sz="4" w:space="0"/>
                  </w:tcBorders>
                  <w:noWrap w:val="0"/>
                  <w:vAlign w:val="center"/>
                </w:tcPr>
                <w:p w14:paraId="15712139">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b w:val="0"/>
                      <w:bCs w:val="0"/>
                      <w:color w:val="auto"/>
                      <w:kern w:val="0"/>
                      <w:sz w:val="21"/>
                      <w:szCs w:val="21"/>
                      <w:highlight w:val="none"/>
                      <w:vertAlign w:val="baseline"/>
                      <w:lang w:val="en-US" w:eastAsia="zh-CN" w:bidi="ar"/>
                    </w:rPr>
                  </w:pPr>
                  <w:r>
                    <w:rPr>
                      <w:rFonts w:hint="default" w:ascii="Times New Roman" w:hAnsi="Times New Roman" w:cs="Times New Roman" w:eastAsiaTheme="minorEastAsia"/>
                      <w:b w:val="0"/>
                      <w:bCs w:val="0"/>
                      <w:color w:val="auto"/>
                      <w:kern w:val="0"/>
                      <w:sz w:val="21"/>
                      <w:szCs w:val="21"/>
                      <w:highlight w:val="none"/>
                      <w:vertAlign w:val="baseline"/>
                      <w:lang w:val="en-US" w:eastAsia="zh-CN" w:bidi="ar"/>
                    </w:rPr>
                    <w:t>符合</w:t>
                  </w:r>
                </w:p>
              </w:tc>
            </w:tr>
            <w:tr w14:paraId="58F8D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noWrap w:val="0"/>
                  <w:vAlign w:val="center"/>
                </w:tcPr>
                <w:p w14:paraId="203878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leftChars="0" w:right="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p>
              </w:tc>
              <w:tc>
                <w:tcPr>
                  <w:tcW w:w="452" w:type="pct"/>
                  <w:gridSpan w:val="3"/>
                  <w:tcBorders>
                    <w:top w:val="single" w:color="000000" w:sz="4" w:space="0"/>
                    <w:right w:val="single" w:color="000000" w:sz="4" w:space="0"/>
                  </w:tcBorders>
                  <w:noWrap w:val="0"/>
                  <w:vAlign w:val="center"/>
                </w:tcPr>
                <w:p w14:paraId="5A5E383A">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能源利用上线</w:t>
                  </w:r>
                </w:p>
              </w:tc>
              <w:tc>
                <w:tcPr>
                  <w:tcW w:w="1944" w:type="pct"/>
                  <w:tcBorders>
                    <w:top w:val="single" w:color="000000" w:sz="4" w:space="0"/>
                    <w:left w:val="single" w:color="000000" w:sz="4" w:space="0"/>
                  </w:tcBorders>
                  <w:noWrap w:val="0"/>
                  <w:vAlign w:val="center"/>
                </w:tcPr>
                <w:p w14:paraId="77576736">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right="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按时完成单位GDP能耗下降率、能源消费总量等能源控制指标。</w:t>
                  </w:r>
                </w:p>
              </w:tc>
              <w:tc>
                <w:tcPr>
                  <w:tcW w:w="1858" w:type="pct"/>
                  <w:gridSpan w:val="2"/>
                  <w:tcBorders>
                    <w:top w:val="single" w:color="000000" w:sz="4" w:space="0"/>
                  </w:tcBorders>
                  <w:noWrap w:val="0"/>
                  <w:vAlign w:val="center"/>
                </w:tcPr>
                <w:p w14:paraId="6E5033CC">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right="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本项目能耗主要为电能，不属于高耗能企业。</w:t>
                  </w:r>
                </w:p>
              </w:tc>
              <w:tc>
                <w:tcPr>
                  <w:tcW w:w="477" w:type="pct"/>
                  <w:tcBorders>
                    <w:top w:val="single" w:color="000000" w:sz="4" w:space="0"/>
                  </w:tcBorders>
                  <w:noWrap w:val="0"/>
                  <w:vAlign w:val="center"/>
                </w:tcPr>
                <w:p w14:paraId="41421221">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b w:val="0"/>
                      <w:bCs w:val="0"/>
                      <w:color w:val="auto"/>
                      <w:kern w:val="0"/>
                      <w:sz w:val="21"/>
                      <w:szCs w:val="21"/>
                      <w:highlight w:val="none"/>
                      <w:vertAlign w:val="baseline"/>
                      <w:lang w:val="en-US" w:eastAsia="zh-CN" w:bidi="ar"/>
                    </w:rPr>
                  </w:pPr>
                  <w:r>
                    <w:rPr>
                      <w:rFonts w:hint="default" w:ascii="Times New Roman" w:hAnsi="Times New Roman" w:cs="Times New Roman" w:eastAsiaTheme="minorEastAsia"/>
                      <w:b w:val="0"/>
                      <w:bCs w:val="0"/>
                      <w:color w:val="auto"/>
                      <w:kern w:val="0"/>
                      <w:sz w:val="21"/>
                      <w:szCs w:val="21"/>
                      <w:highlight w:val="none"/>
                      <w:vertAlign w:val="baseline"/>
                      <w:lang w:val="en-US" w:eastAsia="zh-CN" w:bidi="ar"/>
                    </w:rPr>
                    <w:t>符合</w:t>
                  </w:r>
                </w:p>
              </w:tc>
            </w:tr>
            <w:tr w14:paraId="156BF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noWrap w:val="0"/>
                  <w:vAlign w:val="center"/>
                </w:tcPr>
                <w:p w14:paraId="41BD0ED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leftChars="0" w:right="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二</w:t>
                  </w:r>
                </w:p>
              </w:tc>
              <w:tc>
                <w:tcPr>
                  <w:tcW w:w="4733" w:type="pct"/>
                  <w:gridSpan w:val="7"/>
                  <w:tcBorders>
                    <w:top w:val="single" w:color="000000" w:sz="4" w:space="0"/>
                  </w:tcBorders>
                  <w:noWrap w:val="0"/>
                  <w:vAlign w:val="center"/>
                </w:tcPr>
                <w:p w14:paraId="3906B897">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b w:val="0"/>
                      <w:bCs w:val="0"/>
                      <w:color w:val="auto"/>
                      <w:kern w:val="0"/>
                      <w:sz w:val="21"/>
                      <w:szCs w:val="21"/>
                      <w:highlight w:val="none"/>
                      <w:vertAlign w:val="baseline"/>
                      <w:lang w:val="en-US" w:eastAsia="zh-CN" w:bidi="ar"/>
                    </w:rPr>
                  </w:pPr>
                  <w:r>
                    <w:rPr>
                      <w:rFonts w:hint="default" w:ascii="Times New Roman" w:hAnsi="Times New Roman" w:cs="Times New Roman" w:eastAsiaTheme="minorEastAsia"/>
                      <w:b w:val="0"/>
                      <w:bCs w:val="0"/>
                      <w:color w:val="auto"/>
                      <w:kern w:val="0"/>
                      <w:sz w:val="21"/>
                      <w:szCs w:val="21"/>
                      <w:highlight w:val="none"/>
                      <w:vertAlign w:val="baseline"/>
                      <w:lang w:val="en-US" w:eastAsia="zh-CN" w:bidi="ar"/>
                    </w:rPr>
                    <w:t>生态环境准入清单</w:t>
                  </w:r>
                </w:p>
              </w:tc>
            </w:tr>
            <w:tr w14:paraId="6BF2F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5000" w:type="pct"/>
                  <w:gridSpan w:val="8"/>
                  <w:noWrap w:val="0"/>
                  <w:vAlign w:val="center"/>
                </w:tcPr>
                <w:p w14:paraId="7A1ACCD2">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left"/>
                    <w:textAlignment w:val="auto"/>
                    <w:rPr>
                      <w:rFonts w:hint="default" w:ascii="Times New Roman" w:hAnsi="Times New Roman" w:cs="Times New Roman" w:eastAsiaTheme="minorEastAsia"/>
                      <w:b w:val="0"/>
                      <w:bCs w:val="0"/>
                      <w:color w:val="auto"/>
                      <w:kern w:val="0"/>
                      <w:sz w:val="21"/>
                      <w:szCs w:val="21"/>
                      <w:highlight w:val="none"/>
                      <w:vertAlign w:val="baseline"/>
                      <w:lang w:val="en-US" w:eastAsia="zh-CN" w:bidi="ar"/>
                    </w:rPr>
                  </w:pPr>
                  <w:r>
                    <w:rPr>
                      <w:rFonts w:hint="default" w:ascii="Times New Roman" w:hAnsi="Times New Roman" w:cs="Times New Roman" w:eastAsiaTheme="minorEastAsia"/>
                      <w:b w:val="0"/>
                      <w:bCs w:val="0"/>
                      <w:color w:val="auto"/>
                      <w:kern w:val="0"/>
                      <w:sz w:val="21"/>
                      <w:szCs w:val="21"/>
                      <w:highlight w:val="none"/>
                      <w:vertAlign w:val="baseline"/>
                      <w:lang w:val="en-US" w:eastAsia="zh-CN" w:bidi="ar"/>
                    </w:rPr>
                    <w:t>本项目根据云南省生态环境分区管控公共服务查询平台查询，扩建区域及依托地块属于寻甸回族彝族自治县矿产资源重点管控单元。</w:t>
                  </w:r>
                </w:p>
              </w:tc>
            </w:tr>
            <w:tr w14:paraId="0746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 w:type="pct"/>
                  <w:gridSpan w:val="2"/>
                  <w:vMerge w:val="restart"/>
                  <w:noWrap w:val="0"/>
                  <w:vAlign w:val="center"/>
                </w:tcPr>
                <w:p w14:paraId="076759E3">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vertAlign w:val="baseline"/>
                      <w:lang w:val="en-US" w:eastAsia="zh-CN" w:bidi="ar"/>
                    </w:rPr>
                    <w:t>昆明市生态</w:t>
                  </w:r>
                </w:p>
                <w:p w14:paraId="29E1A172">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vertAlign w:val="baseline"/>
                      <w:lang w:val="en-US" w:eastAsia="zh-CN" w:bidi="ar"/>
                    </w:rPr>
                    <w:t>环境</w:t>
                  </w:r>
                </w:p>
                <w:p w14:paraId="6541F464">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vertAlign w:val="baseline"/>
                      <w:lang w:val="en-US" w:eastAsia="zh-CN" w:bidi="ar"/>
                    </w:rPr>
                    <w:t>管控总体准入</w:t>
                  </w:r>
                </w:p>
                <w:p w14:paraId="4A1C2867">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vertAlign w:val="baseline"/>
                      <w:lang w:val="en-US" w:eastAsia="zh-CN" w:bidi="ar"/>
                    </w:rPr>
                    <w:t>要求</w:t>
                  </w:r>
                </w:p>
              </w:tc>
              <w:tc>
                <w:tcPr>
                  <w:tcW w:w="355" w:type="pct"/>
                  <w:noWrap w:val="0"/>
                  <w:vAlign w:val="center"/>
                </w:tcPr>
                <w:p w14:paraId="04E3C151">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vertAlign w:val="baseline"/>
                      <w:lang w:val="en-US" w:eastAsia="zh-CN" w:bidi="ar"/>
                    </w:rPr>
                    <w:t>空间布局约束</w:t>
                  </w:r>
                </w:p>
              </w:tc>
              <w:tc>
                <w:tcPr>
                  <w:tcW w:w="2356" w:type="pct"/>
                  <w:gridSpan w:val="3"/>
                  <w:noWrap w:val="0"/>
                  <w:vAlign w:val="center"/>
                </w:tcPr>
                <w:p w14:paraId="228B26E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1.根据《昆明市国土空间总体规划（2021—2035年）》进行空间管控。</w:t>
                  </w:r>
                </w:p>
                <w:p w14:paraId="78FC2D5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2.牛栏江流域内，严格按照《云南省牛栏江保护条例》相关要求对水环境进行分区管控。</w:t>
                  </w:r>
                </w:p>
                <w:p w14:paraId="24AF633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3.滇池流域内，严格按照《云南省滇池湖滨生态红线及湖泊生态黄线</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两线</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划定方案》相关要求进行分区管控。</w:t>
                  </w:r>
                </w:p>
                <w:p w14:paraId="5BAF470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Style w:val="50"/>
                      <w:rFonts w:hint="default" w:ascii="Times New Roman" w:hAnsi="Times New Roman" w:cs="Times New Roman" w:eastAsiaTheme="minorEastAsia"/>
                      <w:color w:val="auto"/>
                      <w:kern w:val="0"/>
                      <w:sz w:val="21"/>
                      <w:szCs w:val="21"/>
                      <w:highlight w:val="none"/>
                    </w:rPr>
                    <w:t>4.阳宗海流域内，严格按照《云南省阳宗海湖滨生态红线及湖泊生态黄线</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两线</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划定方案》相关要求进行分区管控。</w:t>
                  </w:r>
                </w:p>
              </w:tc>
              <w:tc>
                <w:tcPr>
                  <w:tcW w:w="1454" w:type="pct"/>
                  <w:noWrap w:val="0"/>
                  <w:vAlign w:val="center"/>
                </w:tcPr>
                <w:p w14:paraId="534D7EB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default"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1.本项目符合《寻甸回族彝族自治县国土空间总体规划（2021—2035年）》管控要求。</w:t>
                  </w:r>
                </w:p>
                <w:p w14:paraId="76974D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eastAsia"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2.</w:t>
                  </w:r>
                  <w:r>
                    <w:rPr>
                      <w:rFonts w:hint="default" w:ascii="Times New Roman" w:hAnsi="Times New Roman" w:cs="Times New Roman" w:eastAsiaTheme="minorEastAsia"/>
                      <w:color w:val="auto"/>
                      <w:kern w:val="0"/>
                      <w:sz w:val="21"/>
                      <w:szCs w:val="21"/>
                      <w:highlight w:val="none"/>
                      <w:lang w:val="en-US" w:eastAsia="zh-CN" w:bidi="ar"/>
                    </w:rPr>
                    <w:t>本项目位于牛栏江流域内，本项目与《云南省牛栏江保护条例》相符，</w:t>
                  </w:r>
                  <w:r>
                    <w:rPr>
                      <w:rFonts w:hint="eastAsia" w:cs="Times New Roman" w:eastAsiaTheme="minorEastAsia"/>
                      <w:color w:val="auto"/>
                      <w:kern w:val="0"/>
                      <w:sz w:val="21"/>
                      <w:szCs w:val="21"/>
                      <w:highlight w:val="none"/>
                      <w:lang w:val="en-US" w:eastAsia="zh-CN" w:bidi="ar"/>
                    </w:rPr>
                    <w:t>详见表1-7分析</w:t>
                  </w:r>
                  <w:r>
                    <w:rPr>
                      <w:rFonts w:hint="default" w:ascii="Times New Roman" w:hAnsi="Times New Roman" w:cs="Times New Roman" w:eastAsiaTheme="minorEastAsia"/>
                      <w:color w:val="auto"/>
                      <w:kern w:val="0"/>
                      <w:sz w:val="21"/>
                      <w:szCs w:val="21"/>
                      <w:highlight w:val="none"/>
                      <w:lang w:val="en-US" w:eastAsia="zh-CN" w:bidi="ar"/>
                    </w:rPr>
                    <w:t>。</w:t>
                  </w:r>
                  <w:r>
                    <w:rPr>
                      <w:rFonts w:hint="eastAsia" w:cs="Times New Roman" w:eastAsiaTheme="minorEastAsia"/>
                      <w:color w:val="auto"/>
                      <w:kern w:val="0"/>
                      <w:sz w:val="21"/>
                      <w:szCs w:val="21"/>
                      <w:highlight w:val="none"/>
                      <w:lang w:val="en-US" w:eastAsia="zh-CN" w:bidi="ar"/>
                    </w:rPr>
                    <w:t>3.本项目不涉及滇池流域。</w:t>
                  </w:r>
                </w:p>
                <w:p w14:paraId="5FA44FA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eastAsia" w:eastAsiaTheme="minorEastAsia"/>
                      <w:color w:val="auto"/>
                      <w:highlight w:val="none"/>
                      <w:lang w:val="en-US" w:eastAsia="zh-CN"/>
                    </w:rPr>
                  </w:pPr>
                  <w:r>
                    <w:rPr>
                      <w:rFonts w:hint="eastAsia" w:cs="Times New Roman" w:eastAsiaTheme="minorEastAsia"/>
                      <w:color w:val="auto"/>
                      <w:kern w:val="0"/>
                      <w:sz w:val="21"/>
                      <w:szCs w:val="21"/>
                      <w:highlight w:val="none"/>
                      <w:lang w:val="en-US" w:eastAsia="zh-CN" w:bidi="ar"/>
                    </w:rPr>
                    <w:t>4.本项目不涉及</w:t>
                  </w:r>
                  <w:r>
                    <w:rPr>
                      <w:rStyle w:val="50"/>
                      <w:rFonts w:hint="default" w:ascii="Times New Roman" w:hAnsi="Times New Roman" w:cs="Times New Roman" w:eastAsiaTheme="minorEastAsia"/>
                      <w:color w:val="auto"/>
                      <w:kern w:val="0"/>
                      <w:sz w:val="21"/>
                      <w:szCs w:val="21"/>
                      <w:highlight w:val="none"/>
                    </w:rPr>
                    <w:t>阳宗海流域</w:t>
                  </w:r>
                  <w:r>
                    <w:rPr>
                      <w:rStyle w:val="50"/>
                      <w:rFonts w:hint="eastAsia" w:ascii="Times New Roman" w:hAnsi="Times New Roman" w:cs="Times New Roman" w:eastAsiaTheme="minorEastAsia"/>
                      <w:color w:val="auto"/>
                      <w:kern w:val="0"/>
                      <w:sz w:val="21"/>
                      <w:szCs w:val="21"/>
                      <w:highlight w:val="none"/>
                      <w:lang w:eastAsia="zh-CN"/>
                    </w:rPr>
                    <w:t>。</w:t>
                  </w:r>
                </w:p>
              </w:tc>
              <w:tc>
                <w:tcPr>
                  <w:tcW w:w="477" w:type="pct"/>
                  <w:noWrap w:val="0"/>
                  <w:vAlign w:val="center"/>
                </w:tcPr>
                <w:p w14:paraId="372BDA4A">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right="0"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vertAlign w:val="baseline"/>
                      <w:lang w:val="en-US" w:eastAsia="zh-CN" w:bidi="ar"/>
                    </w:rPr>
                    <w:t>符合</w:t>
                  </w:r>
                </w:p>
              </w:tc>
            </w:tr>
            <w:tr w14:paraId="0A712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 w:type="pct"/>
                  <w:gridSpan w:val="2"/>
                  <w:vMerge w:val="continue"/>
                  <w:noWrap w:val="0"/>
                  <w:vAlign w:val="center"/>
                </w:tcPr>
                <w:p w14:paraId="46E8152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leftChars="0" w:right="0"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p>
              </w:tc>
              <w:tc>
                <w:tcPr>
                  <w:tcW w:w="355" w:type="pct"/>
                  <w:noWrap w:val="0"/>
                  <w:vAlign w:val="center"/>
                </w:tcPr>
                <w:p w14:paraId="01696A2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leftChars="0" w:right="0"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vertAlign w:val="baseline"/>
                      <w:lang w:val="en-US" w:eastAsia="zh-CN" w:bidi="ar"/>
                    </w:rPr>
                    <w:t>污染物排放管控</w:t>
                  </w:r>
                </w:p>
              </w:tc>
              <w:tc>
                <w:tcPr>
                  <w:tcW w:w="2356" w:type="pct"/>
                  <w:gridSpan w:val="3"/>
                  <w:noWrap w:val="0"/>
                  <w:vAlign w:val="center"/>
                </w:tcPr>
                <w:p w14:paraId="7268D14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到2025年，昆明市地表水国、省控断面达到或好于III类水体比例应达到81.5%；滇池草海水质稳定达到IV类、外海水质达到IV类（COD≤40mg/L），阳宗海水质稳定达到Ⅲ类水标准，县级及以上集中式饮用水水源地水质达标率100%。化学需氧量重点工程减排量10243t，氨氮重点工程减排量1009t。</w:t>
                  </w:r>
                </w:p>
                <w:p w14:paraId="163A39C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2.到2025年，昆明市环境空气质量优良天数比例应达到99.1%，城市细颗粒物（PM2.5）平均浓度应达到24μg/m³；氮氧化物重点工程减排量2237t，挥发性有机物重点工程减排量1684t。</w:t>
                  </w:r>
                </w:p>
                <w:p w14:paraId="3236083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3.2025年底前，全面完成钢铁企业超低排放改造。持续开展燃煤锅炉整治，推进每小时65蒸吨以上的燃煤锅炉超低排放改造。燃气锅炉推行低氮燃烧，氮氧化物排放浓度不高于50毫克/立方米。重点涉气排放企业逐步取消烟气旁路，因安全生产无法取消的，安装在线监管系统。</w:t>
                  </w:r>
                </w:p>
                <w:p w14:paraId="5A44BBD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4.建立完善源头、过程和末端的VOCs全过程控制体系，实施VOCs排放总量控制。</w:t>
                  </w:r>
                </w:p>
                <w:p w14:paraId="7B326C4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5.推进农业废弃物综合利用，2025年底前综合利用率达90%以上。</w:t>
                  </w:r>
                </w:p>
                <w:p w14:paraId="645C4DC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6.滇池流域：2025年底前，完成流域内城镇雨污分流改造，城镇污水收集率达95％以上，农村生活污水收集处理率达75％以上，畜禽粪污综合利用率达90％以上，城市生活垃圾处理率达97％以上，实现农村生活垃圾分类投放、统一运输、集中处理。</w:t>
                  </w:r>
                </w:p>
                <w:p w14:paraId="4916EE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7.阳宗海流域：推进农业废弃物综合利用，2025年底前农作物综合利用率达90%以上，畜禽粪污综合利用率达96%以上，农膜回收利用率达85%以上。2025年底前，完成流域内城镇雨污分流改造，城镇污水收集率达95%以上，农村生活污水收集处理率达75%以上，畜禽粪污综合利用率达90%以上，城镇生活垃圾处理率达97%以上，实现农村生活垃圾分类投放、统一运输、集中处理。</w:t>
                  </w:r>
                </w:p>
                <w:p w14:paraId="69B20A8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8.督促指导磷石膏产生企业配套建设（或委托建设）相应能力的磷石膏无害化处理设施，采用水洗、焙烧、浮选、中和等技术对磷石膏进行无害化处理，确保在2025年新产生磷石膏实现100%无害化处理，从根本上降低磷石膏污染隐患。无害化处理后暂时不能利用的磷石膏，应当按生态环境、应急管理要求依法依规安全环保分类存放。</w:t>
                  </w:r>
                </w:p>
                <w:p w14:paraId="188F0A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sz w:val="21"/>
                      <w:szCs w:val="21"/>
                      <w:highlight w:val="none"/>
                    </w:rPr>
                    <w:t>9.推动昆明市磷石膏综合利用率2023年达到52%，2024年达到64%，2025年确保达到73%，力争达到75%；到2025年底，中心城区污泥无害化处置率达到95%以上，县城污泥无害化处置率达到90%以上。</w:t>
                  </w:r>
                </w:p>
              </w:tc>
              <w:tc>
                <w:tcPr>
                  <w:tcW w:w="1454" w:type="pct"/>
                  <w:noWrap w:val="0"/>
                  <w:vAlign w:val="center"/>
                </w:tcPr>
                <w:p w14:paraId="5A0BBC29">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Fonts w:hint="default" w:ascii="Times New Roman" w:hAnsi="Times New Roman" w:cs="Times New Roman" w:eastAsiaTheme="minorEastAsia"/>
                      <w:color w:val="auto"/>
                      <w:sz w:val="21"/>
                      <w:szCs w:val="21"/>
                      <w:highlight w:val="none"/>
                      <w:lang w:val="zh-CN" w:eastAsia="zh-CN"/>
                    </w:rPr>
                  </w:pPr>
                  <w:r>
                    <w:rPr>
                      <w:rFonts w:hint="eastAsia" w:cs="Times New Roman" w:eastAsiaTheme="minorEastAsia"/>
                      <w:color w:val="auto"/>
                      <w:sz w:val="21"/>
                      <w:szCs w:val="21"/>
                      <w:highlight w:val="none"/>
                      <w:lang w:val="en-US" w:eastAsia="zh-CN"/>
                    </w:rPr>
                    <w:t>1.</w:t>
                  </w:r>
                  <w:r>
                    <w:rPr>
                      <w:rFonts w:hint="default" w:ascii="Times New Roman" w:hAnsi="Times New Roman" w:cs="Times New Roman" w:eastAsiaTheme="minorEastAsia"/>
                      <w:color w:val="auto"/>
                      <w:sz w:val="21"/>
                      <w:szCs w:val="21"/>
                      <w:highlight w:val="none"/>
                    </w:rPr>
                    <w:t>项目所在区域主要地表水体</w:t>
                  </w:r>
                  <w:r>
                    <w:rPr>
                      <w:rFonts w:hint="eastAsia" w:cs="Times New Roman" w:eastAsiaTheme="minorEastAsia"/>
                      <w:color w:val="auto"/>
                      <w:sz w:val="21"/>
                      <w:szCs w:val="21"/>
                      <w:highlight w:val="none"/>
                      <w:lang w:val="en-US" w:eastAsia="zh-CN"/>
                    </w:rPr>
                    <w:t>满足</w:t>
                  </w:r>
                  <w:r>
                    <w:rPr>
                      <w:rFonts w:hint="default" w:ascii="Times New Roman" w:hAnsi="Times New Roman" w:cs="Times New Roman" w:eastAsiaTheme="minorEastAsia"/>
                      <w:color w:val="auto"/>
                      <w:sz w:val="21"/>
                      <w:szCs w:val="21"/>
                      <w:highlight w:val="none"/>
                      <w:lang w:val="zh-CN" w:eastAsia="zh-CN"/>
                    </w:rPr>
                    <w:t>《地表水环境质量标准》（GB3838-2002）中Ⅲ类水质标准</w:t>
                  </w:r>
                  <w:r>
                    <w:rPr>
                      <w:rFonts w:hint="eastAsia" w:cs="Times New Roman" w:eastAsiaTheme="minorEastAsia"/>
                      <w:color w:val="auto"/>
                      <w:sz w:val="21"/>
                      <w:szCs w:val="21"/>
                      <w:highlight w:val="none"/>
                      <w:lang w:val="en-US" w:eastAsia="zh-CN"/>
                    </w:rPr>
                    <w:t>要求，且本项目不涉及滇池草河和阳宗海流域</w:t>
                  </w:r>
                  <w:r>
                    <w:rPr>
                      <w:rFonts w:hint="default" w:ascii="Times New Roman" w:hAnsi="Times New Roman" w:cs="Times New Roman" w:eastAsiaTheme="minorEastAsia"/>
                      <w:color w:val="auto"/>
                      <w:sz w:val="21"/>
                      <w:szCs w:val="21"/>
                      <w:highlight w:val="none"/>
                      <w:lang w:val="zh-CN" w:eastAsia="zh-CN"/>
                    </w:rPr>
                    <w:t>。</w:t>
                  </w:r>
                </w:p>
                <w:p w14:paraId="061C93CC">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sz w:val="21"/>
                      <w:szCs w:val="21"/>
                      <w:highlight w:val="none"/>
                      <w:lang w:val="en-US" w:eastAsia="zh-CN"/>
                    </w:rPr>
                    <w:t>2.</w:t>
                  </w:r>
                  <w:r>
                    <w:rPr>
                      <w:rStyle w:val="50"/>
                      <w:rFonts w:hint="default" w:ascii="Times New Roman" w:hAnsi="Times New Roman" w:cs="Times New Roman" w:eastAsiaTheme="minorEastAsia"/>
                      <w:color w:val="auto"/>
                      <w:kern w:val="0"/>
                      <w:sz w:val="21"/>
                      <w:szCs w:val="21"/>
                      <w:highlight w:val="none"/>
                      <w:lang w:val="en-US" w:eastAsia="zh-CN"/>
                    </w:rPr>
                    <w:t>本</w:t>
                  </w:r>
                  <w:r>
                    <w:rPr>
                      <w:rStyle w:val="50"/>
                      <w:rFonts w:hint="eastAsia" w:cs="Times New Roman" w:eastAsiaTheme="minorEastAsia"/>
                      <w:color w:val="auto"/>
                      <w:kern w:val="0"/>
                      <w:sz w:val="21"/>
                      <w:szCs w:val="21"/>
                      <w:highlight w:val="none"/>
                      <w:lang w:val="en-US" w:eastAsia="zh-CN"/>
                    </w:rPr>
                    <w:t>项目</w:t>
                  </w:r>
                  <w:r>
                    <w:rPr>
                      <w:rStyle w:val="50"/>
                      <w:rFonts w:hint="default" w:ascii="Times New Roman" w:hAnsi="Times New Roman" w:cs="Times New Roman" w:eastAsiaTheme="minorEastAsia"/>
                      <w:color w:val="auto"/>
                      <w:kern w:val="0"/>
                      <w:sz w:val="21"/>
                      <w:szCs w:val="21"/>
                      <w:highlight w:val="none"/>
                      <w:lang w:val="en-US" w:eastAsia="zh-CN"/>
                    </w:rPr>
                    <w:t>所在区域为达标区。</w:t>
                  </w:r>
                </w:p>
                <w:p w14:paraId="38500BE4">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lang w:val="en-US" w:eastAsia="zh-CN"/>
                    </w:rPr>
                  </w:pPr>
                  <w:r>
                    <w:rPr>
                      <w:rStyle w:val="50"/>
                      <w:rFonts w:hint="default" w:ascii="Times New Roman" w:hAnsi="Times New Roman" w:cs="Times New Roman" w:eastAsiaTheme="minorEastAsia"/>
                      <w:color w:val="auto"/>
                      <w:kern w:val="0"/>
                      <w:sz w:val="21"/>
                      <w:szCs w:val="21"/>
                      <w:highlight w:val="none"/>
                      <w:lang w:val="en-US" w:eastAsia="zh-CN"/>
                    </w:rPr>
                    <w:t>本项目废气均进行收集、控制与处理，减少无组织排放。项目运营期产生的大气污染物为颗粒物</w:t>
                  </w:r>
                  <w:r>
                    <w:rPr>
                      <w:rStyle w:val="50"/>
                      <w:rFonts w:hint="eastAsia" w:cs="Times New Roman" w:eastAsiaTheme="minorEastAsia"/>
                      <w:color w:val="auto"/>
                      <w:kern w:val="0"/>
                      <w:sz w:val="21"/>
                      <w:szCs w:val="21"/>
                      <w:highlight w:val="none"/>
                      <w:lang w:val="en-US" w:eastAsia="zh-CN"/>
                    </w:rPr>
                    <w:t>、氨和硫化氢经处理后可达标排放</w:t>
                  </w:r>
                  <w:r>
                    <w:rPr>
                      <w:rFonts w:hint="default" w:ascii="Times New Roman" w:hAnsi="Times New Roman" w:cs="Times New Roman" w:eastAsiaTheme="minorEastAsia"/>
                      <w:color w:val="auto"/>
                      <w:sz w:val="21"/>
                      <w:szCs w:val="21"/>
                      <w:highlight w:val="none"/>
                    </w:rPr>
                    <w:t>，对大气环境质量影响较小</w:t>
                  </w:r>
                  <w:r>
                    <w:rPr>
                      <w:rStyle w:val="50"/>
                      <w:rFonts w:hint="default" w:ascii="Times New Roman" w:hAnsi="Times New Roman" w:cs="Times New Roman" w:eastAsiaTheme="minorEastAsia"/>
                      <w:color w:val="auto"/>
                      <w:kern w:val="0"/>
                      <w:sz w:val="21"/>
                      <w:szCs w:val="21"/>
                      <w:highlight w:val="none"/>
                      <w:lang w:val="en-US" w:eastAsia="zh-CN"/>
                    </w:rPr>
                    <w:t>。</w:t>
                  </w:r>
                </w:p>
                <w:p w14:paraId="2CFBDD9A">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Autospacing="0" w:afterAutospacing="0" w:line="320" w:lineRule="exact"/>
                    <w:ind w:leftChars="0" w:right="0" w:rightChars="0" w:firstLine="0" w:firstLineChars="0"/>
                    <w:textAlignment w:val="auto"/>
                    <w:rPr>
                      <w:rStyle w:val="50"/>
                      <w:rFonts w:hint="eastAsia" w:cs="Times New Roman" w:eastAsiaTheme="minorEastAsia"/>
                      <w:color w:val="auto"/>
                      <w:kern w:val="0"/>
                      <w:sz w:val="21"/>
                      <w:szCs w:val="21"/>
                      <w:highlight w:val="none"/>
                      <w:lang w:val="en-US" w:eastAsia="zh-CN"/>
                    </w:rPr>
                  </w:pPr>
                  <w:r>
                    <w:rPr>
                      <w:rStyle w:val="50"/>
                      <w:rFonts w:hint="eastAsia" w:cs="Times New Roman" w:eastAsiaTheme="minorEastAsia"/>
                      <w:color w:val="auto"/>
                      <w:kern w:val="0"/>
                      <w:sz w:val="21"/>
                      <w:szCs w:val="21"/>
                      <w:highlight w:val="none"/>
                      <w:lang w:val="en-US" w:eastAsia="zh-CN"/>
                    </w:rPr>
                    <w:t>3.本项目不属于钢铁企业。</w:t>
                  </w:r>
                </w:p>
                <w:p w14:paraId="6A8B56A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Autospacing="0" w:afterAutospacing="0" w:line="320" w:lineRule="exact"/>
                    <w:ind w:leftChars="0" w:right="0" w:rightChars="0" w:firstLine="0" w:firstLineChars="0"/>
                    <w:textAlignment w:val="auto"/>
                    <w:rPr>
                      <w:rStyle w:val="50"/>
                      <w:rFonts w:hint="eastAsia" w:cs="Times New Roman" w:eastAsiaTheme="minorEastAsia"/>
                      <w:color w:val="auto"/>
                      <w:kern w:val="0"/>
                      <w:sz w:val="21"/>
                      <w:szCs w:val="21"/>
                      <w:highlight w:val="none"/>
                      <w:lang w:val="en-US" w:eastAsia="zh-CN"/>
                    </w:rPr>
                  </w:pPr>
                  <w:r>
                    <w:rPr>
                      <w:rStyle w:val="50"/>
                      <w:rFonts w:hint="eastAsia" w:cs="Times New Roman" w:eastAsiaTheme="minorEastAsia"/>
                      <w:color w:val="auto"/>
                      <w:kern w:val="0"/>
                      <w:sz w:val="21"/>
                      <w:szCs w:val="21"/>
                      <w:highlight w:val="none"/>
                      <w:lang w:val="en-US" w:eastAsia="zh-CN"/>
                    </w:rPr>
                    <w:t>4.本项目不涉及VOCs的产生。</w:t>
                  </w:r>
                </w:p>
                <w:p w14:paraId="7C15A70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Autospacing="0" w:afterAutospacing="0" w:line="320" w:lineRule="exact"/>
                    <w:ind w:leftChars="0" w:right="0" w:rightChars="0" w:firstLine="0" w:firstLineChars="0"/>
                    <w:textAlignment w:val="auto"/>
                    <w:rPr>
                      <w:rStyle w:val="50"/>
                      <w:rFonts w:hint="eastAsia" w:cs="Times New Roman" w:eastAsiaTheme="minorEastAsia"/>
                      <w:color w:val="auto"/>
                      <w:kern w:val="0"/>
                      <w:sz w:val="21"/>
                      <w:szCs w:val="21"/>
                      <w:highlight w:val="none"/>
                      <w:lang w:val="en-US" w:eastAsia="zh-CN"/>
                    </w:rPr>
                  </w:pPr>
                  <w:r>
                    <w:rPr>
                      <w:rStyle w:val="50"/>
                      <w:rFonts w:hint="eastAsia" w:cs="Times New Roman" w:eastAsiaTheme="minorEastAsia"/>
                      <w:color w:val="auto"/>
                      <w:kern w:val="0"/>
                      <w:sz w:val="21"/>
                      <w:szCs w:val="21"/>
                      <w:highlight w:val="none"/>
                      <w:lang w:val="en-US" w:eastAsia="zh-CN"/>
                    </w:rPr>
                    <w:t>5.本项目不涉及农业废弃物的综合利用。</w:t>
                  </w:r>
                </w:p>
                <w:p w14:paraId="1C5CF3E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Autospacing="0" w:afterAutospacing="0" w:line="320" w:lineRule="exact"/>
                    <w:ind w:leftChars="0" w:right="0" w:rightChars="0" w:firstLine="0" w:firstLineChars="0"/>
                    <w:textAlignment w:val="auto"/>
                    <w:rPr>
                      <w:rStyle w:val="50"/>
                      <w:rFonts w:hint="eastAsia" w:cs="Times New Roman" w:eastAsiaTheme="minorEastAsia"/>
                      <w:color w:val="auto"/>
                      <w:kern w:val="0"/>
                      <w:sz w:val="21"/>
                      <w:szCs w:val="21"/>
                      <w:highlight w:val="none"/>
                      <w:lang w:val="en-US" w:eastAsia="zh-CN"/>
                    </w:rPr>
                  </w:pPr>
                  <w:r>
                    <w:rPr>
                      <w:rStyle w:val="50"/>
                      <w:rFonts w:hint="eastAsia" w:cs="Times New Roman" w:eastAsiaTheme="minorEastAsia"/>
                      <w:color w:val="auto"/>
                      <w:kern w:val="0"/>
                      <w:sz w:val="21"/>
                      <w:szCs w:val="21"/>
                      <w:highlight w:val="none"/>
                      <w:lang w:val="en-US" w:eastAsia="zh-CN"/>
                    </w:rPr>
                    <w:t>6.本项目不涉及滇池流域。</w:t>
                  </w:r>
                </w:p>
                <w:p w14:paraId="1EE1C53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Autospacing="0" w:afterAutospacing="0" w:line="320" w:lineRule="exact"/>
                    <w:ind w:leftChars="0" w:right="0" w:rightChars="0" w:firstLine="0" w:firstLineChars="0"/>
                    <w:textAlignment w:val="auto"/>
                    <w:rPr>
                      <w:rStyle w:val="50"/>
                      <w:rFonts w:hint="eastAsia" w:cs="Times New Roman" w:eastAsiaTheme="minorEastAsia"/>
                      <w:color w:val="auto"/>
                      <w:kern w:val="0"/>
                      <w:sz w:val="21"/>
                      <w:szCs w:val="21"/>
                      <w:highlight w:val="none"/>
                      <w:lang w:val="en-US" w:eastAsia="zh-CN"/>
                    </w:rPr>
                  </w:pPr>
                  <w:r>
                    <w:rPr>
                      <w:rStyle w:val="50"/>
                      <w:rFonts w:hint="eastAsia" w:cs="Times New Roman" w:eastAsiaTheme="minorEastAsia"/>
                      <w:color w:val="auto"/>
                      <w:kern w:val="0"/>
                      <w:sz w:val="21"/>
                      <w:szCs w:val="21"/>
                      <w:highlight w:val="none"/>
                      <w:lang w:val="en-US" w:eastAsia="zh-CN"/>
                    </w:rPr>
                    <w:t>7.本项目不涉及阳宗海流域。</w:t>
                  </w:r>
                </w:p>
                <w:p w14:paraId="3ACE57F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Autospacing="0" w:afterAutospacing="0" w:line="320" w:lineRule="exact"/>
                    <w:ind w:leftChars="0" w:right="0" w:rightChars="0" w:firstLine="0" w:firstLineChars="0"/>
                    <w:textAlignment w:val="auto"/>
                    <w:rPr>
                      <w:rStyle w:val="50"/>
                      <w:rFonts w:hint="eastAsia" w:cs="Times New Roman" w:eastAsiaTheme="minorEastAsia"/>
                      <w:color w:val="auto"/>
                      <w:kern w:val="0"/>
                      <w:sz w:val="21"/>
                      <w:szCs w:val="21"/>
                      <w:highlight w:val="none"/>
                      <w:lang w:val="en-US" w:eastAsia="zh-CN"/>
                    </w:rPr>
                  </w:pPr>
                  <w:r>
                    <w:rPr>
                      <w:rStyle w:val="50"/>
                      <w:rFonts w:hint="eastAsia" w:cs="Times New Roman" w:eastAsiaTheme="minorEastAsia"/>
                      <w:color w:val="auto"/>
                      <w:kern w:val="0"/>
                      <w:sz w:val="21"/>
                      <w:szCs w:val="21"/>
                      <w:highlight w:val="none"/>
                      <w:lang w:val="en-US" w:eastAsia="zh-CN"/>
                    </w:rPr>
                    <w:t>8.本项目不属于磷石膏的产生和处置企业。</w:t>
                  </w:r>
                </w:p>
                <w:p w14:paraId="35933AF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Autospacing="0" w:afterAutospacing="0" w:line="320" w:lineRule="exact"/>
                    <w:ind w:leftChars="0" w:right="0" w:rightChars="0" w:firstLine="0" w:firstLineChars="0"/>
                    <w:textAlignment w:val="auto"/>
                    <w:rPr>
                      <w:rStyle w:val="50"/>
                      <w:rFonts w:hint="eastAsia" w:cs="Times New Roman" w:eastAsiaTheme="minorEastAsia"/>
                      <w:color w:val="auto"/>
                      <w:kern w:val="0"/>
                      <w:sz w:val="21"/>
                      <w:szCs w:val="21"/>
                      <w:highlight w:val="none"/>
                      <w:lang w:val="en-US" w:eastAsia="zh-CN"/>
                    </w:rPr>
                  </w:pPr>
                </w:p>
                <w:p w14:paraId="6F19D66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Autospacing="0" w:afterAutospacing="0" w:line="320" w:lineRule="exact"/>
                    <w:ind w:leftChars="0" w:right="0" w:rightChars="0" w:firstLine="0" w:firstLineChars="0"/>
                    <w:textAlignment w:val="auto"/>
                    <w:rPr>
                      <w:rFonts w:hint="default"/>
                      <w:color w:val="auto"/>
                      <w:highlight w:val="none"/>
                      <w:lang w:val="en-US" w:eastAsia="zh-CN"/>
                    </w:rPr>
                  </w:pPr>
                  <w:r>
                    <w:rPr>
                      <w:rStyle w:val="50"/>
                      <w:rFonts w:hint="eastAsia" w:cs="Times New Roman" w:eastAsiaTheme="minorEastAsia"/>
                      <w:color w:val="auto"/>
                      <w:kern w:val="0"/>
                      <w:sz w:val="21"/>
                      <w:szCs w:val="21"/>
                      <w:highlight w:val="none"/>
                      <w:lang w:val="en-US" w:eastAsia="zh-CN"/>
                    </w:rPr>
                    <w:t>9.本项目不属于磷石膏的产生和处置企业。</w:t>
                  </w:r>
                </w:p>
              </w:tc>
              <w:tc>
                <w:tcPr>
                  <w:tcW w:w="477" w:type="pct"/>
                  <w:noWrap w:val="0"/>
                  <w:vAlign w:val="center"/>
                </w:tcPr>
                <w:p w14:paraId="3F8413F7">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right="0"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vertAlign w:val="baseline"/>
                      <w:lang w:val="en-US" w:eastAsia="zh-CN" w:bidi="ar"/>
                    </w:rPr>
                    <w:t>符合</w:t>
                  </w:r>
                </w:p>
              </w:tc>
            </w:tr>
            <w:tr w14:paraId="25D8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 w:type="pct"/>
                  <w:gridSpan w:val="2"/>
                  <w:vMerge w:val="continue"/>
                  <w:noWrap w:val="0"/>
                  <w:vAlign w:val="center"/>
                </w:tcPr>
                <w:p w14:paraId="31BDE556">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right="0"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p>
              </w:tc>
              <w:tc>
                <w:tcPr>
                  <w:tcW w:w="355" w:type="pct"/>
                  <w:noWrap w:val="0"/>
                  <w:vAlign w:val="center"/>
                </w:tcPr>
                <w:p w14:paraId="5AE019FF">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right="0"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vertAlign w:val="baseline"/>
                      <w:lang w:val="en-US" w:eastAsia="zh-CN" w:bidi="ar"/>
                    </w:rPr>
                    <w:t>环境风险防控</w:t>
                  </w:r>
                </w:p>
              </w:tc>
              <w:tc>
                <w:tcPr>
                  <w:tcW w:w="2356" w:type="pct"/>
                  <w:gridSpan w:val="3"/>
                  <w:noWrap w:val="0"/>
                  <w:vAlign w:val="center"/>
                </w:tcPr>
                <w:p w14:paraId="17C78D6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1.加大放射性物质、电磁辐射、危险废物、医疗废物、尾矿库渣场、危险化学品、重金属等风险要素防控力度，全过程监控风险要素产生、使用、储存、运输、处理处置，实现智能化预警与报警，有效降低各类环境风险。</w:t>
                  </w:r>
                </w:p>
                <w:p w14:paraId="7FDB286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2.针对持久性有机污染物、内分泌干扰物等新污染物，制定实施新污染物治理行动方案，开展新污染物筛查与评估，建立清单，开展化学物质生产使用信息调查，实施调查监测和环境风险评估。</w:t>
                  </w:r>
                </w:p>
                <w:p w14:paraId="5C64DA7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3.开展重点区域、重点领域环境风险调查评估，加强源头预防、过程管控、末端治理；建设环境应急技术库和物资库，推动各地更新扩充应急物资和防护装备，提升环境应急指挥信息化水平，完善环境应急管理体系。</w:t>
                  </w:r>
                </w:p>
                <w:p w14:paraId="792E7D5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4.开展</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千吨万人</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农村饮用水水源保护区环境风险排查整治，加强农村水源水质监测。</w:t>
                  </w:r>
                </w:p>
                <w:p w14:paraId="5E5557B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5.以涉危险废物、涉重金属企业为重点，合理布设生产设施，强化应急导流槽、事故调蓄池、雨污总排口应急闸坝等事故排水收集截留设施，以及传输泵、配套管线、应急发电等事故水输送设施等建设，合理设置消防事故水池和雨水监测池。</w:t>
                  </w:r>
                </w:p>
                <w:p w14:paraId="44E730E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right="0" w:firstLine="0" w:firstLineChars="0"/>
                    <w:jc w:val="both"/>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Style w:val="50"/>
                      <w:rFonts w:hint="default" w:ascii="Times New Roman" w:hAnsi="Times New Roman" w:cs="Times New Roman" w:eastAsiaTheme="minorEastAsia"/>
                      <w:color w:val="auto"/>
                      <w:kern w:val="0"/>
                      <w:sz w:val="21"/>
                      <w:szCs w:val="21"/>
                      <w:highlight w:val="none"/>
                    </w:rPr>
                    <w:t>6.严格新（改、扩）建尾矿库环境准入，健全尾矿库环境监管清单，加强尾矿库分类分级环境监管。严格落实《云南省尾矿库专项整治工作实施方案》。</w:t>
                  </w:r>
                </w:p>
              </w:tc>
              <w:tc>
                <w:tcPr>
                  <w:tcW w:w="1454" w:type="pct"/>
                  <w:noWrap w:val="0"/>
                  <w:vAlign w:val="center"/>
                </w:tcPr>
                <w:p w14:paraId="7C97015F">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leftChars="0" w:right="0" w:firstLine="0" w:firstLineChars="0"/>
                    <w:textAlignment w:val="auto"/>
                    <w:rPr>
                      <w:rStyle w:val="50"/>
                      <w:rFonts w:hint="default" w:ascii="Times New Roman" w:hAnsi="Times New Roman" w:cs="Times New Roman" w:eastAsiaTheme="minorEastAsia"/>
                      <w:color w:val="auto"/>
                      <w:kern w:val="0"/>
                      <w:sz w:val="21"/>
                      <w:szCs w:val="21"/>
                      <w:highlight w:val="none"/>
                      <w:lang w:val="en-US" w:eastAsia="zh-CN"/>
                    </w:rPr>
                  </w:pPr>
                  <w:r>
                    <w:rPr>
                      <w:rStyle w:val="50"/>
                      <w:rFonts w:hint="eastAsia" w:cs="Times New Roman" w:eastAsiaTheme="minorEastAsia"/>
                      <w:color w:val="auto"/>
                      <w:kern w:val="0"/>
                      <w:sz w:val="21"/>
                      <w:szCs w:val="21"/>
                      <w:highlight w:val="none"/>
                      <w:lang w:val="en-US" w:eastAsia="zh-CN"/>
                    </w:rPr>
                    <w:t>1.</w:t>
                  </w:r>
                  <w:r>
                    <w:rPr>
                      <w:rStyle w:val="50"/>
                      <w:rFonts w:hint="default" w:ascii="Times New Roman" w:hAnsi="Times New Roman" w:cs="Times New Roman" w:eastAsiaTheme="minorEastAsia"/>
                      <w:color w:val="auto"/>
                      <w:kern w:val="0"/>
                      <w:sz w:val="21"/>
                      <w:szCs w:val="21"/>
                      <w:highlight w:val="none"/>
                      <w:lang w:val="en-US" w:eastAsia="zh-CN"/>
                    </w:rPr>
                    <w:t>本次评价要求企业编制突发环境事件应急预案并报主管部门备案。</w:t>
                  </w:r>
                </w:p>
                <w:p w14:paraId="568BF6DA">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leftChars="0" w:right="0" w:firstLine="0" w:firstLineChars="0"/>
                    <w:textAlignment w:val="auto"/>
                    <w:rPr>
                      <w:rStyle w:val="50"/>
                      <w:rFonts w:hint="default" w:ascii="Times New Roman" w:hAnsi="Times New Roman" w:cs="Times New Roman" w:eastAsiaTheme="minorEastAsia"/>
                      <w:color w:val="auto"/>
                      <w:kern w:val="0"/>
                      <w:sz w:val="21"/>
                      <w:szCs w:val="21"/>
                      <w:highlight w:val="none"/>
                      <w:lang w:val="en-US" w:eastAsia="zh-CN"/>
                    </w:rPr>
                  </w:pPr>
                  <w:r>
                    <w:rPr>
                      <w:rStyle w:val="50"/>
                      <w:rFonts w:hint="eastAsia" w:cs="Times New Roman" w:eastAsiaTheme="minorEastAsia"/>
                      <w:color w:val="auto"/>
                      <w:kern w:val="0"/>
                      <w:sz w:val="21"/>
                      <w:szCs w:val="21"/>
                      <w:highlight w:val="none"/>
                      <w:lang w:val="en-US" w:eastAsia="zh-CN"/>
                    </w:rPr>
                    <w:t>2.本项目不涉及持久性有机物的产生，</w:t>
                  </w:r>
                  <w:r>
                    <w:rPr>
                      <w:rStyle w:val="50"/>
                      <w:rFonts w:hint="default" w:ascii="Times New Roman" w:hAnsi="Times New Roman" w:cs="Times New Roman" w:eastAsiaTheme="minorEastAsia"/>
                      <w:color w:val="auto"/>
                      <w:kern w:val="0"/>
                      <w:sz w:val="21"/>
                      <w:szCs w:val="21"/>
                      <w:highlight w:val="none"/>
                      <w:lang w:val="en-US" w:eastAsia="zh-CN"/>
                    </w:rPr>
                    <w:t>本次评价已对废水、废气、噪声提出</w:t>
                  </w:r>
                  <w:r>
                    <w:rPr>
                      <w:rStyle w:val="50"/>
                      <w:rFonts w:hint="eastAsia" w:cs="Times New Roman" w:eastAsiaTheme="minorEastAsia"/>
                      <w:color w:val="auto"/>
                      <w:kern w:val="0"/>
                      <w:sz w:val="21"/>
                      <w:szCs w:val="21"/>
                      <w:highlight w:val="none"/>
                      <w:lang w:val="en-US" w:eastAsia="zh-CN"/>
                    </w:rPr>
                    <w:t>治理和</w:t>
                  </w:r>
                  <w:r>
                    <w:rPr>
                      <w:rStyle w:val="50"/>
                      <w:rFonts w:hint="default" w:ascii="Times New Roman" w:hAnsi="Times New Roman" w:cs="Times New Roman" w:eastAsiaTheme="minorEastAsia"/>
                      <w:color w:val="auto"/>
                      <w:kern w:val="0"/>
                      <w:sz w:val="21"/>
                      <w:szCs w:val="21"/>
                      <w:highlight w:val="none"/>
                      <w:lang w:val="en-US" w:eastAsia="zh-CN"/>
                    </w:rPr>
                    <w:t>监测要求。</w:t>
                  </w:r>
                </w:p>
                <w:p w14:paraId="17926B5D">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eastAsia" w:cs="Times New Roman" w:eastAsiaTheme="minorEastAsia"/>
                      <w:color w:val="auto"/>
                      <w:kern w:val="0"/>
                      <w:sz w:val="21"/>
                      <w:szCs w:val="21"/>
                      <w:highlight w:val="none"/>
                      <w:lang w:val="en-US" w:eastAsia="zh-CN"/>
                    </w:rPr>
                  </w:pPr>
                </w:p>
                <w:p w14:paraId="34E91750">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cs="Times New Roman" w:eastAsiaTheme="minorEastAsia"/>
                      <w:color w:val="auto"/>
                      <w:kern w:val="0"/>
                      <w:sz w:val="21"/>
                      <w:szCs w:val="21"/>
                      <w:highlight w:val="none"/>
                      <w:lang w:val="en-US" w:eastAsia="zh-CN"/>
                    </w:rPr>
                  </w:pPr>
                  <w:r>
                    <w:rPr>
                      <w:rStyle w:val="50"/>
                      <w:rFonts w:hint="eastAsia" w:cs="Times New Roman" w:eastAsiaTheme="minorEastAsia"/>
                      <w:color w:val="auto"/>
                      <w:kern w:val="0"/>
                      <w:sz w:val="21"/>
                      <w:szCs w:val="21"/>
                      <w:highlight w:val="none"/>
                      <w:lang w:val="en-US" w:eastAsia="zh-CN"/>
                    </w:rPr>
                    <w:t>3.</w:t>
                  </w:r>
                  <w:r>
                    <w:rPr>
                      <w:rStyle w:val="50"/>
                      <w:rFonts w:hint="default" w:ascii="Times New Roman" w:hAnsi="Times New Roman" w:cs="Times New Roman" w:eastAsiaTheme="minorEastAsia"/>
                      <w:color w:val="auto"/>
                      <w:kern w:val="0"/>
                      <w:sz w:val="21"/>
                      <w:szCs w:val="21"/>
                      <w:highlight w:val="none"/>
                      <w:lang w:val="en-US" w:eastAsia="zh-CN"/>
                    </w:rPr>
                    <w:t>本次评价</w:t>
                  </w:r>
                  <w:r>
                    <w:rPr>
                      <w:rStyle w:val="50"/>
                      <w:rFonts w:hint="eastAsia" w:ascii="Times New Roman" w:hAnsi="Times New Roman" w:cs="Times New Roman" w:eastAsiaTheme="minorEastAsia"/>
                      <w:color w:val="auto"/>
                      <w:kern w:val="0"/>
                      <w:sz w:val="21"/>
                      <w:szCs w:val="21"/>
                      <w:highlight w:val="none"/>
                      <w:lang w:val="en-US" w:eastAsia="zh-CN"/>
                    </w:rPr>
                    <w:t>已</w:t>
                  </w:r>
                  <w:r>
                    <w:rPr>
                      <w:rStyle w:val="50"/>
                      <w:rFonts w:hint="default" w:ascii="Times New Roman" w:hAnsi="Times New Roman" w:cs="Times New Roman" w:eastAsiaTheme="minorEastAsia"/>
                      <w:color w:val="auto"/>
                      <w:kern w:val="0"/>
                      <w:sz w:val="21"/>
                      <w:szCs w:val="21"/>
                      <w:highlight w:val="none"/>
                      <w:lang w:val="en-US" w:eastAsia="zh-CN"/>
                    </w:rPr>
                    <w:t>要求</w:t>
                  </w:r>
                  <w:r>
                    <w:rPr>
                      <w:rStyle w:val="50"/>
                      <w:rFonts w:hint="eastAsia" w:ascii="Times New Roman" w:hAnsi="Times New Roman" w:cs="Times New Roman" w:eastAsiaTheme="minorEastAsia"/>
                      <w:color w:val="auto"/>
                      <w:kern w:val="0"/>
                      <w:sz w:val="21"/>
                      <w:szCs w:val="21"/>
                      <w:highlight w:val="none"/>
                      <w:lang w:val="en-US" w:eastAsia="zh-CN"/>
                    </w:rPr>
                    <w:t>运营单位完善环境应急管理体系。</w:t>
                  </w:r>
                </w:p>
                <w:p w14:paraId="5AF03271">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cs="Times New Roman" w:eastAsiaTheme="minorEastAsia"/>
                      <w:color w:val="auto"/>
                      <w:kern w:val="0"/>
                      <w:sz w:val="21"/>
                      <w:szCs w:val="21"/>
                      <w:highlight w:val="none"/>
                      <w:lang w:val="en-US" w:eastAsia="zh-CN"/>
                    </w:rPr>
                  </w:pPr>
                  <w:r>
                    <w:rPr>
                      <w:rStyle w:val="50"/>
                      <w:rFonts w:hint="eastAsia" w:cs="Times New Roman" w:eastAsiaTheme="minorEastAsia"/>
                      <w:color w:val="auto"/>
                      <w:kern w:val="0"/>
                      <w:sz w:val="21"/>
                      <w:szCs w:val="21"/>
                      <w:highlight w:val="none"/>
                      <w:lang w:val="en-US" w:eastAsia="zh-CN"/>
                    </w:rPr>
                    <w:t>4.本项目厂界外500m范围不涉及农村饮用水水源保护区。</w:t>
                  </w:r>
                </w:p>
                <w:p w14:paraId="31DBD6A4">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Style w:val="50"/>
                      <w:rFonts w:hint="eastAsia" w:cs="Times New Roman" w:eastAsiaTheme="minorEastAsia"/>
                      <w:color w:val="auto"/>
                      <w:kern w:val="0"/>
                      <w:sz w:val="21"/>
                      <w:szCs w:val="21"/>
                      <w:highlight w:val="none"/>
                      <w:lang w:val="en-US" w:eastAsia="zh-CN"/>
                    </w:rPr>
                    <w:t>5.</w:t>
                  </w:r>
                  <w:r>
                    <w:rPr>
                      <w:rStyle w:val="50"/>
                      <w:rFonts w:hint="default" w:ascii="Times New Roman" w:hAnsi="Times New Roman" w:cs="Times New Roman" w:eastAsiaTheme="minorEastAsia"/>
                      <w:color w:val="auto"/>
                      <w:kern w:val="0"/>
                      <w:sz w:val="21"/>
                      <w:szCs w:val="21"/>
                      <w:highlight w:val="none"/>
                      <w:lang w:val="en-US" w:eastAsia="zh-CN"/>
                    </w:rPr>
                    <w:t>本项目不涉及涉重金属、持久性有机物等有毒有害污染物企业。</w:t>
                  </w:r>
                  <w:r>
                    <w:rPr>
                      <w:rStyle w:val="50"/>
                      <w:rFonts w:hint="eastAsia" w:cs="Times New Roman" w:eastAsiaTheme="minorEastAsia"/>
                      <w:color w:val="auto"/>
                      <w:kern w:val="0"/>
                      <w:sz w:val="21"/>
                      <w:szCs w:val="21"/>
                      <w:highlight w:val="none"/>
                      <w:lang w:val="en-US" w:eastAsia="zh-CN"/>
                    </w:rPr>
                    <w:t>6.本项目不涉及尾矿库的建设和使用。</w:t>
                  </w:r>
                </w:p>
              </w:tc>
              <w:tc>
                <w:tcPr>
                  <w:tcW w:w="477" w:type="pct"/>
                  <w:noWrap w:val="0"/>
                  <w:vAlign w:val="center"/>
                </w:tcPr>
                <w:p w14:paraId="3BFDD27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leftChars="0" w:right="0"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vertAlign w:val="baseline"/>
                      <w:lang w:val="en-US" w:eastAsia="zh-CN" w:bidi="ar"/>
                    </w:rPr>
                    <w:t>符合</w:t>
                  </w:r>
                </w:p>
              </w:tc>
            </w:tr>
            <w:tr w14:paraId="57A4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 w:type="pct"/>
                  <w:gridSpan w:val="2"/>
                  <w:vMerge w:val="continue"/>
                  <w:noWrap w:val="0"/>
                  <w:vAlign w:val="center"/>
                </w:tcPr>
                <w:p w14:paraId="00EAA9D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leftChars="0" w:right="0"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p>
              </w:tc>
              <w:tc>
                <w:tcPr>
                  <w:tcW w:w="355" w:type="pct"/>
                  <w:noWrap w:val="0"/>
                  <w:vAlign w:val="center"/>
                </w:tcPr>
                <w:p w14:paraId="499D5AA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leftChars="0" w:right="0" w:firstLine="0" w:firstLineChars="0"/>
                    <w:jc w:val="center"/>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资源开发效率要求</w:t>
                  </w:r>
                </w:p>
              </w:tc>
              <w:tc>
                <w:tcPr>
                  <w:tcW w:w="2356" w:type="pct"/>
                  <w:gridSpan w:val="3"/>
                  <w:noWrap w:val="0"/>
                  <w:vAlign w:val="center"/>
                </w:tcPr>
                <w:p w14:paraId="4D80B254">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1.到2025年，基本建成与经济社会高质量发展和生态文明建设要求相适应、与由全面建成小康社会向基本实现现代化迈进起步期相协同的水安全保障体系。</w:t>
                  </w:r>
                </w:p>
                <w:p w14:paraId="10396C11">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2.节水型生产和生活方式初步建立，用水效率和效益显著提高，全社会节水意识明显增强，新时代节水型社会基本建成。全市用水总量控制在35.48亿m</w:t>
                  </w:r>
                  <w:r>
                    <w:rPr>
                      <w:rStyle w:val="50"/>
                      <w:rFonts w:hint="default" w:ascii="Times New Roman" w:hAnsi="Times New Roman" w:cs="Times New Roman" w:eastAsiaTheme="minorEastAsia"/>
                      <w:color w:val="auto"/>
                      <w:kern w:val="0"/>
                      <w:sz w:val="21"/>
                      <w:szCs w:val="21"/>
                      <w:highlight w:val="none"/>
                      <w:vertAlign w:val="superscript"/>
                    </w:rPr>
                    <w:t>3</w:t>
                  </w:r>
                  <w:r>
                    <w:rPr>
                      <w:rStyle w:val="50"/>
                      <w:rFonts w:hint="default" w:ascii="Times New Roman" w:hAnsi="Times New Roman" w:cs="Times New Roman" w:eastAsiaTheme="minorEastAsia"/>
                      <w:color w:val="auto"/>
                      <w:kern w:val="0"/>
                      <w:sz w:val="21"/>
                      <w:szCs w:val="21"/>
                      <w:highlight w:val="none"/>
                    </w:rPr>
                    <w:t>以内，万元GDP用水量较2020年下降10%，万元工业增加值用水量较2020年下降10%，农田灌溉水有效利用系数提高到0.55以上。</w:t>
                  </w:r>
                </w:p>
                <w:p w14:paraId="250F1422">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3.万元工业增加值用水量≤30（立方米/万元）。</w:t>
                  </w:r>
                </w:p>
                <w:p w14:paraId="6BDFCFAA">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4.2025年底前，全市单位地区生产总值能源消耗较2020年下降14%，能源消费总量得到合理控制。</w:t>
                  </w:r>
                </w:p>
                <w:p w14:paraId="33595C64">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5.单位GDP能源消耗累计下降23.6%，不低于省级下达目标。</w:t>
                  </w:r>
                </w:p>
                <w:p w14:paraId="0450E52E">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6.对照国家有关高耗能行业重点领域能效标杆水平，实施钢铁、有色金属、冶炼等17个高耗能行业节能降碳改造升级，加快提升重点行业、企业能效水平。</w:t>
                  </w:r>
                </w:p>
                <w:p w14:paraId="133E0996">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7.加强节能监察和探索用能预算管理，实施电机、变压器等重点用能设备能效提升三年行动，推广先进节能技术。</w:t>
                  </w:r>
                </w:p>
                <w:p w14:paraId="311404E2">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8.到2025年，钢铁行业全面完成超低排放改造。</w:t>
                  </w:r>
                </w:p>
                <w:p w14:paraId="3E78C7DB">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9.加快推进有色、化工、印染、烟草等行业清洁生产和工业废水资源化利用。</w:t>
                  </w:r>
                </w:p>
                <w:p w14:paraId="027E578A">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10.到2025年，全市新建大型及以上数据中心绿色低碳等级达到4A以上，电源使用效率（PUE）达到1.3以下，逐步组织电源使用效率超过1.5的数据中心进行节能降碳改造。</w:t>
                  </w:r>
                </w:p>
                <w:p w14:paraId="59C9C474">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11.</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十四五</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期间，全市规模以上工业单位增加值能耗下降14.5%，万元工业增加值用水量下降12%。</w:t>
                  </w:r>
                </w:p>
                <w:p w14:paraId="7B1280CF">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12.到2025年，通过实施节能降碳提升工程，钢铁、电解铝、水泥、平板玻璃、炼油、乙烯、合成氨、电石等重点行业产能和数据中心达到能效标杆水平的比例超过30%。</w:t>
                  </w:r>
                </w:p>
                <w:p w14:paraId="1AF97FB6">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13.公共机构单位建筑面积碳排放量比2020年下降7%。</w:t>
                  </w:r>
                </w:p>
                <w:p w14:paraId="450561BE">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14.非化石能源消费占一次能源消费比重达到40%以上，完成省级下达目标。</w:t>
                  </w:r>
                </w:p>
                <w:p w14:paraId="17F9E9E6">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15.单位GDP二氧化碳排放累计下降23%，不低于省级下达目标。</w:t>
                  </w:r>
                </w:p>
                <w:p w14:paraId="00CF3C07">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16.严把新上项目的碳排放关，严格</w:t>
                  </w:r>
                  <w:r>
                    <w:rPr>
                      <w:rStyle w:val="50"/>
                      <w:rFonts w:hint="eastAsia" w:cs="Times New Roman" w:eastAsiaTheme="minorEastAsia"/>
                      <w:color w:val="auto"/>
                      <w:kern w:val="0"/>
                      <w:sz w:val="21"/>
                      <w:szCs w:val="21"/>
                      <w:highlight w:val="none"/>
                      <w:lang w:val="en-US" w:eastAsia="zh-CN"/>
                    </w:rPr>
                    <w:t>生态</w:t>
                  </w:r>
                  <w:r>
                    <w:rPr>
                      <w:rStyle w:val="50"/>
                      <w:rFonts w:hint="default" w:ascii="Times New Roman" w:hAnsi="Times New Roman" w:cs="Times New Roman" w:eastAsiaTheme="minorEastAsia"/>
                      <w:color w:val="auto"/>
                      <w:kern w:val="0"/>
                      <w:sz w:val="21"/>
                      <w:szCs w:val="21"/>
                      <w:highlight w:val="none"/>
                    </w:rPr>
                    <w:t>环境影响评价审批，加强固定资产投资项目节能审查，推动新建</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两高一低</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项目能效水平应提尽提。</w:t>
                  </w:r>
                </w:p>
                <w:p w14:paraId="66AECB62">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17.以六大高耗能行业为重点，全面梳理形成拟建、在建、存量</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两高一低</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项目清单，实行清单管理、分类处置、动态监控。加强</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两高一低</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项目全过程监管，严肃查处不符合政策要求、违规审批、未批先建、批建不符、超标用能排污的</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两高一低</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项目。</w:t>
                  </w:r>
                </w:p>
                <w:p w14:paraId="5C448DEB">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18.加快淘汰落后和低端低效产能退出。</w:t>
                  </w:r>
                </w:p>
                <w:p w14:paraId="08D486CA">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Style w:val="50"/>
                      <w:rFonts w:hint="default" w:ascii="Times New Roman" w:hAnsi="Times New Roman" w:cs="Times New Roman" w:eastAsiaTheme="minorEastAsia"/>
                      <w:color w:val="auto"/>
                      <w:kern w:val="0"/>
                      <w:sz w:val="21"/>
                      <w:szCs w:val="21"/>
                      <w:highlight w:val="none"/>
                    </w:rPr>
                    <w:t>19.指导金融机构加强</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两高一低</w:t>
                  </w:r>
                  <w:r>
                    <w:rPr>
                      <w:rStyle w:val="50"/>
                      <w:rFonts w:hint="default" w:ascii="Times New Roman" w:hAnsi="Times New Roman" w:cs="Times New Roman" w:eastAsiaTheme="minorEastAsia"/>
                      <w:color w:val="auto"/>
                      <w:kern w:val="0"/>
                      <w:sz w:val="21"/>
                      <w:szCs w:val="21"/>
                      <w:highlight w:val="none"/>
                      <w:lang w:eastAsia="zh-CN"/>
                    </w:rPr>
                    <w:t>”</w:t>
                  </w:r>
                  <w:r>
                    <w:rPr>
                      <w:rStyle w:val="50"/>
                      <w:rFonts w:hint="default" w:ascii="Times New Roman" w:hAnsi="Times New Roman" w:cs="Times New Roman" w:eastAsiaTheme="minorEastAsia"/>
                      <w:color w:val="auto"/>
                      <w:kern w:val="0"/>
                      <w:sz w:val="21"/>
                      <w:szCs w:val="21"/>
                      <w:highlight w:val="none"/>
                    </w:rPr>
                    <w:t>项目贷前审核。</w:t>
                  </w:r>
                </w:p>
              </w:tc>
              <w:tc>
                <w:tcPr>
                  <w:tcW w:w="1454" w:type="pct"/>
                  <w:noWrap w:val="0"/>
                  <w:vAlign w:val="center"/>
                </w:tcPr>
                <w:p w14:paraId="6291D27F">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20" w:lineRule="exact"/>
                    <w:ind w:left="0" w:right="0" w:firstLine="0" w:firstLineChars="0"/>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eastAsia" w:cs="Times New Roman" w:eastAsiaTheme="minorEastAsia"/>
                      <w:color w:val="auto"/>
                      <w:sz w:val="21"/>
                      <w:szCs w:val="21"/>
                      <w:highlight w:val="none"/>
                      <w:lang w:val="en-US" w:eastAsia="zh-CN"/>
                    </w:rPr>
                    <w:t>本</w:t>
                  </w:r>
                  <w:r>
                    <w:rPr>
                      <w:rFonts w:hint="default" w:ascii="Times New Roman" w:hAnsi="Times New Roman" w:cs="Times New Roman" w:eastAsiaTheme="minorEastAsia"/>
                      <w:color w:val="auto"/>
                      <w:sz w:val="21"/>
                      <w:szCs w:val="21"/>
                      <w:highlight w:val="none"/>
                      <w:lang w:val="en-US"/>
                    </w:rPr>
                    <w:t>项目</w:t>
                  </w:r>
                  <w:r>
                    <w:rPr>
                      <w:rFonts w:hint="eastAsia" w:cs="Times New Roman" w:eastAsiaTheme="minorEastAsia"/>
                      <w:color w:val="auto"/>
                      <w:sz w:val="21"/>
                      <w:szCs w:val="21"/>
                      <w:highlight w:val="none"/>
                      <w:lang w:val="en-US" w:eastAsia="zh-CN"/>
                    </w:rPr>
                    <w:t>不属于两高项目，不涉及有色、化工、印染、烟草等行业，</w:t>
                  </w:r>
                  <w:r>
                    <w:rPr>
                      <w:rFonts w:hint="default" w:ascii="Times New Roman" w:hAnsi="Times New Roman" w:cs="Times New Roman" w:eastAsiaTheme="minorEastAsia"/>
                      <w:color w:val="auto"/>
                      <w:sz w:val="21"/>
                      <w:szCs w:val="21"/>
                      <w:highlight w:val="none"/>
                      <w:lang w:val="en-US"/>
                    </w:rPr>
                    <w:t>产生</w:t>
                  </w:r>
                  <w:r>
                    <w:rPr>
                      <w:rFonts w:hint="eastAsia" w:cs="Times New Roman" w:eastAsiaTheme="minorEastAsia"/>
                      <w:color w:val="auto"/>
                      <w:sz w:val="21"/>
                      <w:szCs w:val="21"/>
                      <w:highlight w:val="none"/>
                      <w:lang w:val="en-US" w:eastAsia="zh-CN"/>
                    </w:rPr>
                    <w:t>的</w:t>
                  </w:r>
                  <w:r>
                    <w:rPr>
                      <w:rFonts w:hint="default" w:ascii="Times New Roman" w:hAnsi="Times New Roman" w:cs="Times New Roman" w:eastAsiaTheme="minorEastAsia"/>
                      <w:color w:val="auto"/>
                      <w:sz w:val="21"/>
                      <w:szCs w:val="21"/>
                      <w:highlight w:val="none"/>
                      <w:lang w:val="en-US"/>
                    </w:rPr>
                    <w:t>生产废水</w:t>
                  </w:r>
                  <w:r>
                    <w:rPr>
                      <w:rFonts w:hint="eastAsia" w:cs="Times New Roman" w:eastAsiaTheme="minorEastAsia"/>
                      <w:color w:val="auto"/>
                      <w:sz w:val="21"/>
                      <w:szCs w:val="21"/>
                      <w:highlight w:val="none"/>
                      <w:lang w:val="en-US" w:eastAsia="zh-CN"/>
                    </w:rPr>
                    <w:t>和</w:t>
                  </w:r>
                  <w:r>
                    <w:rPr>
                      <w:rFonts w:hint="default" w:ascii="Times New Roman" w:hAnsi="Times New Roman" w:cs="Times New Roman" w:eastAsiaTheme="minorEastAsia"/>
                      <w:b w:val="0"/>
                      <w:bCs w:val="0"/>
                      <w:color w:val="auto"/>
                      <w:sz w:val="21"/>
                      <w:szCs w:val="21"/>
                      <w:highlight w:val="none"/>
                      <w:vertAlign w:val="baseline"/>
                      <w:lang w:val="en-US" w:eastAsia="zh-CN"/>
                    </w:rPr>
                    <w:t>生活污水</w:t>
                  </w:r>
                  <w:r>
                    <w:rPr>
                      <w:rFonts w:hint="eastAsia" w:cs="Times New Roman" w:eastAsiaTheme="minorEastAsia"/>
                      <w:b w:val="0"/>
                      <w:bCs w:val="0"/>
                      <w:color w:val="auto"/>
                      <w:sz w:val="21"/>
                      <w:szCs w:val="21"/>
                      <w:highlight w:val="none"/>
                      <w:vertAlign w:val="baseline"/>
                      <w:lang w:val="en-US" w:eastAsia="zh-CN"/>
                    </w:rPr>
                    <w:t>依托现有项目污水处理设施处理后，排入寻甸县污水处理厂处理</w:t>
                  </w:r>
                  <w:r>
                    <w:rPr>
                      <w:rStyle w:val="50"/>
                      <w:rFonts w:hint="default" w:ascii="Times New Roman" w:hAnsi="Times New Roman" w:cs="Times New Roman" w:eastAsiaTheme="minorEastAsia"/>
                      <w:color w:val="auto"/>
                      <w:kern w:val="0"/>
                      <w:sz w:val="21"/>
                      <w:szCs w:val="21"/>
                      <w:highlight w:val="none"/>
                      <w:lang w:val="en-US" w:eastAsia="zh-CN"/>
                    </w:rPr>
                    <w:t>；工业固体废物处置率为100%。</w:t>
                  </w:r>
                </w:p>
              </w:tc>
              <w:tc>
                <w:tcPr>
                  <w:tcW w:w="477" w:type="pct"/>
                  <w:noWrap w:val="0"/>
                  <w:vAlign w:val="center"/>
                </w:tcPr>
                <w:p w14:paraId="096C28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20" w:lineRule="exact"/>
                    <w:ind w:left="0" w:leftChars="0" w:right="0"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vertAlign w:val="baseline"/>
                      <w:lang w:val="en-US" w:eastAsia="zh-CN" w:bidi="ar"/>
                    </w:rPr>
                    <w:t>符合</w:t>
                  </w:r>
                </w:p>
              </w:tc>
            </w:tr>
            <w:tr w14:paraId="070FB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 w:type="pct"/>
                  <w:gridSpan w:val="2"/>
                  <w:vMerge w:val="restart"/>
                  <w:noWrap w:val="0"/>
                  <w:vAlign w:val="center"/>
                </w:tcPr>
                <w:p w14:paraId="6D78A132">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rPr>
                    <w:t>寻甸回族彝族自治县矿产资源重点管控单元</w:t>
                  </w:r>
                </w:p>
              </w:tc>
              <w:tc>
                <w:tcPr>
                  <w:tcW w:w="355" w:type="pct"/>
                  <w:noWrap w:val="0"/>
                  <w:vAlign w:val="center"/>
                </w:tcPr>
                <w:p w14:paraId="5ED23196">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空间布局约束</w:t>
                  </w:r>
                </w:p>
              </w:tc>
              <w:tc>
                <w:tcPr>
                  <w:tcW w:w="2356" w:type="pct"/>
                  <w:gridSpan w:val="3"/>
                  <w:noWrap w:val="0"/>
                  <w:vAlign w:val="center"/>
                </w:tcPr>
                <w:p w14:paraId="330760E8">
                  <w:pPr>
                    <w:pStyle w:val="97"/>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both"/>
                    <w:textAlignment w:val="auto"/>
                    <w:rPr>
                      <w:rStyle w:val="50"/>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b w:val="0"/>
                      <w:color w:val="auto"/>
                      <w:sz w:val="21"/>
                      <w:szCs w:val="21"/>
                      <w:highlight w:val="none"/>
                    </w:rPr>
                    <w:t>1.对于规划区与饮用水水源保护区重叠区域不新设采矿权，原有矿权逐步有序退出，排污口不得设置在饮用水水源保护区内。饮用水水源二级保护区执行绿色勘查相关要求。</w:t>
                  </w:r>
                  <w:r>
                    <w:rPr>
                      <w:rFonts w:hint="default" w:ascii="Times New Roman" w:hAnsi="Times New Roman" w:cs="Times New Roman" w:eastAsiaTheme="minorEastAsia"/>
                      <w:b w:val="0"/>
                      <w:color w:val="auto"/>
                      <w:sz w:val="21"/>
                      <w:szCs w:val="21"/>
                      <w:highlight w:val="none"/>
                    </w:rPr>
                    <w:br w:type="textWrapping"/>
                  </w:r>
                  <w:r>
                    <w:rPr>
                      <w:rFonts w:hint="default" w:ascii="Times New Roman" w:hAnsi="Times New Roman" w:cs="Times New Roman" w:eastAsiaTheme="minorEastAsia"/>
                      <w:b w:val="0"/>
                      <w:color w:val="auto"/>
                      <w:sz w:val="21"/>
                      <w:szCs w:val="21"/>
                      <w:highlight w:val="none"/>
                    </w:rPr>
                    <w:t>2.禁止在长江干流岸线三公里范围内和重要支流岸线一公里范围内新建、改建、扩建尾矿库；</w:t>
                  </w:r>
                  <w:r>
                    <w:rPr>
                      <w:rFonts w:hint="default" w:ascii="Times New Roman" w:hAnsi="Times New Roman" w:cs="Times New Roman" w:eastAsiaTheme="minorEastAsia"/>
                      <w:b w:val="0"/>
                      <w:color w:val="auto"/>
                      <w:sz w:val="21"/>
                      <w:szCs w:val="21"/>
                      <w:highlight w:val="none"/>
                    </w:rPr>
                    <w:br w:type="textWrapping"/>
                  </w:r>
                  <w:r>
                    <w:rPr>
                      <w:rFonts w:hint="default" w:ascii="Times New Roman" w:hAnsi="Times New Roman" w:cs="Times New Roman" w:eastAsiaTheme="minorEastAsia"/>
                      <w:b w:val="0"/>
                      <w:color w:val="auto"/>
                      <w:sz w:val="21"/>
                      <w:szCs w:val="21"/>
                      <w:highlight w:val="none"/>
                    </w:rPr>
                    <w:t>3.不再新建露天磷矿山，严格总磷排放管控要求，控制总磷排放总量，涉及磷矿开采企业应对排污口和周边环境进行总磷监测，依法公开监测信息；</w:t>
                  </w:r>
                  <w:r>
                    <w:rPr>
                      <w:rFonts w:hint="default" w:ascii="Times New Roman" w:hAnsi="Times New Roman" w:cs="Times New Roman" w:eastAsiaTheme="minorEastAsia"/>
                      <w:b w:val="0"/>
                      <w:color w:val="auto"/>
                      <w:sz w:val="21"/>
                      <w:szCs w:val="21"/>
                      <w:highlight w:val="none"/>
                    </w:rPr>
                    <w:br w:type="textWrapping"/>
                  </w:r>
                  <w:r>
                    <w:rPr>
                      <w:rFonts w:hint="default" w:ascii="Times New Roman" w:hAnsi="Times New Roman" w:cs="Times New Roman" w:eastAsiaTheme="minorEastAsia"/>
                      <w:b w:val="0"/>
                      <w:color w:val="auto"/>
                      <w:sz w:val="21"/>
                      <w:szCs w:val="21"/>
                      <w:highlight w:val="none"/>
                    </w:rPr>
                    <w:t>4.继续实施长江经济带废弃矿山生态修复工作。</w:t>
                  </w:r>
                  <w:r>
                    <w:rPr>
                      <w:rFonts w:hint="default" w:ascii="Times New Roman" w:hAnsi="Times New Roman" w:cs="Times New Roman" w:eastAsiaTheme="minorEastAsia"/>
                      <w:b w:val="0"/>
                      <w:color w:val="auto"/>
                      <w:sz w:val="21"/>
                      <w:szCs w:val="21"/>
                      <w:highlight w:val="none"/>
                    </w:rPr>
                    <w:br w:type="textWrapping"/>
                  </w:r>
                  <w:r>
                    <w:rPr>
                      <w:rFonts w:hint="default" w:ascii="Times New Roman" w:hAnsi="Times New Roman" w:cs="Times New Roman" w:eastAsiaTheme="minorEastAsia"/>
                      <w:b w:val="0"/>
                      <w:color w:val="auto"/>
                      <w:sz w:val="21"/>
                      <w:szCs w:val="21"/>
                      <w:highlight w:val="none"/>
                    </w:rPr>
                    <w:t>5.矿山开采地面设施禁止占用永久基本农田。</w:t>
                  </w:r>
                  <w:r>
                    <w:rPr>
                      <w:rFonts w:hint="default" w:ascii="Times New Roman" w:hAnsi="Times New Roman" w:cs="Times New Roman" w:eastAsiaTheme="minorEastAsia"/>
                      <w:b w:val="0"/>
                      <w:color w:val="auto"/>
                      <w:sz w:val="21"/>
                      <w:szCs w:val="21"/>
                      <w:highlight w:val="none"/>
                    </w:rPr>
                    <w:br w:type="textWrapping"/>
                  </w:r>
                  <w:r>
                    <w:rPr>
                      <w:rFonts w:hint="default" w:ascii="Times New Roman" w:hAnsi="Times New Roman" w:cs="Times New Roman" w:eastAsiaTheme="minorEastAsia"/>
                      <w:b w:val="0"/>
                      <w:color w:val="auto"/>
                      <w:sz w:val="21"/>
                      <w:szCs w:val="21"/>
                      <w:highlight w:val="none"/>
                    </w:rPr>
                    <w:t>6.矿山企业应当按照“谁开发、谁保护、谁破坏、谁治理”的原则，结合矿山生产实际，及时组织开展矿山地质环境恢复治理和土</w:t>
                  </w:r>
                  <w:r>
                    <w:rPr>
                      <w:rFonts w:hint="default" w:ascii="Times New Roman" w:hAnsi="Times New Roman" w:cs="Times New Roman" w:eastAsiaTheme="minorEastAsia"/>
                      <w:b w:val="0"/>
                      <w:color w:val="auto"/>
                      <w:sz w:val="21"/>
                      <w:szCs w:val="21"/>
                      <w:highlight w:val="none"/>
                    </w:rPr>
                    <w:br w:type="textWrapping"/>
                  </w:r>
                  <w:r>
                    <w:rPr>
                      <w:rFonts w:hint="default" w:ascii="Times New Roman" w:hAnsi="Times New Roman" w:cs="Times New Roman" w:eastAsiaTheme="minorEastAsia"/>
                      <w:b w:val="0"/>
                      <w:color w:val="auto"/>
                      <w:sz w:val="21"/>
                      <w:szCs w:val="21"/>
                      <w:highlight w:val="none"/>
                    </w:rPr>
                    <w:t>7.地复垦相关工作，切实履行矿山生态修复义务。加快推进历史遗留矿山生态修复工作。</w:t>
                  </w:r>
                </w:p>
              </w:tc>
              <w:tc>
                <w:tcPr>
                  <w:tcW w:w="1454" w:type="pct"/>
                  <w:noWrap w:val="0"/>
                  <w:vAlign w:val="center"/>
                </w:tcPr>
                <w:p w14:paraId="796D949B">
                  <w:pPr>
                    <w:pStyle w:val="97"/>
                    <w:keepNext w:val="0"/>
                    <w:keepLines w:val="0"/>
                    <w:pageBreakBefore w:val="0"/>
                    <w:widowControl w:val="0"/>
                    <w:numPr>
                      <w:ilvl w:val="0"/>
                      <w:numId w:val="4"/>
                    </w:numPr>
                    <w:kinsoku/>
                    <w:wordWrap/>
                    <w:overflowPunct/>
                    <w:topLinePunct w:val="0"/>
                    <w:autoSpaceDE/>
                    <w:autoSpaceDN/>
                    <w:bidi w:val="0"/>
                    <w:adjustRightInd/>
                    <w:snapToGrid/>
                    <w:spacing w:beforeLines="0" w:afterLines="0" w:line="320" w:lineRule="exact"/>
                    <w:ind w:firstLine="0" w:firstLineChars="0"/>
                    <w:jc w:val="both"/>
                    <w:textAlignment w:val="auto"/>
                    <w:rPr>
                      <w:rFonts w:hint="default" w:ascii="Times New Roman" w:hAnsi="Times New Roman" w:cs="Times New Roman" w:eastAsiaTheme="minorEastAsia"/>
                      <w:b w:val="0"/>
                      <w:color w:val="auto"/>
                      <w:sz w:val="21"/>
                      <w:szCs w:val="21"/>
                      <w:highlight w:val="none"/>
                    </w:rPr>
                  </w:pPr>
                  <w:r>
                    <w:rPr>
                      <w:rFonts w:hint="default" w:ascii="Times New Roman" w:hAnsi="Times New Roman" w:cs="Times New Roman" w:eastAsiaTheme="minorEastAsia"/>
                      <w:b w:val="0"/>
                      <w:color w:val="auto"/>
                      <w:sz w:val="21"/>
                      <w:szCs w:val="21"/>
                      <w:highlight w:val="none"/>
                    </w:rPr>
                    <w:t>本次扩建项目为</w:t>
                  </w:r>
                  <w:r>
                    <w:rPr>
                      <w:rFonts w:hint="eastAsia" w:cs="Times New Roman" w:eastAsiaTheme="minorEastAsia"/>
                      <w:b w:val="0"/>
                      <w:color w:val="auto"/>
                      <w:sz w:val="21"/>
                      <w:szCs w:val="21"/>
                      <w:highlight w:val="none"/>
                      <w:lang w:val="en-US" w:eastAsia="zh-CN"/>
                    </w:rPr>
                    <w:t>复合微生物肥的</w:t>
                  </w:r>
                  <w:r>
                    <w:rPr>
                      <w:rFonts w:hint="default" w:ascii="Times New Roman" w:hAnsi="Times New Roman" w:cs="Times New Roman" w:eastAsiaTheme="minorEastAsia"/>
                      <w:b w:val="0"/>
                      <w:color w:val="auto"/>
                      <w:sz w:val="21"/>
                      <w:szCs w:val="21"/>
                      <w:highlight w:val="none"/>
                    </w:rPr>
                    <w:t>生产，不涉及新立矿权。不新增废水排放口。</w:t>
                  </w:r>
                </w:p>
                <w:p w14:paraId="031AB2FE">
                  <w:pPr>
                    <w:keepNext w:val="0"/>
                    <w:keepLines w:val="0"/>
                    <w:pageBreakBefore w:val="0"/>
                    <w:widowControl w:val="0"/>
                    <w:numPr>
                      <w:ilvl w:val="0"/>
                      <w:numId w:val="4"/>
                    </w:numPr>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b w:val="0"/>
                      <w:color w:val="auto"/>
                      <w:sz w:val="21"/>
                      <w:szCs w:val="21"/>
                      <w:highlight w:val="none"/>
                    </w:rPr>
                    <w:t>本次扩建项目为</w:t>
                  </w:r>
                  <w:r>
                    <w:rPr>
                      <w:rFonts w:hint="eastAsia" w:cs="Times New Roman" w:eastAsiaTheme="minorEastAsia"/>
                      <w:b w:val="0"/>
                      <w:color w:val="auto"/>
                      <w:sz w:val="21"/>
                      <w:szCs w:val="21"/>
                      <w:highlight w:val="none"/>
                      <w:lang w:val="en-US" w:eastAsia="zh-CN"/>
                    </w:rPr>
                    <w:t>复合微生物肥的</w:t>
                  </w:r>
                  <w:r>
                    <w:rPr>
                      <w:rFonts w:hint="default" w:ascii="Times New Roman" w:hAnsi="Times New Roman" w:cs="Times New Roman" w:eastAsiaTheme="minorEastAsia"/>
                      <w:b w:val="0"/>
                      <w:color w:val="auto"/>
                      <w:sz w:val="21"/>
                      <w:szCs w:val="21"/>
                      <w:highlight w:val="none"/>
                    </w:rPr>
                    <w:t>生产，</w:t>
                  </w:r>
                  <w:r>
                    <w:rPr>
                      <w:rFonts w:hint="default" w:ascii="Times New Roman" w:hAnsi="Times New Roman" w:cs="Times New Roman" w:eastAsiaTheme="minorEastAsia"/>
                      <w:color w:val="auto"/>
                      <w:sz w:val="21"/>
                      <w:szCs w:val="21"/>
                      <w:highlight w:val="none"/>
                    </w:rPr>
                    <w:t>不属于尾矿库行业</w:t>
                  </w:r>
                  <w:r>
                    <w:rPr>
                      <w:rFonts w:hint="eastAsia" w:cs="Times New Roman" w:eastAsiaTheme="minorEastAsia"/>
                      <w:color w:val="auto"/>
                      <w:sz w:val="21"/>
                      <w:szCs w:val="21"/>
                      <w:highlight w:val="none"/>
                      <w:lang w:eastAsia="zh-CN"/>
                    </w:rPr>
                    <w:t>。</w:t>
                  </w:r>
                </w:p>
                <w:p w14:paraId="6FFC3D89">
                  <w:pPr>
                    <w:keepNext w:val="0"/>
                    <w:keepLines w:val="0"/>
                    <w:pageBreakBefore w:val="0"/>
                    <w:widowControl w:val="0"/>
                    <w:numPr>
                      <w:ilvl w:val="0"/>
                      <w:numId w:val="4"/>
                    </w:numPr>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b w:val="0"/>
                      <w:color w:val="auto"/>
                      <w:sz w:val="21"/>
                      <w:szCs w:val="21"/>
                      <w:highlight w:val="none"/>
                    </w:rPr>
                    <w:t>本次扩建项目为</w:t>
                  </w:r>
                  <w:r>
                    <w:rPr>
                      <w:rFonts w:hint="eastAsia" w:cs="Times New Roman" w:eastAsiaTheme="minorEastAsia"/>
                      <w:b w:val="0"/>
                      <w:color w:val="auto"/>
                      <w:sz w:val="21"/>
                      <w:szCs w:val="21"/>
                      <w:highlight w:val="none"/>
                      <w:lang w:val="en-US" w:eastAsia="zh-CN"/>
                    </w:rPr>
                    <w:t>复合微生物肥的</w:t>
                  </w:r>
                  <w:r>
                    <w:rPr>
                      <w:rFonts w:hint="default" w:ascii="Times New Roman" w:hAnsi="Times New Roman" w:cs="Times New Roman" w:eastAsiaTheme="minorEastAsia"/>
                      <w:b w:val="0"/>
                      <w:color w:val="auto"/>
                      <w:sz w:val="21"/>
                      <w:szCs w:val="21"/>
                      <w:highlight w:val="none"/>
                    </w:rPr>
                    <w:t>生产</w:t>
                  </w:r>
                  <w:r>
                    <w:rPr>
                      <w:rFonts w:hint="default" w:ascii="Times New Roman" w:hAnsi="Times New Roman" w:cs="Times New Roman" w:eastAsiaTheme="minorEastAsia"/>
                      <w:color w:val="auto"/>
                      <w:sz w:val="21"/>
                      <w:szCs w:val="21"/>
                      <w:highlight w:val="none"/>
                    </w:rPr>
                    <w:t>，不属于矿山类</w:t>
                  </w:r>
                  <w:r>
                    <w:rPr>
                      <w:rFonts w:hint="eastAsia" w:cs="Times New Roman" w:eastAsiaTheme="minorEastAsia"/>
                      <w:color w:val="auto"/>
                      <w:sz w:val="21"/>
                      <w:szCs w:val="21"/>
                      <w:highlight w:val="none"/>
                      <w:lang w:eastAsia="zh-CN"/>
                    </w:rPr>
                    <w:t>。</w:t>
                  </w:r>
                </w:p>
                <w:p w14:paraId="6BF9E497">
                  <w:pPr>
                    <w:keepNext w:val="0"/>
                    <w:keepLines w:val="0"/>
                    <w:pageBreakBefore w:val="0"/>
                    <w:widowControl w:val="0"/>
                    <w:numPr>
                      <w:ilvl w:val="0"/>
                      <w:numId w:val="4"/>
                    </w:numPr>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本项目不涉及废弃矿山生态修复</w:t>
                  </w:r>
                  <w:r>
                    <w:rPr>
                      <w:rFonts w:hint="eastAsia" w:cs="Times New Roman" w:eastAsiaTheme="minorEastAsia"/>
                      <w:color w:val="auto"/>
                      <w:sz w:val="21"/>
                      <w:szCs w:val="21"/>
                      <w:highlight w:val="none"/>
                      <w:lang w:eastAsia="zh-CN"/>
                    </w:rPr>
                    <w:t>。</w:t>
                  </w:r>
                </w:p>
                <w:p w14:paraId="57E7DA64">
                  <w:pPr>
                    <w:keepNext w:val="0"/>
                    <w:keepLines w:val="0"/>
                    <w:pageBreakBefore w:val="0"/>
                    <w:widowControl w:val="0"/>
                    <w:numPr>
                      <w:ilvl w:val="0"/>
                      <w:numId w:val="4"/>
                    </w:numPr>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本项目不涉及</w:t>
                  </w:r>
                  <w:r>
                    <w:rPr>
                      <w:rFonts w:hint="eastAsia" w:cs="Times New Roman" w:eastAsiaTheme="minorEastAsia"/>
                      <w:color w:val="auto"/>
                      <w:sz w:val="21"/>
                      <w:szCs w:val="21"/>
                      <w:highlight w:val="none"/>
                      <w:lang w:val="en-US" w:eastAsia="zh-CN"/>
                    </w:rPr>
                    <w:t>永久基本农田的使用。</w:t>
                  </w:r>
                </w:p>
                <w:p w14:paraId="230E7D26">
                  <w:pPr>
                    <w:keepNext w:val="0"/>
                    <w:keepLines w:val="0"/>
                    <w:pageBreakBefore w:val="0"/>
                    <w:widowControl w:val="0"/>
                    <w:numPr>
                      <w:ilvl w:val="0"/>
                      <w:numId w:val="4"/>
                    </w:numPr>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本项目不涉及</w:t>
                  </w:r>
                  <w:r>
                    <w:rPr>
                      <w:rFonts w:hint="eastAsia" w:cs="Times New Roman" w:eastAsiaTheme="minorEastAsia"/>
                      <w:color w:val="auto"/>
                      <w:sz w:val="21"/>
                      <w:szCs w:val="21"/>
                      <w:highlight w:val="none"/>
                      <w:lang w:val="en-US" w:eastAsia="zh-CN"/>
                    </w:rPr>
                    <w:t>矿山开采。</w:t>
                  </w:r>
                </w:p>
                <w:p w14:paraId="56721DC9">
                  <w:pPr>
                    <w:keepNext w:val="0"/>
                    <w:keepLines w:val="0"/>
                    <w:pageBreakBefore w:val="0"/>
                    <w:widowControl w:val="0"/>
                    <w:numPr>
                      <w:ilvl w:val="0"/>
                      <w:numId w:val="4"/>
                    </w:numPr>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eastAsiaTheme="minorEastAsia"/>
                      <w:color w:val="auto"/>
                      <w:sz w:val="21"/>
                      <w:szCs w:val="21"/>
                      <w:highlight w:val="none"/>
                      <w:lang w:val="en-US"/>
                    </w:rPr>
                  </w:pPr>
                  <w:r>
                    <w:rPr>
                      <w:rFonts w:hint="default" w:ascii="Times New Roman" w:hAnsi="Times New Roman" w:cs="Times New Roman" w:eastAsiaTheme="minorEastAsia"/>
                      <w:color w:val="auto"/>
                      <w:sz w:val="21"/>
                      <w:szCs w:val="21"/>
                      <w:highlight w:val="none"/>
                    </w:rPr>
                    <w:t>本项目不涉及</w:t>
                  </w:r>
                  <w:r>
                    <w:rPr>
                      <w:rFonts w:hint="eastAsia" w:cs="Times New Roman" w:eastAsiaTheme="minorEastAsia"/>
                      <w:color w:val="auto"/>
                      <w:sz w:val="21"/>
                      <w:szCs w:val="21"/>
                      <w:highlight w:val="none"/>
                      <w:lang w:val="en-US" w:eastAsia="zh-CN"/>
                    </w:rPr>
                    <w:t>矿山生态修复。</w:t>
                  </w:r>
                </w:p>
              </w:tc>
              <w:tc>
                <w:tcPr>
                  <w:tcW w:w="477" w:type="pct"/>
                  <w:noWrap w:val="0"/>
                  <w:vAlign w:val="center"/>
                </w:tcPr>
                <w:p w14:paraId="0F83B496">
                  <w:pPr>
                    <w:pStyle w:val="97"/>
                    <w:keepNext w:val="0"/>
                    <w:keepLines w:val="0"/>
                    <w:pageBreakBefore w:val="0"/>
                    <w:kinsoku/>
                    <w:wordWrap/>
                    <w:overflowPunct/>
                    <w:topLinePunct w:val="0"/>
                    <w:autoSpaceDE/>
                    <w:autoSpaceDN/>
                    <w:bidi w:val="0"/>
                    <w:adjustRightInd/>
                    <w:spacing w:beforeLines="0" w:afterLines="0" w:line="320" w:lineRule="exact"/>
                    <w:ind w:firstLine="0" w:firstLineChars="0"/>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rPr>
                    <w:t>符合</w:t>
                  </w:r>
                </w:p>
              </w:tc>
            </w:tr>
            <w:tr w14:paraId="19E83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 w:type="pct"/>
                  <w:gridSpan w:val="2"/>
                  <w:vMerge w:val="continue"/>
                  <w:noWrap w:val="0"/>
                  <w:vAlign w:val="center"/>
                </w:tcPr>
                <w:p w14:paraId="6458C9C4">
                  <w:pPr>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p>
              </w:tc>
              <w:tc>
                <w:tcPr>
                  <w:tcW w:w="355" w:type="pct"/>
                  <w:noWrap w:val="0"/>
                  <w:vAlign w:val="center"/>
                </w:tcPr>
                <w:p w14:paraId="0AA877FF">
                  <w:pPr>
                    <w:keepNext w:val="0"/>
                    <w:keepLines w:val="0"/>
                    <w:pageBreakBefore w:val="0"/>
                    <w:kinsoku/>
                    <w:wordWrap/>
                    <w:overflowPunct/>
                    <w:topLinePunct w:val="0"/>
                    <w:autoSpaceDE/>
                    <w:autoSpaceDN/>
                    <w:bidi w:val="0"/>
                    <w:adjustRightInd/>
                    <w:spacing w:line="320" w:lineRule="exact"/>
                    <w:ind w:firstLine="0" w:firstLineChars="0"/>
                    <w:jc w:val="center"/>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污染物排放管控</w:t>
                  </w:r>
                </w:p>
              </w:tc>
              <w:tc>
                <w:tcPr>
                  <w:tcW w:w="2356" w:type="pct"/>
                  <w:gridSpan w:val="3"/>
                  <w:noWrap w:val="0"/>
                  <w:vAlign w:val="center"/>
                </w:tcPr>
                <w:p w14:paraId="275E0F8E">
                  <w:pPr>
                    <w:keepNext w:val="0"/>
                    <w:keepLines w:val="0"/>
                    <w:pageBreakBefore w:val="0"/>
                    <w:kinsoku/>
                    <w:wordWrap/>
                    <w:overflowPunct/>
                    <w:topLinePunct w:val="0"/>
                    <w:autoSpaceDE/>
                    <w:autoSpaceDN/>
                    <w:bidi w:val="0"/>
                    <w:adjustRightInd/>
                    <w:spacing w:line="320" w:lineRule="exact"/>
                    <w:ind w:firstLine="0" w:firstLineChars="0"/>
                    <w:textAlignment w:val="auto"/>
                    <w:rPr>
                      <w:rStyle w:val="50"/>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sz w:val="21"/>
                      <w:szCs w:val="21"/>
                      <w:highlight w:val="none"/>
                    </w:rPr>
                    <w:t>1.贯彻“边开采、边治理、边恢复”的原则，及时治理恢复矿山地质环境，复垦矿山占用土地和损毁土地。</w:t>
                  </w:r>
                  <w:r>
                    <w:rPr>
                      <w:rFonts w:hint="default" w:ascii="Times New Roman" w:hAnsi="Times New Roman" w:cs="Times New Roman" w:eastAsiaTheme="minorEastAsia"/>
                      <w:color w:val="auto"/>
                      <w:sz w:val="21"/>
                      <w:szCs w:val="21"/>
                      <w:highlight w:val="none"/>
                    </w:rPr>
                    <w:br w:type="textWrapping"/>
                  </w:r>
                  <w:r>
                    <w:rPr>
                      <w:rFonts w:hint="default" w:ascii="Times New Roman" w:hAnsi="Times New Roman" w:cs="Times New Roman" w:eastAsiaTheme="minorEastAsia"/>
                      <w:color w:val="auto"/>
                      <w:sz w:val="21"/>
                      <w:szCs w:val="21"/>
                      <w:highlight w:val="none"/>
                    </w:rPr>
                    <w:t>2.实施“矿山复绿”行动。重点加强历史遗留矿山矿区土地复垦，实施矿山地质环境治理恢复及矿区土地复垦工程。</w:t>
                  </w:r>
                  <w:r>
                    <w:rPr>
                      <w:rFonts w:hint="default" w:ascii="Times New Roman" w:hAnsi="Times New Roman" w:cs="Times New Roman" w:eastAsiaTheme="minorEastAsia"/>
                      <w:color w:val="auto"/>
                      <w:sz w:val="21"/>
                      <w:szCs w:val="21"/>
                      <w:highlight w:val="none"/>
                    </w:rPr>
                    <w:br w:type="textWrapping"/>
                  </w:r>
                  <w:r>
                    <w:rPr>
                      <w:rFonts w:hint="default" w:ascii="Times New Roman" w:hAnsi="Times New Roman" w:cs="Times New Roman" w:eastAsiaTheme="minorEastAsia"/>
                      <w:color w:val="auto"/>
                      <w:sz w:val="21"/>
                      <w:szCs w:val="21"/>
                      <w:highlight w:val="none"/>
                    </w:rPr>
                    <w:t>3.加强尾矿、废石等资源的再利用与资源综合利用，对尾矿库、废石堆通过平整、覆土、种植等措施开展复垦还绿，严防重金属污染。</w:t>
                  </w:r>
                  <w:r>
                    <w:rPr>
                      <w:rFonts w:hint="default" w:ascii="Times New Roman" w:hAnsi="Times New Roman" w:cs="Times New Roman" w:eastAsiaTheme="minorEastAsia"/>
                      <w:color w:val="auto"/>
                      <w:sz w:val="21"/>
                      <w:szCs w:val="21"/>
                      <w:highlight w:val="none"/>
                    </w:rPr>
                    <w:br w:type="textWrapping"/>
                  </w:r>
                  <w:r>
                    <w:rPr>
                      <w:rFonts w:hint="default" w:ascii="Times New Roman" w:hAnsi="Times New Roman" w:cs="Times New Roman" w:eastAsiaTheme="minorEastAsia"/>
                      <w:color w:val="auto"/>
                      <w:sz w:val="21"/>
                      <w:szCs w:val="21"/>
                      <w:highlight w:val="none"/>
                    </w:rPr>
                    <w:t>4.矿山企业应当按照“谁开发、谁保护、谁破坏、谁治理”的原则。</w:t>
                  </w:r>
                  <w:r>
                    <w:rPr>
                      <w:rFonts w:hint="default" w:ascii="Times New Roman" w:hAnsi="Times New Roman" w:cs="Times New Roman" w:eastAsiaTheme="minorEastAsia"/>
                      <w:color w:val="auto"/>
                      <w:sz w:val="21"/>
                      <w:szCs w:val="21"/>
                      <w:highlight w:val="none"/>
                    </w:rPr>
                    <w:br w:type="textWrapping"/>
                  </w:r>
                  <w:r>
                    <w:rPr>
                      <w:rFonts w:hint="default" w:ascii="Times New Roman" w:hAnsi="Times New Roman" w:cs="Times New Roman" w:eastAsiaTheme="minorEastAsia"/>
                      <w:color w:val="auto"/>
                      <w:sz w:val="21"/>
                      <w:szCs w:val="21"/>
                      <w:highlight w:val="none"/>
                    </w:rPr>
                    <w:t>5.进一步加强重金属污染防控，严格实行重点行业重点污染物总量控制指标，减少重金属排放；</w:t>
                  </w:r>
                </w:p>
              </w:tc>
              <w:tc>
                <w:tcPr>
                  <w:tcW w:w="1454" w:type="pct"/>
                  <w:noWrap w:val="0"/>
                  <w:vAlign w:val="center"/>
                </w:tcPr>
                <w:p w14:paraId="0B654FD5">
                  <w:pPr>
                    <w:keepNext w:val="0"/>
                    <w:keepLines w:val="0"/>
                    <w:pageBreakBefore w:val="0"/>
                    <w:kinsoku/>
                    <w:wordWrap/>
                    <w:overflowPunct/>
                    <w:topLinePunct w:val="0"/>
                    <w:autoSpaceDE/>
                    <w:autoSpaceDN/>
                    <w:bidi w:val="0"/>
                    <w:adjustRightInd/>
                    <w:spacing w:line="320" w:lineRule="exact"/>
                    <w:ind w:firstLine="0" w:firstLineChars="0"/>
                    <w:textAlignment w:val="auto"/>
                    <w:rPr>
                      <w:rFonts w:hint="default" w:ascii="Times New Roman" w:hAnsi="Times New Roman" w:cs="Times New Roman" w:eastAsiaTheme="minorEastAsia"/>
                      <w:b w:val="0"/>
                      <w:bCs w:val="0"/>
                      <w:color w:val="auto"/>
                      <w:sz w:val="21"/>
                      <w:szCs w:val="21"/>
                      <w:highlight w:val="none"/>
                      <w:lang w:val="en-US"/>
                    </w:rPr>
                  </w:pPr>
                  <w:r>
                    <w:rPr>
                      <w:rFonts w:hint="default" w:ascii="Times New Roman" w:hAnsi="Times New Roman" w:cs="Times New Roman" w:eastAsiaTheme="minorEastAsia"/>
                      <w:b w:val="0"/>
                      <w:bCs w:val="0"/>
                      <w:color w:val="auto"/>
                      <w:kern w:val="0"/>
                      <w:sz w:val="21"/>
                      <w:szCs w:val="21"/>
                      <w:highlight w:val="none"/>
                    </w:rPr>
                    <w:t>本项目为</w:t>
                  </w:r>
                  <w:r>
                    <w:rPr>
                      <w:rFonts w:hint="eastAsia" w:cs="Times New Roman" w:eastAsiaTheme="minorEastAsia"/>
                      <w:b w:val="0"/>
                      <w:bCs w:val="0"/>
                      <w:color w:val="auto"/>
                      <w:kern w:val="0"/>
                      <w:sz w:val="21"/>
                      <w:szCs w:val="21"/>
                      <w:highlight w:val="none"/>
                      <w:lang w:eastAsia="zh-CN"/>
                    </w:rPr>
                    <w:t>复合微生物肥</w:t>
                  </w:r>
                  <w:r>
                    <w:rPr>
                      <w:rFonts w:hint="default" w:ascii="Times New Roman" w:hAnsi="Times New Roman" w:cs="Times New Roman" w:eastAsiaTheme="minorEastAsia"/>
                      <w:b w:val="0"/>
                      <w:bCs w:val="0"/>
                      <w:color w:val="auto"/>
                      <w:kern w:val="0"/>
                      <w:sz w:val="21"/>
                      <w:szCs w:val="21"/>
                      <w:highlight w:val="none"/>
                    </w:rPr>
                    <w:t>生产项目，属于鼓励类项目，符合国家现行产业政策。不涉及表中所列内容。</w:t>
                  </w:r>
                </w:p>
              </w:tc>
              <w:tc>
                <w:tcPr>
                  <w:tcW w:w="477" w:type="pct"/>
                  <w:noWrap w:val="0"/>
                  <w:vAlign w:val="center"/>
                </w:tcPr>
                <w:p w14:paraId="0F3A8ED1">
                  <w:pPr>
                    <w:pStyle w:val="97"/>
                    <w:keepNext w:val="0"/>
                    <w:keepLines w:val="0"/>
                    <w:pageBreakBefore w:val="0"/>
                    <w:kinsoku/>
                    <w:wordWrap/>
                    <w:overflowPunct/>
                    <w:topLinePunct w:val="0"/>
                    <w:autoSpaceDE/>
                    <w:autoSpaceDN/>
                    <w:bidi w:val="0"/>
                    <w:adjustRightInd/>
                    <w:spacing w:beforeLines="0" w:afterLines="0" w:line="320" w:lineRule="exact"/>
                    <w:ind w:firstLine="0" w:firstLineChars="0"/>
                    <w:textAlignment w:val="auto"/>
                    <w:rPr>
                      <w:rFonts w:hint="default" w:ascii="Times New Roman" w:hAnsi="Times New Roman" w:cs="Times New Roman" w:eastAsiaTheme="minorEastAsia"/>
                      <w:b w:val="0"/>
                      <w:bCs w:val="0"/>
                      <w:color w:val="auto"/>
                      <w:kern w:val="0"/>
                      <w:sz w:val="21"/>
                      <w:szCs w:val="21"/>
                      <w:highlight w:val="none"/>
                      <w:vertAlign w:val="baseline"/>
                      <w:lang w:val="en-US" w:eastAsia="zh-CN" w:bidi="ar"/>
                    </w:rPr>
                  </w:pPr>
                  <w:r>
                    <w:rPr>
                      <w:rFonts w:hint="default" w:ascii="Times New Roman" w:hAnsi="Times New Roman" w:cs="Times New Roman" w:eastAsiaTheme="minorEastAsia"/>
                      <w:b w:val="0"/>
                      <w:bCs w:val="0"/>
                      <w:color w:val="auto"/>
                      <w:kern w:val="0"/>
                      <w:sz w:val="21"/>
                      <w:szCs w:val="21"/>
                      <w:highlight w:val="none"/>
                    </w:rPr>
                    <w:t>符合</w:t>
                  </w:r>
                </w:p>
              </w:tc>
            </w:tr>
            <w:tr w14:paraId="65A1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 w:type="pct"/>
                  <w:gridSpan w:val="2"/>
                  <w:vMerge w:val="continue"/>
                  <w:noWrap w:val="0"/>
                  <w:vAlign w:val="center"/>
                </w:tcPr>
                <w:p w14:paraId="0D2644A2">
                  <w:pPr>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p>
              </w:tc>
              <w:tc>
                <w:tcPr>
                  <w:tcW w:w="355" w:type="pct"/>
                  <w:noWrap w:val="0"/>
                  <w:vAlign w:val="center"/>
                </w:tcPr>
                <w:p w14:paraId="6665CA03">
                  <w:pPr>
                    <w:keepNext w:val="0"/>
                    <w:keepLines w:val="0"/>
                    <w:pageBreakBefore w:val="0"/>
                    <w:kinsoku/>
                    <w:wordWrap/>
                    <w:overflowPunct/>
                    <w:topLinePunct w:val="0"/>
                    <w:autoSpaceDE/>
                    <w:autoSpaceDN/>
                    <w:bidi w:val="0"/>
                    <w:adjustRightInd/>
                    <w:spacing w:line="320" w:lineRule="exact"/>
                    <w:ind w:firstLine="0" w:firstLineChars="0"/>
                    <w:jc w:val="center"/>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环境风险防控</w:t>
                  </w:r>
                </w:p>
              </w:tc>
              <w:tc>
                <w:tcPr>
                  <w:tcW w:w="2356" w:type="pct"/>
                  <w:gridSpan w:val="3"/>
                  <w:noWrap w:val="0"/>
                  <w:vAlign w:val="center"/>
                </w:tcPr>
                <w:p w14:paraId="187F3383">
                  <w:pPr>
                    <w:keepNext w:val="0"/>
                    <w:keepLines w:val="0"/>
                    <w:pageBreakBefore w:val="0"/>
                    <w:kinsoku/>
                    <w:wordWrap/>
                    <w:overflowPunct/>
                    <w:topLinePunct w:val="0"/>
                    <w:autoSpaceDE/>
                    <w:autoSpaceDN/>
                    <w:bidi w:val="0"/>
                    <w:adjustRightInd/>
                    <w:spacing w:line="320" w:lineRule="exact"/>
                    <w:ind w:firstLine="0" w:firstLineChars="0"/>
                    <w:textAlignment w:val="auto"/>
                    <w:rPr>
                      <w:rStyle w:val="50"/>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sz w:val="21"/>
                      <w:szCs w:val="21"/>
                      <w:highlight w:val="none"/>
                    </w:rPr>
                    <w:t>1.产生、利用或处置含重金属的固体废物（含危险废物）的企业在贮存、转移、利用、处置固体废物（含危险废物）过程中，应配套防扬散、防流失、防渗漏及其他防止污染环境的措施。</w:t>
                  </w:r>
                  <w:r>
                    <w:rPr>
                      <w:rFonts w:hint="default" w:ascii="Times New Roman" w:hAnsi="Times New Roman" w:cs="Times New Roman" w:eastAsiaTheme="minorEastAsia"/>
                      <w:color w:val="auto"/>
                      <w:sz w:val="21"/>
                      <w:szCs w:val="21"/>
                      <w:highlight w:val="none"/>
                    </w:rPr>
                    <w:br w:type="textWrapping"/>
                  </w:r>
                  <w:r>
                    <w:rPr>
                      <w:rFonts w:hint="default" w:ascii="Times New Roman" w:hAnsi="Times New Roman" w:cs="Times New Roman" w:eastAsiaTheme="minorEastAsia"/>
                      <w:color w:val="auto"/>
                      <w:sz w:val="21"/>
                      <w:szCs w:val="21"/>
                      <w:highlight w:val="none"/>
                    </w:rPr>
                    <w:t>2.各工矿企业应当结合风险源状况明确环境风险的防范、减缓措施。构建“单元—厂区—园区/区域”的环境风险防控体系，设置事故废水收集和应急储存设施。加强地下水环境的监控、预警。编制企事业单位突发环境事件应急预案。金属矿山开采过程中需对人群健康风险进行识别，采取有效措施预防由矿山开发利用带来的疾病。</w:t>
                  </w:r>
                </w:p>
              </w:tc>
              <w:tc>
                <w:tcPr>
                  <w:tcW w:w="1454" w:type="pct"/>
                  <w:noWrap w:val="0"/>
                  <w:vAlign w:val="center"/>
                </w:tcPr>
                <w:p w14:paraId="365DA965">
                  <w:pPr>
                    <w:keepNext w:val="0"/>
                    <w:keepLines w:val="0"/>
                    <w:pageBreakBefore w:val="0"/>
                    <w:kinsoku/>
                    <w:wordWrap/>
                    <w:overflowPunct/>
                    <w:topLinePunct w:val="0"/>
                    <w:autoSpaceDE/>
                    <w:autoSpaceDN/>
                    <w:bidi w:val="0"/>
                    <w:adjustRightInd/>
                    <w:spacing w:line="320" w:lineRule="exact"/>
                    <w:ind w:firstLine="0" w:firstLineChars="0"/>
                    <w:textAlignment w:val="auto"/>
                    <w:rPr>
                      <w:rFonts w:hint="eastAsia" w:ascii="Times New Roman" w:hAnsi="Times New Roman" w:cs="Times New Roman" w:eastAsiaTheme="minorEastAsia"/>
                      <w:color w:val="auto"/>
                      <w:kern w:val="0"/>
                      <w:sz w:val="21"/>
                      <w:szCs w:val="21"/>
                      <w:highlight w:val="none"/>
                      <w:lang w:eastAsia="zh-CN"/>
                    </w:rPr>
                  </w:pPr>
                  <w:r>
                    <w:rPr>
                      <w:rFonts w:hint="default" w:ascii="Times New Roman" w:hAnsi="Times New Roman" w:cs="Times New Roman" w:eastAsiaTheme="minorEastAsia"/>
                      <w:color w:val="auto"/>
                      <w:kern w:val="0"/>
                      <w:sz w:val="21"/>
                      <w:szCs w:val="21"/>
                      <w:highlight w:val="none"/>
                    </w:rPr>
                    <w:t>1.</w:t>
                  </w:r>
                  <w:r>
                    <w:rPr>
                      <w:rFonts w:hint="default" w:ascii="Times New Roman" w:hAnsi="Times New Roman" w:cs="Times New Roman" w:eastAsiaTheme="minorEastAsia"/>
                      <w:color w:val="auto"/>
                      <w:sz w:val="21"/>
                      <w:szCs w:val="21"/>
                      <w:highlight w:val="none"/>
                    </w:rPr>
                    <w:t>本项目产生的固废在实施本环评提出的处理措施后均能得到妥善处置。环评已提出分区防渗措施</w:t>
                  </w:r>
                  <w:r>
                    <w:rPr>
                      <w:rFonts w:hint="eastAsia" w:cs="Times New Roman" w:eastAsiaTheme="minorEastAsia"/>
                      <w:color w:val="auto"/>
                      <w:sz w:val="21"/>
                      <w:szCs w:val="21"/>
                      <w:highlight w:val="none"/>
                      <w:lang w:eastAsia="zh-CN"/>
                    </w:rPr>
                    <w:t>。</w:t>
                  </w:r>
                </w:p>
                <w:p w14:paraId="7AA1D1F0">
                  <w:pPr>
                    <w:keepNext w:val="0"/>
                    <w:keepLines w:val="0"/>
                    <w:pageBreakBefore w:val="0"/>
                    <w:kinsoku/>
                    <w:wordWrap/>
                    <w:overflowPunct/>
                    <w:topLinePunct w:val="0"/>
                    <w:autoSpaceDE/>
                    <w:autoSpaceDN/>
                    <w:bidi w:val="0"/>
                    <w:adjustRightInd/>
                    <w:spacing w:line="320" w:lineRule="exact"/>
                    <w:ind w:firstLine="0" w:firstLineChars="0"/>
                    <w:textAlignment w:val="auto"/>
                    <w:rPr>
                      <w:rFonts w:hint="default" w:ascii="Times New Roman" w:hAnsi="Times New Roman" w:cs="Times New Roman" w:eastAsiaTheme="minorEastAsia"/>
                      <w:color w:val="auto"/>
                      <w:sz w:val="21"/>
                      <w:szCs w:val="21"/>
                      <w:highlight w:val="none"/>
                      <w:lang w:val="en-US"/>
                    </w:rPr>
                  </w:pPr>
                  <w:r>
                    <w:rPr>
                      <w:rFonts w:hint="default" w:ascii="Times New Roman" w:hAnsi="Times New Roman" w:cs="Times New Roman" w:eastAsiaTheme="minorEastAsia"/>
                      <w:color w:val="auto"/>
                      <w:kern w:val="0"/>
                      <w:sz w:val="21"/>
                      <w:szCs w:val="21"/>
                      <w:highlight w:val="none"/>
                    </w:rPr>
                    <w:t>2.经过判断，本项目不涉及重大环境风险源。依托厂区现有事故暂存池，项目建成后将修编公司</w:t>
                  </w:r>
                  <w:r>
                    <w:rPr>
                      <w:rFonts w:hint="default" w:ascii="Times New Roman" w:hAnsi="Times New Roman" w:cs="Times New Roman" w:eastAsiaTheme="minorEastAsia"/>
                      <w:color w:val="auto"/>
                      <w:sz w:val="21"/>
                      <w:szCs w:val="21"/>
                      <w:highlight w:val="none"/>
                    </w:rPr>
                    <w:t>突发环境事件应急预案并备案。</w:t>
                  </w:r>
                </w:p>
              </w:tc>
              <w:tc>
                <w:tcPr>
                  <w:tcW w:w="477" w:type="pct"/>
                  <w:noWrap w:val="0"/>
                  <w:vAlign w:val="center"/>
                </w:tcPr>
                <w:p w14:paraId="1D86E000">
                  <w:pPr>
                    <w:pStyle w:val="97"/>
                    <w:keepNext w:val="0"/>
                    <w:keepLines w:val="0"/>
                    <w:pageBreakBefore w:val="0"/>
                    <w:kinsoku/>
                    <w:wordWrap/>
                    <w:overflowPunct/>
                    <w:topLinePunct w:val="0"/>
                    <w:autoSpaceDE/>
                    <w:autoSpaceDN/>
                    <w:bidi w:val="0"/>
                    <w:adjustRightInd/>
                    <w:spacing w:beforeLines="0" w:afterLines="0" w:line="320" w:lineRule="exact"/>
                    <w:ind w:firstLine="0" w:firstLineChars="0"/>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default" w:ascii="Times New Roman" w:hAnsi="Times New Roman" w:cs="Times New Roman" w:eastAsiaTheme="minorEastAsia"/>
                      <w:b w:val="0"/>
                      <w:color w:val="auto"/>
                      <w:kern w:val="0"/>
                      <w:sz w:val="21"/>
                      <w:szCs w:val="21"/>
                      <w:highlight w:val="none"/>
                    </w:rPr>
                    <w:t>符合</w:t>
                  </w:r>
                </w:p>
              </w:tc>
            </w:tr>
            <w:tr w14:paraId="35764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 w:type="pct"/>
                  <w:gridSpan w:val="2"/>
                  <w:vMerge w:val="continue"/>
                  <w:noWrap w:val="0"/>
                  <w:vAlign w:val="center"/>
                </w:tcPr>
                <w:p w14:paraId="29B47FEA">
                  <w:pPr>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p>
              </w:tc>
              <w:tc>
                <w:tcPr>
                  <w:tcW w:w="355" w:type="pct"/>
                  <w:noWrap w:val="0"/>
                  <w:vAlign w:val="center"/>
                </w:tcPr>
                <w:p w14:paraId="34F9A806">
                  <w:pPr>
                    <w:keepNext w:val="0"/>
                    <w:keepLines w:val="0"/>
                    <w:pageBreakBefore w:val="0"/>
                    <w:kinsoku/>
                    <w:wordWrap/>
                    <w:overflowPunct/>
                    <w:topLinePunct w:val="0"/>
                    <w:autoSpaceDE/>
                    <w:autoSpaceDN/>
                    <w:bidi w:val="0"/>
                    <w:adjustRightInd/>
                    <w:spacing w:line="320" w:lineRule="exact"/>
                    <w:ind w:firstLine="0" w:firstLineChars="0"/>
                    <w:jc w:val="center"/>
                    <w:textAlignment w:val="auto"/>
                    <w:rPr>
                      <w:rStyle w:val="50"/>
                      <w:rFonts w:hint="default" w:ascii="Times New Roman" w:hAnsi="Times New Roman" w:cs="Times New Roman" w:eastAsiaTheme="minorEastAsia"/>
                      <w:color w:val="auto"/>
                      <w:kern w:val="0"/>
                      <w:sz w:val="21"/>
                      <w:szCs w:val="21"/>
                      <w:highlight w:val="none"/>
                    </w:rPr>
                  </w:pPr>
                  <w:r>
                    <w:rPr>
                      <w:rStyle w:val="50"/>
                      <w:rFonts w:hint="default" w:ascii="Times New Roman" w:hAnsi="Times New Roman" w:cs="Times New Roman" w:eastAsiaTheme="minorEastAsia"/>
                      <w:color w:val="auto"/>
                      <w:kern w:val="0"/>
                      <w:sz w:val="21"/>
                      <w:szCs w:val="21"/>
                      <w:highlight w:val="none"/>
                    </w:rPr>
                    <w:t>资源开发效率要求</w:t>
                  </w:r>
                </w:p>
              </w:tc>
              <w:tc>
                <w:tcPr>
                  <w:tcW w:w="2356" w:type="pct"/>
                  <w:gridSpan w:val="3"/>
                  <w:noWrap w:val="0"/>
                  <w:vAlign w:val="center"/>
                </w:tcPr>
                <w:p w14:paraId="1C7212CB">
                  <w:pPr>
                    <w:keepNext w:val="0"/>
                    <w:keepLines w:val="0"/>
                    <w:pageBreakBefore w:val="0"/>
                    <w:kinsoku/>
                    <w:wordWrap/>
                    <w:overflowPunct/>
                    <w:topLinePunct w:val="0"/>
                    <w:autoSpaceDE/>
                    <w:autoSpaceDN/>
                    <w:bidi w:val="0"/>
                    <w:adjustRightInd/>
                    <w:spacing w:line="320" w:lineRule="exact"/>
                    <w:ind w:firstLine="0" w:firstLineChars="0"/>
                    <w:textAlignment w:val="auto"/>
                    <w:rPr>
                      <w:rStyle w:val="50"/>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sz w:val="21"/>
                      <w:szCs w:val="21"/>
                      <w:highlight w:val="none"/>
                    </w:rPr>
                    <w:t>1.积极推进矿产资源开发规模化、集约化，落实云南省关于煤矿转型升级、非煤矿山转型升级、煤炭行业化解过剩产能有关要求。</w:t>
                  </w:r>
                  <w:r>
                    <w:rPr>
                      <w:rFonts w:hint="default" w:ascii="Times New Roman" w:hAnsi="Times New Roman" w:cs="Times New Roman" w:eastAsiaTheme="minorEastAsia"/>
                      <w:color w:val="auto"/>
                      <w:sz w:val="21"/>
                      <w:szCs w:val="21"/>
                      <w:highlight w:val="none"/>
                    </w:rPr>
                    <w:br w:type="textWrapping"/>
                  </w:r>
                  <w:r>
                    <w:rPr>
                      <w:rFonts w:hint="default" w:ascii="Times New Roman" w:hAnsi="Times New Roman" w:cs="Times New Roman" w:eastAsiaTheme="minorEastAsia"/>
                      <w:color w:val="auto"/>
                      <w:sz w:val="21"/>
                      <w:szCs w:val="21"/>
                      <w:highlight w:val="none"/>
                    </w:rPr>
                    <w:t xml:space="preserve">2.对原有大中型矿业进行技术改造，淘汰污染严重、资源利用率低的落后设备与工艺。加强绿色勘查开采新技术、新方法和新工艺研发与推广。构建绿色勘查开采新模式，因地制宜推广充填开采、保水开采、减沉开采等技术方法，推广区域矿山建矿模式和边开采边复垦边归还采矿用地模式，推广节能减排绿色采选冶技术。 </w:t>
                  </w:r>
                  <w:r>
                    <w:rPr>
                      <w:rFonts w:hint="default" w:ascii="Times New Roman" w:hAnsi="Times New Roman" w:cs="Times New Roman" w:eastAsiaTheme="minorEastAsia"/>
                      <w:color w:val="auto"/>
                      <w:sz w:val="21"/>
                      <w:szCs w:val="21"/>
                      <w:highlight w:val="none"/>
                    </w:rPr>
                    <w:br w:type="textWrapping"/>
                  </w:r>
                  <w:r>
                    <w:rPr>
                      <w:rFonts w:hint="default" w:ascii="Times New Roman" w:hAnsi="Times New Roman" w:cs="Times New Roman" w:eastAsiaTheme="minorEastAsia"/>
                      <w:color w:val="auto"/>
                      <w:sz w:val="21"/>
                      <w:szCs w:val="21"/>
                      <w:highlight w:val="none"/>
                    </w:rPr>
                    <w:t>3.应从源头减少废水产生，实施清污分流，应充分利用矿井水、循环利用选矿水。</w:t>
                  </w:r>
                  <w:r>
                    <w:rPr>
                      <w:rFonts w:hint="default" w:ascii="Times New Roman" w:hAnsi="Times New Roman" w:cs="Times New Roman" w:eastAsiaTheme="minorEastAsia"/>
                      <w:color w:val="auto"/>
                      <w:sz w:val="21"/>
                      <w:szCs w:val="21"/>
                      <w:highlight w:val="none"/>
                    </w:rPr>
                    <w:br w:type="textWrapping"/>
                  </w:r>
                  <w:r>
                    <w:rPr>
                      <w:rFonts w:hint="default" w:ascii="Times New Roman" w:hAnsi="Times New Roman" w:cs="Times New Roman" w:eastAsiaTheme="minorEastAsia"/>
                      <w:color w:val="auto"/>
                      <w:sz w:val="21"/>
                      <w:szCs w:val="21"/>
                      <w:highlight w:val="none"/>
                    </w:rPr>
                    <w:t xml:space="preserve">4.加快老矿山改造升级，建设绿色矿山，提高矿产资源回采率和综合回收率，大力开展粉煤灰、磷石膏、炉渣、冶炼废渣、尾矿等资源化利用。 </w:t>
                  </w:r>
                  <w:r>
                    <w:rPr>
                      <w:rFonts w:hint="default" w:ascii="Times New Roman" w:hAnsi="Times New Roman" w:cs="Times New Roman" w:eastAsiaTheme="minorEastAsia"/>
                      <w:color w:val="auto"/>
                      <w:sz w:val="21"/>
                      <w:szCs w:val="21"/>
                      <w:highlight w:val="none"/>
                    </w:rPr>
                    <w:br w:type="textWrapping"/>
                  </w:r>
                  <w:r>
                    <w:rPr>
                      <w:rFonts w:hint="default" w:ascii="Times New Roman" w:hAnsi="Times New Roman" w:cs="Times New Roman" w:eastAsiaTheme="minorEastAsia"/>
                      <w:color w:val="auto"/>
                      <w:sz w:val="21"/>
                      <w:szCs w:val="21"/>
                      <w:highlight w:val="none"/>
                    </w:rPr>
                    <w:t>5.提高煤矸石、废石等综合利用率，降低废石排放率，鼓励利用尾矿、废石、建筑垃圾等生产机制砂石，提高固体废物循环利用水平。</w:t>
                  </w:r>
                </w:p>
              </w:tc>
              <w:tc>
                <w:tcPr>
                  <w:tcW w:w="1454" w:type="pct"/>
                  <w:noWrap w:val="0"/>
                  <w:vAlign w:val="center"/>
                </w:tcPr>
                <w:p w14:paraId="4B734625">
                  <w:pPr>
                    <w:pStyle w:val="104"/>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default" w:ascii="Times New Roman" w:hAnsi="Times New Roman" w:cs="Times New Roman" w:eastAsiaTheme="minorEastAsia"/>
                      <w:color w:val="auto"/>
                      <w:sz w:val="21"/>
                      <w:szCs w:val="21"/>
                      <w:highlight w:val="none"/>
                      <w:lang w:val="en-US"/>
                    </w:rPr>
                  </w:pPr>
                  <w:r>
                    <w:rPr>
                      <w:rFonts w:hint="default" w:ascii="Times New Roman" w:hAnsi="Times New Roman" w:cs="Times New Roman" w:eastAsiaTheme="minorEastAsia"/>
                      <w:color w:val="auto"/>
                      <w:kern w:val="0"/>
                      <w:sz w:val="21"/>
                      <w:szCs w:val="21"/>
                      <w:highlight w:val="none"/>
                    </w:rPr>
                    <w:t>本扩建项目为肥料制造，不涉及该项所列的内容。</w:t>
                  </w:r>
                </w:p>
              </w:tc>
              <w:tc>
                <w:tcPr>
                  <w:tcW w:w="477" w:type="pct"/>
                  <w:noWrap w:val="0"/>
                  <w:vAlign w:val="center"/>
                </w:tcPr>
                <w:p w14:paraId="29F03541">
                  <w:pPr>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bidi="ar"/>
                    </w:rPr>
                  </w:pPr>
                  <w:r>
                    <w:rPr>
                      <w:rFonts w:hint="default" w:ascii="Times New Roman" w:hAnsi="Times New Roman" w:cs="Times New Roman" w:eastAsiaTheme="minorEastAsia"/>
                      <w:color w:val="auto"/>
                      <w:kern w:val="0"/>
                      <w:sz w:val="21"/>
                      <w:szCs w:val="21"/>
                      <w:highlight w:val="none"/>
                    </w:rPr>
                    <w:t>符合</w:t>
                  </w:r>
                </w:p>
              </w:tc>
            </w:tr>
          </w:tbl>
          <w:p w14:paraId="6E47440C">
            <w:pPr>
              <w:pStyle w:val="85"/>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hAnsi="宋体" w:cs="宋体"/>
                <w:color w:val="auto"/>
                <w:sz w:val="24"/>
                <w:szCs w:val="24"/>
                <w:highlight w:val="none"/>
              </w:rPr>
            </w:pPr>
          </w:p>
          <w:p w14:paraId="13F09D32">
            <w:pPr>
              <w:pStyle w:val="85"/>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highlight w:val="none"/>
              </w:rPr>
            </w:pPr>
            <w:r>
              <w:rPr>
                <w:rFonts w:hint="eastAsia" w:hAnsi="宋体" w:cs="宋体"/>
                <w:color w:val="auto"/>
                <w:sz w:val="24"/>
                <w:szCs w:val="24"/>
                <w:highlight w:val="none"/>
              </w:rPr>
              <w:t>综上所述，本项目符合</w:t>
            </w:r>
            <w:r>
              <w:rPr>
                <w:rFonts w:hint="eastAsia" w:ascii="Times New Roman" w:hAnsi="Times New Roman"/>
                <w:color w:val="auto"/>
                <w:sz w:val="24"/>
                <w:szCs w:val="24"/>
                <w:highlight w:val="none"/>
              </w:rPr>
              <w:t>《昆明市生态环境分区管控动态更新方案（2023年）》的</w:t>
            </w:r>
            <w:r>
              <w:rPr>
                <w:rFonts w:hint="eastAsia" w:hAnsi="宋体" w:cs="宋体"/>
                <w:color w:val="auto"/>
                <w:sz w:val="24"/>
                <w:szCs w:val="24"/>
                <w:highlight w:val="none"/>
              </w:rPr>
              <w:t>相关要求</w:t>
            </w:r>
            <w:r>
              <w:rPr>
                <w:rFonts w:ascii="Times New Roman" w:hAnsi="Times New Roman"/>
                <w:color w:val="auto"/>
                <w:sz w:val="24"/>
                <w:szCs w:val="24"/>
                <w:highlight w:val="none"/>
              </w:rPr>
              <w:t>。</w:t>
            </w:r>
          </w:p>
          <w:p w14:paraId="52D65C9E">
            <w:pPr>
              <w:keepNext w:val="0"/>
              <w:keepLines w:val="0"/>
              <w:pageBreakBefore w:val="0"/>
              <w:widowControl w:val="0"/>
              <w:kinsoku/>
              <w:wordWrap/>
              <w:overflowPunct/>
              <w:topLinePunct w:val="0"/>
              <w:autoSpaceDE/>
              <w:autoSpaceDN/>
              <w:bidi w:val="0"/>
              <w:adjustRightInd/>
              <w:snapToGrid/>
              <w:spacing w:line="440" w:lineRule="exact"/>
              <w:jc w:val="left"/>
              <w:textAlignment w:val="auto"/>
              <w:rPr>
                <w:b/>
                <w:bCs/>
                <w:color w:val="auto"/>
                <w:kern w:val="0"/>
                <w:sz w:val="24"/>
                <w:szCs w:val="24"/>
                <w:highlight w:val="none"/>
              </w:rPr>
            </w:pPr>
            <w:r>
              <w:rPr>
                <w:rFonts w:hint="eastAsia"/>
                <w:b/>
                <w:bCs/>
                <w:color w:val="auto"/>
                <w:kern w:val="0"/>
                <w:sz w:val="21"/>
                <w:szCs w:val="21"/>
                <w:highlight w:val="none"/>
              </w:rPr>
              <w:t>5</w:t>
            </w:r>
            <w:r>
              <w:rPr>
                <w:rFonts w:hint="eastAsia"/>
                <w:b/>
                <w:bCs/>
                <w:color w:val="auto"/>
                <w:kern w:val="0"/>
                <w:sz w:val="21"/>
                <w:szCs w:val="21"/>
                <w:highlight w:val="none"/>
                <w:lang w:eastAsia="zh-CN"/>
              </w:rPr>
              <w:t>、</w:t>
            </w:r>
            <w:r>
              <w:rPr>
                <w:b/>
                <w:bCs/>
                <w:color w:val="auto"/>
                <w:kern w:val="0"/>
                <w:sz w:val="24"/>
                <w:szCs w:val="24"/>
                <w:highlight w:val="none"/>
              </w:rPr>
              <w:t>与《昆明市大气污染防治条例》符合性分析</w:t>
            </w:r>
          </w:p>
          <w:p w14:paraId="04ABEA8D">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color w:val="auto"/>
                <w:kern w:val="0"/>
                <w:sz w:val="24"/>
                <w:szCs w:val="24"/>
                <w:highlight w:val="none"/>
              </w:rPr>
            </w:pPr>
            <w:r>
              <w:rPr>
                <w:color w:val="auto"/>
                <w:kern w:val="0"/>
                <w:sz w:val="24"/>
                <w:szCs w:val="24"/>
                <w:highlight w:val="none"/>
              </w:rPr>
              <w:t>本项目与2020年12月13日发布的昆明市第十四届人民代表大会常务委员会《昆明市大气污染防治条例》符合性分析见表1</w:t>
            </w:r>
            <w:r>
              <w:rPr>
                <w:rFonts w:hint="eastAsia"/>
                <w:color w:val="auto"/>
                <w:kern w:val="0"/>
                <w:sz w:val="24"/>
                <w:szCs w:val="24"/>
                <w:highlight w:val="none"/>
              </w:rPr>
              <w:t>-</w:t>
            </w:r>
            <w:r>
              <w:rPr>
                <w:rFonts w:hint="eastAsia"/>
                <w:color w:val="auto"/>
                <w:kern w:val="0"/>
                <w:sz w:val="24"/>
                <w:szCs w:val="24"/>
                <w:highlight w:val="none"/>
                <w:lang w:val="en-US" w:eastAsia="zh-CN"/>
              </w:rPr>
              <w:t>4</w:t>
            </w:r>
            <w:r>
              <w:rPr>
                <w:color w:val="auto"/>
                <w:kern w:val="0"/>
                <w:sz w:val="24"/>
                <w:szCs w:val="24"/>
                <w:highlight w:val="none"/>
              </w:rPr>
              <w:t>。</w:t>
            </w:r>
          </w:p>
          <w:p w14:paraId="5251CBD5">
            <w:pPr>
              <w:pStyle w:val="87"/>
              <w:keepNext w:val="0"/>
              <w:keepLines w:val="0"/>
              <w:pageBreakBefore w:val="0"/>
              <w:widowControl w:val="0"/>
              <w:kinsoku/>
              <w:wordWrap/>
              <w:overflowPunct/>
              <w:topLinePunct w:val="0"/>
              <w:autoSpaceDE/>
              <w:autoSpaceDN/>
              <w:bidi w:val="0"/>
              <w:adjustRightInd/>
              <w:snapToGrid/>
              <w:spacing w:line="320" w:lineRule="exact"/>
              <w:textAlignment w:val="auto"/>
              <w:rPr>
                <w:color w:val="auto"/>
                <w:kern w:val="0"/>
                <w:sz w:val="21"/>
                <w:szCs w:val="21"/>
                <w:highlight w:val="none"/>
              </w:rPr>
            </w:pPr>
            <w:r>
              <w:rPr>
                <w:color w:val="auto"/>
                <w:kern w:val="0"/>
                <w:sz w:val="21"/>
                <w:szCs w:val="21"/>
                <w:highlight w:val="none"/>
              </w:rPr>
              <w:t>表1-</w:t>
            </w:r>
            <w:r>
              <w:rPr>
                <w:rFonts w:hint="eastAsia"/>
                <w:color w:val="auto"/>
                <w:kern w:val="0"/>
                <w:sz w:val="21"/>
                <w:szCs w:val="21"/>
                <w:highlight w:val="none"/>
                <w:lang w:val="en-US" w:eastAsia="zh-CN"/>
              </w:rPr>
              <w:t xml:space="preserve">4 </w:t>
            </w:r>
            <w:r>
              <w:rPr>
                <w:color w:val="auto"/>
                <w:kern w:val="0"/>
                <w:sz w:val="21"/>
                <w:szCs w:val="21"/>
                <w:highlight w:val="none"/>
              </w:rPr>
              <w:t xml:space="preserve"> 与《昆明市大气污染防治条例》符合性分析</w:t>
            </w:r>
          </w:p>
          <w:tbl>
            <w:tblPr>
              <w:tblStyle w:val="26"/>
              <w:tblW w:w="77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2"/>
              <w:gridCol w:w="4127"/>
              <w:gridCol w:w="2607"/>
              <w:gridCol w:w="537"/>
            </w:tblGrid>
            <w:tr w14:paraId="0B894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2" w:type="dxa"/>
                  <w:tcBorders>
                    <w:tl2br w:val="nil"/>
                    <w:tr2bl w:val="nil"/>
                  </w:tcBorders>
                  <w:tcMar>
                    <w:top w:w="15" w:type="dxa"/>
                    <w:left w:w="15" w:type="dxa"/>
                    <w:right w:w="15" w:type="dxa"/>
                  </w:tcMar>
                  <w:vAlign w:val="center"/>
                </w:tcPr>
                <w:p w14:paraId="270595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highlight w:val="none"/>
                    </w:rPr>
                  </w:pPr>
                  <w:r>
                    <w:rPr>
                      <w:rFonts w:hint="default" w:ascii="Times New Roman" w:hAnsi="Times New Roman" w:cs="Times New Roman" w:eastAsiaTheme="minorEastAsia"/>
                      <w:b/>
                      <w:bCs/>
                      <w:color w:val="auto"/>
                      <w:highlight w:val="none"/>
                    </w:rPr>
                    <w:t>序号</w:t>
                  </w:r>
                </w:p>
              </w:tc>
              <w:tc>
                <w:tcPr>
                  <w:tcW w:w="4127" w:type="dxa"/>
                  <w:tcBorders>
                    <w:tl2br w:val="nil"/>
                    <w:tr2bl w:val="nil"/>
                  </w:tcBorders>
                  <w:tcMar>
                    <w:top w:w="15" w:type="dxa"/>
                    <w:left w:w="15" w:type="dxa"/>
                    <w:right w:w="15" w:type="dxa"/>
                  </w:tcMar>
                  <w:vAlign w:val="center"/>
                </w:tcPr>
                <w:p w14:paraId="1C434C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highlight w:val="none"/>
                    </w:rPr>
                  </w:pPr>
                  <w:r>
                    <w:rPr>
                      <w:rFonts w:hint="default" w:ascii="Times New Roman" w:hAnsi="Times New Roman" w:cs="Times New Roman" w:eastAsiaTheme="minorEastAsia"/>
                      <w:b/>
                      <w:bCs/>
                      <w:color w:val="auto"/>
                      <w:highlight w:val="none"/>
                    </w:rPr>
                    <w:t>大气污染防治法</w:t>
                  </w:r>
                </w:p>
              </w:tc>
              <w:tc>
                <w:tcPr>
                  <w:tcW w:w="2607" w:type="dxa"/>
                  <w:tcBorders>
                    <w:tl2br w:val="nil"/>
                    <w:tr2bl w:val="nil"/>
                  </w:tcBorders>
                  <w:tcMar>
                    <w:top w:w="15" w:type="dxa"/>
                    <w:left w:w="15" w:type="dxa"/>
                    <w:right w:w="15" w:type="dxa"/>
                  </w:tcMar>
                  <w:vAlign w:val="center"/>
                </w:tcPr>
                <w:p w14:paraId="5CD1D7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highlight w:val="none"/>
                    </w:rPr>
                  </w:pPr>
                  <w:r>
                    <w:rPr>
                      <w:rFonts w:hint="default" w:ascii="Times New Roman" w:hAnsi="Times New Roman" w:cs="Times New Roman" w:eastAsiaTheme="minorEastAsia"/>
                      <w:b/>
                      <w:bCs/>
                      <w:color w:val="auto"/>
                      <w:highlight w:val="none"/>
                    </w:rPr>
                    <w:t>本项目</w:t>
                  </w:r>
                </w:p>
              </w:tc>
              <w:tc>
                <w:tcPr>
                  <w:tcW w:w="537" w:type="dxa"/>
                  <w:tcBorders>
                    <w:tl2br w:val="nil"/>
                    <w:tr2bl w:val="nil"/>
                  </w:tcBorders>
                  <w:tcMar>
                    <w:top w:w="15" w:type="dxa"/>
                    <w:left w:w="15" w:type="dxa"/>
                    <w:right w:w="15" w:type="dxa"/>
                  </w:tcMar>
                  <w:vAlign w:val="center"/>
                </w:tcPr>
                <w:p w14:paraId="794C9F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highlight w:val="none"/>
                    </w:rPr>
                  </w:pPr>
                  <w:r>
                    <w:rPr>
                      <w:rFonts w:hint="default" w:ascii="Times New Roman" w:hAnsi="Times New Roman" w:cs="Times New Roman" w:eastAsiaTheme="minorEastAsia"/>
                      <w:b/>
                      <w:bCs/>
                      <w:color w:val="auto"/>
                      <w:highlight w:val="none"/>
                    </w:rPr>
                    <w:t>符合性</w:t>
                  </w:r>
                </w:p>
              </w:tc>
            </w:tr>
            <w:tr w14:paraId="464CF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2" w:type="dxa"/>
                  <w:vMerge w:val="restart"/>
                  <w:tcBorders>
                    <w:tl2br w:val="nil"/>
                    <w:tr2bl w:val="nil"/>
                  </w:tcBorders>
                  <w:tcMar>
                    <w:top w:w="15" w:type="dxa"/>
                    <w:left w:w="15" w:type="dxa"/>
                    <w:right w:w="15" w:type="dxa"/>
                  </w:tcMar>
                  <w:vAlign w:val="center"/>
                </w:tcPr>
                <w:p w14:paraId="2C8099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1</w:t>
                  </w:r>
                </w:p>
              </w:tc>
              <w:tc>
                <w:tcPr>
                  <w:tcW w:w="7271" w:type="dxa"/>
                  <w:gridSpan w:val="3"/>
                  <w:tcBorders>
                    <w:tl2br w:val="nil"/>
                    <w:tr2bl w:val="nil"/>
                  </w:tcBorders>
                  <w:tcMar>
                    <w:top w:w="15" w:type="dxa"/>
                    <w:left w:w="15" w:type="dxa"/>
                    <w:right w:w="15" w:type="dxa"/>
                  </w:tcMar>
                  <w:vAlign w:val="center"/>
                </w:tcPr>
                <w:p w14:paraId="338D14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第二章、大气污染防治的监督管理</w:t>
                  </w:r>
                </w:p>
              </w:tc>
            </w:tr>
            <w:tr w14:paraId="1D82C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2" w:type="dxa"/>
                  <w:vMerge w:val="continue"/>
                  <w:tcBorders>
                    <w:tl2br w:val="nil"/>
                    <w:tr2bl w:val="nil"/>
                  </w:tcBorders>
                  <w:tcMar>
                    <w:top w:w="15" w:type="dxa"/>
                    <w:left w:w="15" w:type="dxa"/>
                    <w:right w:w="15" w:type="dxa"/>
                  </w:tcMar>
                  <w:vAlign w:val="center"/>
                </w:tcPr>
                <w:p w14:paraId="10D3B0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p>
              </w:tc>
              <w:tc>
                <w:tcPr>
                  <w:tcW w:w="4127" w:type="dxa"/>
                  <w:tcBorders>
                    <w:tl2br w:val="nil"/>
                    <w:tr2bl w:val="nil"/>
                  </w:tcBorders>
                  <w:tcMar>
                    <w:top w:w="15" w:type="dxa"/>
                    <w:left w:w="15" w:type="dxa"/>
                    <w:right w:w="15" w:type="dxa"/>
                  </w:tcMar>
                  <w:vAlign w:val="center"/>
                </w:tcPr>
                <w:p w14:paraId="242FE820">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第十一条：按照国家有关规定依法实行排污许可管理的单位，应当依法取得排污许可证，并按照排污许可证的规定排放大气污染物，禁止无排污许可证或者不按照排污许可证的规定排放大气污染物</w:t>
                  </w:r>
                </w:p>
              </w:tc>
              <w:tc>
                <w:tcPr>
                  <w:tcW w:w="2607" w:type="dxa"/>
                  <w:tcBorders>
                    <w:tl2br w:val="nil"/>
                    <w:tr2bl w:val="nil"/>
                  </w:tcBorders>
                  <w:tcMar>
                    <w:top w:w="15" w:type="dxa"/>
                    <w:left w:w="15" w:type="dxa"/>
                    <w:right w:w="15" w:type="dxa"/>
                  </w:tcMar>
                  <w:vAlign w:val="center"/>
                </w:tcPr>
                <w:p w14:paraId="5CE8E692">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项目</w:t>
                  </w:r>
                  <w:r>
                    <w:rPr>
                      <w:rFonts w:hint="eastAsia" w:cs="Times New Roman" w:eastAsiaTheme="minorEastAsia"/>
                      <w:color w:val="auto"/>
                      <w:highlight w:val="none"/>
                      <w:lang w:val="en-US" w:eastAsia="zh-CN"/>
                    </w:rPr>
                    <w:t>建设完成将</w:t>
                  </w:r>
                  <w:r>
                    <w:rPr>
                      <w:rFonts w:hint="default" w:ascii="Times New Roman" w:hAnsi="Times New Roman" w:cs="Times New Roman" w:eastAsiaTheme="minorEastAsia"/>
                      <w:color w:val="auto"/>
                      <w:highlight w:val="none"/>
                    </w:rPr>
                    <w:t>按要求申请排污许可证，按排污许可要求排放大气污染物。</w:t>
                  </w:r>
                </w:p>
              </w:tc>
              <w:tc>
                <w:tcPr>
                  <w:tcW w:w="537" w:type="dxa"/>
                  <w:tcBorders>
                    <w:tl2br w:val="nil"/>
                    <w:tr2bl w:val="nil"/>
                  </w:tcBorders>
                  <w:tcMar>
                    <w:top w:w="15" w:type="dxa"/>
                    <w:left w:w="15" w:type="dxa"/>
                    <w:right w:w="15" w:type="dxa"/>
                  </w:tcMar>
                  <w:vAlign w:val="center"/>
                </w:tcPr>
                <w:p w14:paraId="6DE24B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符合</w:t>
                  </w:r>
                </w:p>
              </w:tc>
            </w:tr>
            <w:tr w14:paraId="31D21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2" w:type="dxa"/>
                  <w:vMerge w:val="continue"/>
                  <w:tcBorders>
                    <w:tl2br w:val="nil"/>
                    <w:tr2bl w:val="nil"/>
                  </w:tcBorders>
                  <w:tcMar>
                    <w:top w:w="15" w:type="dxa"/>
                    <w:left w:w="15" w:type="dxa"/>
                    <w:right w:w="15" w:type="dxa"/>
                  </w:tcMar>
                  <w:vAlign w:val="center"/>
                </w:tcPr>
                <w:p w14:paraId="3DE704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p>
              </w:tc>
              <w:tc>
                <w:tcPr>
                  <w:tcW w:w="4127" w:type="dxa"/>
                  <w:tcBorders>
                    <w:tl2br w:val="nil"/>
                    <w:tr2bl w:val="nil"/>
                  </w:tcBorders>
                  <w:tcMar>
                    <w:top w:w="15" w:type="dxa"/>
                    <w:left w:w="15" w:type="dxa"/>
                    <w:right w:w="15" w:type="dxa"/>
                  </w:tcMar>
                  <w:vAlign w:val="center"/>
                </w:tcPr>
                <w:p w14:paraId="629E87C5">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第十二条：本市实行重点大气污染物排放总量控制制度，逐步削减重点大气污染物排放总量。市人民政府应当将省人民政府确定的重点大气污染物排放总量控制任务分解到各县（市、区）人民政府、开发（度假）园区管委会，并督促落实。禁止排放超过排放标准或者超过重点大气污染物排放总量控制指标的大气污染物。</w:t>
                  </w:r>
                </w:p>
              </w:tc>
              <w:tc>
                <w:tcPr>
                  <w:tcW w:w="2607" w:type="dxa"/>
                  <w:tcBorders>
                    <w:tl2br w:val="nil"/>
                    <w:tr2bl w:val="nil"/>
                  </w:tcBorders>
                  <w:tcMar>
                    <w:top w:w="15" w:type="dxa"/>
                    <w:left w:w="15" w:type="dxa"/>
                    <w:right w:w="15" w:type="dxa"/>
                  </w:tcMar>
                  <w:vAlign w:val="center"/>
                </w:tcPr>
                <w:p w14:paraId="76CB8EAB">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项目设置有大气污染物排放总量控制标准，并且严格执行，项目不涉及超过重点大气污染物排放总量控制指标的大气污染物。</w:t>
                  </w:r>
                </w:p>
              </w:tc>
              <w:tc>
                <w:tcPr>
                  <w:tcW w:w="537" w:type="dxa"/>
                  <w:tcBorders>
                    <w:tl2br w:val="nil"/>
                    <w:tr2bl w:val="nil"/>
                  </w:tcBorders>
                  <w:tcMar>
                    <w:top w:w="15" w:type="dxa"/>
                    <w:left w:w="15" w:type="dxa"/>
                    <w:right w:w="15" w:type="dxa"/>
                  </w:tcMar>
                  <w:vAlign w:val="center"/>
                </w:tcPr>
                <w:p w14:paraId="7A2D2A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符合</w:t>
                  </w:r>
                </w:p>
              </w:tc>
            </w:tr>
            <w:tr w14:paraId="3B864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2" w:type="dxa"/>
                  <w:vMerge w:val="continue"/>
                  <w:tcBorders>
                    <w:tl2br w:val="nil"/>
                    <w:tr2bl w:val="nil"/>
                  </w:tcBorders>
                  <w:tcMar>
                    <w:top w:w="15" w:type="dxa"/>
                    <w:left w:w="15" w:type="dxa"/>
                    <w:right w:w="15" w:type="dxa"/>
                  </w:tcMar>
                  <w:vAlign w:val="center"/>
                </w:tcPr>
                <w:p w14:paraId="634CF19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p>
              </w:tc>
              <w:tc>
                <w:tcPr>
                  <w:tcW w:w="4127" w:type="dxa"/>
                  <w:tcBorders>
                    <w:tl2br w:val="nil"/>
                    <w:tr2bl w:val="nil"/>
                  </w:tcBorders>
                  <w:tcMar>
                    <w:top w:w="15" w:type="dxa"/>
                    <w:left w:w="15" w:type="dxa"/>
                    <w:right w:w="15" w:type="dxa"/>
                  </w:tcMar>
                  <w:vAlign w:val="center"/>
                </w:tcPr>
                <w:p w14:paraId="19DCE7DA">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第十五条：排放大气污染物的企业事业单位和其他生产经营者应当加强精细化管理，严格按照有关规定，配套建设、使用和维护大气污染防治装备。</w:t>
                  </w:r>
                </w:p>
              </w:tc>
              <w:tc>
                <w:tcPr>
                  <w:tcW w:w="2607" w:type="dxa"/>
                  <w:tcBorders>
                    <w:tl2br w:val="nil"/>
                    <w:tr2bl w:val="nil"/>
                  </w:tcBorders>
                  <w:tcMar>
                    <w:top w:w="15" w:type="dxa"/>
                    <w:left w:w="15" w:type="dxa"/>
                    <w:right w:w="15" w:type="dxa"/>
                  </w:tcMar>
                  <w:vAlign w:val="center"/>
                </w:tcPr>
                <w:p w14:paraId="4AB7604D">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项目设置完善的废气处理措施，能够保证废气稳定达标排放。</w:t>
                  </w:r>
                </w:p>
              </w:tc>
              <w:tc>
                <w:tcPr>
                  <w:tcW w:w="537" w:type="dxa"/>
                  <w:tcBorders>
                    <w:tl2br w:val="nil"/>
                    <w:tr2bl w:val="nil"/>
                  </w:tcBorders>
                  <w:tcMar>
                    <w:top w:w="15" w:type="dxa"/>
                    <w:left w:w="15" w:type="dxa"/>
                    <w:right w:w="15" w:type="dxa"/>
                  </w:tcMar>
                  <w:vAlign w:val="center"/>
                </w:tcPr>
                <w:p w14:paraId="77F6361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符合</w:t>
                  </w:r>
                </w:p>
              </w:tc>
            </w:tr>
            <w:tr w14:paraId="7FD42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2" w:type="dxa"/>
                  <w:vMerge w:val="continue"/>
                  <w:tcBorders>
                    <w:tl2br w:val="nil"/>
                    <w:tr2bl w:val="nil"/>
                  </w:tcBorders>
                  <w:tcMar>
                    <w:top w:w="15" w:type="dxa"/>
                    <w:left w:w="15" w:type="dxa"/>
                    <w:right w:w="15" w:type="dxa"/>
                  </w:tcMar>
                  <w:vAlign w:val="center"/>
                </w:tcPr>
                <w:p w14:paraId="2A1AA9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p>
              </w:tc>
              <w:tc>
                <w:tcPr>
                  <w:tcW w:w="4127" w:type="dxa"/>
                  <w:tcBorders>
                    <w:tl2br w:val="nil"/>
                    <w:tr2bl w:val="nil"/>
                  </w:tcBorders>
                  <w:tcMar>
                    <w:top w:w="15" w:type="dxa"/>
                    <w:left w:w="15" w:type="dxa"/>
                    <w:right w:w="15" w:type="dxa"/>
                  </w:tcMar>
                  <w:vAlign w:val="center"/>
                </w:tcPr>
                <w:p w14:paraId="5BDC996D">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第十六条 向大气排放污染物的企业事业单位和其他生产经营者，应当按照有关规定设置大气污染物排放口。禁止通过偷排、篡改或者伪造监测数据、以逃避现场检查为目的的临时停产、非紧急情况下开启应急排放通道、擅自拆除或者不正常运行大气污染防治设施等逃避监管的方式排放大气污染物。</w:t>
                  </w:r>
                </w:p>
              </w:tc>
              <w:tc>
                <w:tcPr>
                  <w:tcW w:w="2607" w:type="dxa"/>
                  <w:tcBorders>
                    <w:tl2br w:val="nil"/>
                    <w:tr2bl w:val="nil"/>
                  </w:tcBorders>
                  <w:tcMar>
                    <w:top w:w="15" w:type="dxa"/>
                    <w:left w:w="15" w:type="dxa"/>
                    <w:right w:w="15" w:type="dxa"/>
                  </w:tcMar>
                  <w:vAlign w:val="center"/>
                </w:tcPr>
                <w:p w14:paraId="38F6D0E0">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项目按照大气综排规定设置大气污染物排放口，废气均经过合理的废气处置装置处理后达标外排。</w:t>
                  </w:r>
                </w:p>
              </w:tc>
              <w:tc>
                <w:tcPr>
                  <w:tcW w:w="537" w:type="dxa"/>
                  <w:tcBorders>
                    <w:tl2br w:val="nil"/>
                    <w:tr2bl w:val="nil"/>
                  </w:tcBorders>
                  <w:tcMar>
                    <w:top w:w="15" w:type="dxa"/>
                    <w:left w:w="15" w:type="dxa"/>
                    <w:right w:w="15" w:type="dxa"/>
                  </w:tcMar>
                  <w:vAlign w:val="center"/>
                </w:tcPr>
                <w:p w14:paraId="6FB7F8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p>
              </w:tc>
            </w:tr>
            <w:tr w14:paraId="4ABE8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2" w:type="dxa"/>
                  <w:vMerge w:val="restart"/>
                  <w:tcBorders>
                    <w:tl2br w:val="nil"/>
                    <w:tr2bl w:val="nil"/>
                  </w:tcBorders>
                  <w:tcMar>
                    <w:top w:w="15" w:type="dxa"/>
                    <w:left w:w="15" w:type="dxa"/>
                    <w:right w:w="15" w:type="dxa"/>
                  </w:tcMar>
                  <w:vAlign w:val="center"/>
                </w:tcPr>
                <w:p w14:paraId="084293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2</w:t>
                  </w:r>
                </w:p>
              </w:tc>
              <w:tc>
                <w:tcPr>
                  <w:tcW w:w="6734" w:type="dxa"/>
                  <w:gridSpan w:val="2"/>
                  <w:tcBorders>
                    <w:tl2br w:val="nil"/>
                    <w:tr2bl w:val="nil"/>
                  </w:tcBorders>
                  <w:tcMar>
                    <w:top w:w="15" w:type="dxa"/>
                    <w:left w:w="15" w:type="dxa"/>
                    <w:right w:w="15" w:type="dxa"/>
                  </w:tcMar>
                  <w:vAlign w:val="center"/>
                </w:tcPr>
                <w:p w14:paraId="7D2245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第三章、大气污染防治措施</w:t>
                  </w:r>
                </w:p>
              </w:tc>
              <w:tc>
                <w:tcPr>
                  <w:tcW w:w="537" w:type="dxa"/>
                  <w:tcBorders>
                    <w:tl2br w:val="nil"/>
                    <w:tr2bl w:val="nil"/>
                  </w:tcBorders>
                  <w:tcMar>
                    <w:top w:w="15" w:type="dxa"/>
                    <w:left w:w="15" w:type="dxa"/>
                    <w:right w:w="15" w:type="dxa"/>
                  </w:tcMar>
                  <w:vAlign w:val="center"/>
                </w:tcPr>
                <w:p w14:paraId="26CABC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w:t>
                  </w:r>
                </w:p>
              </w:tc>
            </w:tr>
            <w:tr w14:paraId="0137D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2" w:type="dxa"/>
                  <w:vMerge w:val="continue"/>
                  <w:tcBorders>
                    <w:tl2br w:val="nil"/>
                    <w:tr2bl w:val="nil"/>
                  </w:tcBorders>
                  <w:tcMar>
                    <w:top w:w="15" w:type="dxa"/>
                    <w:left w:w="15" w:type="dxa"/>
                    <w:right w:w="15" w:type="dxa"/>
                  </w:tcMar>
                  <w:vAlign w:val="center"/>
                </w:tcPr>
                <w:p w14:paraId="0AE9E3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p>
              </w:tc>
              <w:tc>
                <w:tcPr>
                  <w:tcW w:w="4127" w:type="dxa"/>
                  <w:tcBorders>
                    <w:tl2br w:val="nil"/>
                    <w:tr2bl w:val="nil"/>
                  </w:tcBorders>
                  <w:tcMar>
                    <w:top w:w="15" w:type="dxa"/>
                    <w:left w:w="15" w:type="dxa"/>
                    <w:right w:w="15" w:type="dxa"/>
                  </w:tcMar>
                  <w:vAlign w:val="center"/>
                </w:tcPr>
                <w:p w14:paraId="49BBBF5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第二十四条：市、县（市、区）人民政府、开发（度假）园区管委会应当采取有效措施优化能源结构，推广利用清洁能源。推进生产和生活领域以气代煤、以电代煤、以电代柴。加快天然气基础设施建设，增加天然气使用量，控制大气污染物的排放。对具备条件且有供热需求的现有各类工业园区与工业集中区实施热电联产或者集中供热改造；对具备条件的新建各类工业园区，应当将集中供热纳入建设项目。市、县（市、区）人民政府、开发（度假）园区管委会加强民用散煤管理，增加优质煤炭和洁净型煤供应，推广节能环保型炉具。</w:t>
                  </w:r>
                </w:p>
              </w:tc>
              <w:tc>
                <w:tcPr>
                  <w:tcW w:w="2607" w:type="dxa"/>
                  <w:vMerge w:val="restart"/>
                  <w:tcBorders>
                    <w:tl2br w:val="nil"/>
                    <w:tr2bl w:val="nil"/>
                  </w:tcBorders>
                  <w:tcMar>
                    <w:top w:w="15" w:type="dxa"/>
                    <w:left w:w="15" w:type="dxa"/>
                    <w:right w:w="15" w:type="dxa"/>
                  </w:tcMar>
                  <w:vAlign w:val="center"/>
                </w:tcPr>
                <w:p w14:paraId="42A8F9BF">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Times New Roman" w:hAnsi="Times New Roman" w:cs="Times New Roman" w:eastAsiaTheme="minorEastAsia"/>
                      <w:color w:val="auto"/>
                      <w:highlight w:val="none"/>
                      <w:lang w:eastAsia="zh-CN"/>
                    </w:rPr>
                  </w:pPr>
                  <w:r>
                    <w:rPr>
                      <w:rFonts w:hint="default" w:ascii="Times New Roman" w:hAnsi="Times New Roman" w:cs="Times New Roman" w:eastAsiaTheme="minorEastAsia"/>
                      <w:color w:val="auto"/>
                      <w:highlight w:val="none"/>
                    </w:rPr>
                    <w:t>本项目改扩建后，所用能源为电能及生物质，</w:t>
                  </w:r>
                  <w:r>
                    <w:rPr>
                      <w:rFonts w:hint="eastAsia" w:cs="Times New Roman" w:eastAsiaTheme="minorEastAsia"/>
                      <w:color w:val="auto"/>
                      <w:highlight w:val="none"/>
                      <w:lang w:val="en-US" w:eastAsia="zh-CN"/>
                    </w:rPr>
                    <w:t>因</w:t>
                  </w:r>
                  <w:r>
                    <w:rPr>
                      <w:rFonts w:hint="default" w:ascii="Times New Roman" w:hAnsi="Times New Roman" w:cs="Times New Roman" w:eastAsiaTheme="minorEastAsia"/>
                      <w:color w:val="auto"/>
                      <w:highlight w:val="none"/>
                    </w:rPr>
                    <w:t>物料烘干量减少，生物质使用量大幅度减少，废气量也减少，控制了大气污染物的排放</w:t>
                  </w:r>
                  <w:r>
                    <w:rPr>
                      <w:rFonts w:hint="eastAsia" w:cs="Times New Roman" w:eastAsiaTheme="minorEastAsia"/>
                      <w:color w:val="auto"/>
                      <w:highlight w:val="none"/>
                      <w:lang w:eastAsia="zh-CN"/>
                    </w:rPr>
                    <w:t>。</w:t>
                  </w:r>
                </w:p>
              </w:tc>
              <w:tc>
                <w:tcPr>
                  <w:tcW w:w="537" w:type="dxa"/>
                  <w:tcBorders>
                    <w:tl2br w:val="nil"/>
                    <w:tr2bl w:val="nil"/>
                  </w:tcBorders>
                  <w:tcMar>
                    <w:top w:w="15" w:type="dxa"/>
                    <w:left w:w="15" w:type="dxa"/>
                    <w:right w:w="15" w:type="dxa"/>
                  </w:tcMar>
                  <w:vAlign w:val="center"/>
                </w:tcPr>
                <w:p w14:paraId="6781FF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符合</w:t>
                  </w:r>
                </w:p>
              </w:tc>
            </w:tr>
            <w:tr w14:paraId="4817D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2" w:type="dxa"/>
                  <w:vMerge w:val="continue"/>
                  <w:tcBorders>
                    <w:tl2br w:val="nil"/>
                    <w:tr2bl w:val="nil"/>
                  </w:tcBorders>
                  <w:tcMar>
                    <w:top w:w="15" w:type="dxa"/>
                    <w:left w:w="15" w:type="dxa"/>
                    <w:right w:w="15" w:type="dxa"/>
                  </w:tcMar>
                  <w:vAlign w:val="center"/>
                </w:tcPr>
                <w:p w14:paraId="56CF61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p>
              </w:tc>
              <w:tc>
                <w:tcPr>
                  <w:tcW w:w="4127" w:type="dxa"/>
                  <w:tcBorders>
                    <w:tl2br w:val="nil"/>
                    <w:tr2bl w:val="nil"/>
                  </w:tcBorders>
                  <w:tcMar>
                    <w:top w:w="15" w:type="dxa"/>
                    <w:left w:w="15" w:type="dxa"/>
                    <w:right w:w="15" w:type="dxa"/>
                  </w:tcMar>
                  <w:vAlign w:val="center"/>
                </w:tcPr>
                <w:p w14:paraId="6CCAE1C6">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第二十五条：城市人民政府应当按照有关规定划定并公布高污染燃料禁燃区，并根据大气环境质量改善要求，逐步扩大高污染燃料禁燃区范围。在禁燃区内，禁止销售、燃用高污染燃料；禁止新建、扩建燃用高污染燃料的设施，已建成的，应当在规定的期限内改用天然气、液化石油气、电或者其他清洁能源。</w:t>
                  </w:r>
                </w:p>
              </w:tc>
              <w:tc>
                <w:tcPr>
                  <w:tcW w:w="2607" w:type="dxa"/>
                  <w:vMerge w:val="continue"/>
                  <w:tcBorders>
                    <w:tl2br w:val="nil"/>
                    <w:tr2bl w:val="nil"/>
                  </w:tcBorders>
                  <w:tcMar>
                    <w:top w:w="15" w:type="dxa"/>
                    <w:left w:w="15" w:type="dxa"/>
                    <w:right w:w="15" w:type="dxa"/>
                  </w:tcMar>
                  <w:vAlign w:val="center"/>
                </w:tcPr>
                <w:p w14:paraId="3E445B1F">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eastAsiaTheme="minorEastAsia"/>
                      <w:color w:val="auto"/>
                      <w:highlight w:val="none"/>
                    </w:rPr>
                  </w:pPr>
                </w:p>
              </w:tc>
              <w:tc>
                <w:tcPr>
                  <w:tcW w:w="537" w:type="dxa"/>
                  <w:tcBorders>
                    <w:tl2br w:val="nil"/>
                    <w:tr2bl w:val="nil"/>
                  </w:tcBorders>
                  <w:tcMar>
                    <w:top w:w="15" w:type="dxa"/>
                    <w:left w:w="15" w:type="dxa"/>
                    <w:right w:w="15" w:type="dxa"/>
                  </w:tcMar>
                  <w:vAlign w:val="center"/>
                </w:tcPr>
                <w:p w14:paraId="5F6887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符合</w:t>
                  </w:r>
                </w:p>
              </w:tc>
            </w:tr>
            <w:tr w14:paraId="408AF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2" w:type="dxa"/>
                  <w:vMerge w:val="continue"/>
                  <w:tcBorders>
                    <w:tl2br w:val="nil"/>
                    <w:tr2bl w:val="nil"/>
                  </w:tcBorders>
                  <w:tcMar>
                    <w:top w:w="15" w:type="dxa"/>
                    <w:left w:w="15" w:type="dxa"/>
                    <w:right w:w="15" w:type="dxa"/>
                  </w:tcMar>
                  <w:vAlign w:val="center"/>
                </w:tcPr>
                <w:p w14:paraId="55ED43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p>
              </w:tc>
              <w:tc>
                <w:tcPr>
                  <w:tcW w:w="4127" w:type="dxa"/>
                  <w:tcBorders>
                    <w:tl2br w:val="nil"/>
                    <w:tr2bl w:val="nil"/>
                  </w:tcBorders>
                  <w:tcMar>
                    <w:top w:w="15" w:type="dxa"/>
                    <w:left w:w="15" w:type="dxa"/>
                    <w:right w:w="15" w:type="dxa"/>
                  </w:tcMar>
                  <w:vAlign w:val="center"/>
                </w:tcPr>
                <w:p w14:paraId="0A3D7F75">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第三十四条：建设单位应当将防治扬尘污染的费用纳入工程造价，并在施工承包合同中明确施工单位扬尘污染防治责任。</w:t>
                  </w:r>
                </w:p>
              </w:tc>
              <w:tc>
                <w:tcPr>
                  <w:tcW w:w="2607" w:type="dxa"/>
                  <w:tcBorders>
                    <w:tl2br w:val="nil"/>
                    <w:tr2bl w:val="nil"/>
                  </w:tcBorders>
                  <w:tcMar>
                    <w:top w:w="15" w:type="dxa"/>
                    <w:left w:w="15" w:type="dxa"/>
                    <w:right w:w="15" w:type="dxa"/>
                  </w:tcMar>
                  <w:vAlign w:val="center"/>
                </w:tcPr>
                <w:p w14:paraId="744F61F9">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建设单位已将防治扬尘污染的费用列入工程造价，并且制定出具体的施工扬尘污染防治措施。</w:t>
                  </w:r>
                </w:p>
              </w:tc>
              <w:tc>
                <w:tcPr>
                  <w:tcW w:w="537" w:type="dxa"/>
                  <w:tcBorders>
                    <w:tl2br w:val="nil"/>
                    <w:tr2bl w:val="nil"/>
                  </w:tcBorders>
                  <w:tcMar>
                    <w:top w:w="15" w:type="dxa"/>
                    <w:left w:w="15" w:type="dxa"/>
                    <w:right w:w="15" w:type="dxa"/>
                  </w:tcMar>
                  <w:vAlign w:val="center"/>
                </w:tcPr>
                <w:p w14:paraId="246E8F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符合</w:t>
                  </w:r>
                </w:p>
              </w:tc>
            </w:tr>
          </w:tbl>
          <w:p w14:paraId="2EC1765B">
            <w:pPr>
              <w:keepNext w:val="0"/>
              <w:keepLines w:val="0"/>
              <w:pageBreakBefore w:val="0"/>
              <w:kinsoku/>
              <w:wordWrap/>
              <w:overflowPunct/>
              <w:topLinePunct w:val="0"/>
              <w:autoSpaceDE/>
              <w:autoSpaceDN/>
              <w:bidi w:val="0"/>
              <w:adjustRightInd/>
              <w:spacing w:line="440" w:lineRule="exact"/>
              <w:ind w:firstLine="480" w:firstLineChars="200"/>
              <w:textAlignment w:val="auto"/>
              <w:rPr>
                <w:color w:val="auto"/>
                <w:kern w:val="0"/>
                <w:sz w:val="24"/>
                <w:szCs w:val="24"/>
                <w:highlight w:val="none"/>
              </w:rPr>
            </w:pPr>
            <w:r>
              <w:rPr>
                <w:rFonts w:hint="eastAsia"/>
                <w:color w:val="auto"/>
                <w:kern w:val="0"/>
                <w:sz w:val="24"/>
                <w:szCs w:val="24"/>
                <w:highlight w:val="none"/>
              </w:rPr>
              <w:t>综上，</w:t>
            </w:r>
            <w:r>
              <w:rPr>
                <w:color w:val="auto"/>
                <w:kern w:val="0"/>
                <w:sz w:val="24"/>
                <w:szCs w:val="24"/>
                <w:highlight w:val="none"/>
              </w:rPr>
              <w:t>项目建设符合《昆明市大气污染防治条例》</w:t>
            </w:r>
            <w:r>
              <w:rPr>
                <w:rFonts w:hint="eastAsia"/>
                <w:color w:val="auto"/>
                <w:kern w:val="0"/>
                <w:sz w:val="24"/>
                <w:szCs w:val="24"/>
                <w:highlight w:val="none"/>
              </w:rPr>
              <w:t>。</w:t>
            </w:r>
          </w:p>
          <w:p w14:paraId="4EE65128">
            <w:pPr>
              <w:keepNext w:val="0"/>
              <w:keepLines w:val="0"/>
              <w:pageBreakBefore w:val="0"/>
              <w:widowControl/>
              <w:tabs>
                <w:tab w:val="left" w:pos="0"/>
              </w:tabs>
              <w:kinsoku/>
              <w:wordWrap/>
              <w:overflowPunct/>
              <w:topLinePunct w:val="0"/>
              <w:autoSpaceDE/>
              <w:autoSpaceDN/>
              <w:bidi w:val="0"/>
              <w:adjustRightInd/>
              <w:snapToGrid w:val="0"/>
              <w:spacing w:line="440" w:lineRule="exact"/>
              <w:textAlignment w:val="auto"/>
              <w:rPr>
                <w:b/>
                <w:bCs/>
                <w:color w:val="auto"/>
                <w:sz w:val="24"/>
                <w:szCs w:val="24"/>
                <w:highlight w:val="none"/>
              </w:rPr>
            </w:pPr>
            <w:r>
              <w:rPr>
                <w:rFonts w:hint="eastAsia"/>
                <w:b/>
                <w:bCs/>
                <w:color w:val="auto"/>
                <w:kern w:val="0"/>
                <w:sz w:val="24"/>
                <w:szCs w:val="24"/>
                <w:highlight w:val="none"/>
              </w:rPr>
              <w:t>6、</w:t>
            </w:r>
            <w:r>
              <w:rPr>
                <w:b/>
                <w:bCs/>
                <w:color w:val="auto"/>
                <w:kern w:val="0"/>
                <w:sz w:val="24"/>
                <w:szCs w:val="24"/>
                <w:highlight w:val="none"/>
              </w:rPr>
              <w:t>与《</w:t>
            </w:r>
            <w:r>
              <w:rPr>
                <w:rFonts w:hint="eastAsia"/>
                <w:b/>
                <w:bCs/>
                <w:color w:val="auto"/>
                <w:kern w:val="0"/>
                <w:sz w:val="24"/>
                <w:szCs w:val="24"/>
                <w:highlight w:val="none"/>
              </w:rPr>
              <w:t>云南省</w:t>
            </w:r>
            <w:r>
              <w:rPr>
                <w:b/>
                <w:bCs/>
                <w:color w:val="auto"/>
                <w:kern w:val="0"/>
                <w:sz w:val="24"/>
                <w:szCs w:val="24"/>
                <w:highlight w:val="none"/>
              </w:rPr>
              <w:t>长江经济带发展负面清单指南</w:t>
            </w:r>
            <w:r>
              <w:rPr>
                <w:rFonts w:hint="eastAsia"/>
                <w:b/>
                <w:bCs/>
                <w:color w:val="auto"/>
                <w:kern w:val="0"/>
                <w:sz w:val="24"/>
                <w:szCs w:val="24"/>
                <w:highlight w:val="none"/>
              </w:rPr>
              <w:t>实施细则</w:t>
            </w:r>
            <w:r>
              <w:rPr>
                <w:b/>
                <w:bCs/>
                <w:color w:val="auto"/>
                <w:kern w:val="0"/>
                <w:sz w:val="24"/>
                <w:szCs w:val="24"/>
                <w:highlight w:val="none"/>
              </w:rPr>
              <w:t>（试行</w:t>
            </w:r>
            <w:r>
              <w:rPr>
                <w:rFonts w:hint="eastAsia"/>
                <w:b/>
                <w:bCs/>
                <w:color w:val="auto"/>
                <w:kern w:val="0"/>
                <w:sz w:val="24"/>
                <w:szCs w:val="24"/>
                <w:highlight w:val="none"/>
              </w:rPr>
              <w:t>，2022年版</w:t>
            </w:r>
            <w:r>
              <w:rPr>
                <w:b/>
                <w:bCs/>
                <w:color w:val="auto"/>
                <w:kern w:val="0"/>
                <w:sz w:val="24"/>
                <w:szCs w:val="24"/>
                <w:highlight w:val="none"/>
              </w:rPr>
              <w:t>）》相符性分析</w:t>
            </w:r>
          </w:p>
          <w:p w14:paraId="74C44C09">
            <w:pPr>
              <w:keepNext w:val="0"/>
              <w:keepLines w:val="0"/>
              <w:pageBreakBefore w:val="0"/>
              <w:kinsoku/>
              <w:wordWrap/>
              <w:overflowPunct/>
              <w:topLinePunct w:val="0"/>
              <w:autoSpaceDE/>
              <w:autoSpaceDN/>
              <w:bidi w:val="0"/>
              <w:adjustRightInd/>
              <w:spacing w:line="440" w:lineRule="exact"/>
              <w:ind w:firstLine="480" w:firstLineChars="200"/>
              <w:textAlignment w:val="auto"/>
              <w:rPr>
                <w:color w:val="auto"/>
                <w:kern w:val="0"/>
                <w:sz w:val="24"/>
                <w:szCs w:val="24"/>
                <w:highlight w:val="none"/>
              </w:rPr>
            </w:pPr>
            <w:r>
              <w:rPr>
                <w:color w:val="auto"/>
                <w:kern w:val="0"/>
                <w:sz w:val="24"/>
                <w:szCs w:val="24"/>
                <w:highlight w:val="none"/>
              </w:rPr>
              <w:t>根据20</w:t>
            </w:r>
            <w:r>
              <w:rPr>
                <w:rFonts w:hint="eastAsia"/>
                <w:color w:val="auto"/>
                <w:kern w:val="0"/>
                <w:sz w:val="24"/>
                <w:szCs w:val="24"/>
                <w:highlight w:val="none"/>
              </w:rPr>
              <w:t>22</w:t>
            </w:r>
            <w:r>
              <w:rPr>
                <w:color w:val="auto"/>
                <w:kern w:val="0"/>
                <w:sz w:val="24"/>
                <w:szCs w:val="24"/>
                <w:highlight w:val="none"/>
              </w:rPr>
              <w:t>年</w:t>
            </w:r>
            <w:r>
              <w:rPr>
                <w:rFonts w:hint="eastAsia"/>
                <w:color w:val="auto"/>
                <w:kern w:val="0"/>
                <w:sz w:val="24"/>
                <w:szCs w:val="24"/>
                <w:highlight w:val="none"/>
              </w:rPr>
              <w:t>1</w:t>
            </w:r>
            <w:r>
              <w:rPr>
                <w:color w:val="auto"/>
                <w:kern w:val="0"/>
                <w:sz w:val="24"/>
                <w:szCs w:val="24"/>
                <w:highlight w:val="none"/>
              </w:rPr>
              <w:t>月</w:t>
            </w:r>
            <w:r>
              <w:rPr>
                <w:rFonts w:hint="eastAsia"/>
                <w:color w:val="auto"/>
                <w:kern w:val="0"/>
                <w:sz w:val="24"/>
                <w:szCs w:val="24"/>
                <w:highlight w:val="none"/>
              </w:rPr>
              <w:t>19</w:t>
            </w:r>
            <w:r>
              <w:rPr>
                <w:color w:val="auto"/>
                <w:kern w:val="0"/>
                <w:sz w:val="24"/>
                <w:szCs w:val="24"/>
                <w:highlight w:val="none"/>
              </w:rPr>
              <w:t>日</w:t>
            </w:r>
            <w:r>
              <w:rPr>
                <w:rFonts w:hint="eastAsia"/>
                <w:color w:val="auto"/>
                <w:kern w:val="0"/>
                <w:sz w:val="24"/>
                <w:szCs w:val="24"/>
                <w:highlight w:val="none"/>
              </w:rPr>
              <w:t>推动长江经济带发展领导小组办公室</w:t>
            </w:r>
            <w:r>
              <w:rPr>
                <w:color w:val="auto"/>
                <w:kern w:val="0"/>
                <w:sz w:val="24"/>
                <w:szCs w:val="24"/>
                <w:highlight w:val="none"/>
              </w:rPr>
              <w:t>发布的</w:t>
            </w:r>
            <w:r>
              <w:rPr>
                <w:rFonts w:hint="eastAsia"/>
                <w:color w:val="auto"/>
                <w:kern w:val="0"/>
                <w:sz w:val="24"/>
                <w:szCs w:val="24"/>
                <w:highlight w:val="none"/>
              </w:rPr>
              <w:t>关于印发</w:t>
            </w:r>
            <w:r>
              <w:rPr>
                <w:color w:val="auto"/>
                <w:kern w:val="0"/>
                <w:sz w:val="24"/>
                <w:szCs w:val="24"/>
                <w:highlight w:val="none"/>
              </w:rPr>
              <w:t>《</w:t>
            </w:r>
            <w:r>
              <w:rPr>
                <w:rFonts w:hint="eastAsia"/>
                <w:color w:val="auto"/>
                <w:kern w:val="0"/>
                <w:sz w:val="24"/>
                <w:szCs w:val="24"/>
                <w:highlight w:val="none"/>
              </w:rPr>
              <w:t>长江经济带发展负面清单指南（试行，2022年版）</w:t>
            </w:r>
            <w:r>
              <w:rPr>
                <w:color w:val="auto"/>
                <w:kern w:val="0"/>
                <w:sz w:val="24"/>
                <w:szCs w:val="24"/>
                <w:highlight w:val="none"/>
              </w:rPr>
              <w:t>》</w:t>
            </w:r>
            <w:r>
              <w:rPr>
                <w:rFonts w:hint="eastAsia"/>
                <w:color w:val="auto"/>
                <w:kern w:val="0"/>
                <w:sz w:val="24"/>
                <w:szCs w:val="24"/>
                <w:highlight w:val="none"/>
              </w:rPr>
              <w:t>的通知</w:t>
            </w:r>
            <w:r>
              <w:rPr>
                <w:color w:val="auto"/>
                <w:kern w:val="0"/>
                <w:sz w:val="24"/>
                <w:szCs w:val="24"/>
                <w:highlight w:val="none"/>
              </w:rPr>
              <w:t>（</w:t>
            </w:r>
            <w:r>
              <w:rPr>
                <w:rFonts w:hint="eastAsia"/>
                <w:color w:val="auto"/>
                <w:kern w:val="0"/>
                <w:sz w:val="24"/>
                <w:szCs w:val="24"/>
                <w:highlight w:val="none"/>
              </w:rPr>
              <w:t>长江办</w:t>
            </w:r>
            <w:r>
              <w:rPr>
                <w:color w:val="auto"/>
                <w:kern w:val="0"/>
                <w:sz w:val="24"/>
                <w:szCs w:val="24"/>
                <w:highlight w:val="none"/>
              </w:rPr>
              <w:t>〔</w:t>
            </w:r>
            <w:r>
              <w:rPr>
                <w:rFonts w:hint="eastAsia"/>
                <w:color w:val="auto"/>
                <w:kern w:val="0"/>
                <w:sz w:val="24"/>
                <w:szCs w:val="24"/>
                <w:highlight w:val="none"/>
              </w:rPr>
              <w:t>2022</w:t>
            </w:r>
            <w:r>
              <w:rPr>
                <w:color w:val="auto"/>
                <w:kern w:val="0"/>
                <w:sz w:val="24"/>
                <w:szCs w:val="24"/>
                <w:highlight w:val="none"/>
              </w:rPr>
              <w:t>〕</w:t>
            </w:r>
            <w:r>
              <w:rPr>
                <w:rFonts w:hint="eastAsia"/>
                <w:color w:val="auto"/>
                <w:kern w:val="0"/>
                <w:sz w:val="24"/>
                <w:szCs w:val="24"/>
                <w:highlight w:val="none"/>
              </w:rPr>
              <w:t>7</w:t>
            </w:r>
            <w:r>
              <w:rPr>
                <w:color w:val="auto"/>
                <w:kern w:val="0"/>
                <w:sz w:val="24"/>
                <w:szCs w:val="24"/>
                <w:highlight w:val="none"/>
              </w:rPr>
              <w:t>号）可知，</w:t>
            </w:r>
            <w:r>
              <w:rPr>
                <w:rFonts w:hint="eastAsia"/>
                <w:color w:val="auto"/>
                <w:kern w:val="0"/>
                <w:sz w:val="24"/>
                <w:szCs w:val="24"/>
                <w:highlight w:val="none"/>
              </w:rPr>
              <w:t>本</w:t>
            </w:r>
            <w:r>
              <w:rPr>
                <w:color w:val="auto"/>
                <w:kern w:val="0"/>
                <w:sz w:val="24"/>
                <w:szCs w:val="24"/>
                <w:highlight w:val="none"/>
              </w:rPr>
              <w:t>项目与《</w:t>
            </w:r>
            <w:r>
              <w:rPr>
                <w:rFonts w:hint="eastAsia"/>
                <w:color w:val="auto"/>
                <w:kern w:val="0"/>
                <w:sz w:val="24"/>
                <w:szCs w:val="24"/>
                <w:highlight w:val="none"/>
              </w:rPr>
              <w:t>长江经济带发展负面清单指南（试行，2022年版）</w:t>
            </w:r>
            <w:r>
              <w:rPr>
                <w:color w:val="auto"/>
                <w:kern w:val="0"/>
                <w:sz w:val="24"/>
                <w:szCs w:val="24"/>
                <w:highlight w:val="none"/>
              </w:rPr>
              <w:t>》的符合性分析</w:t>
            </w:r>
            <w:r>
              <w:rPr>
                <w:rFonts w:hint="eastAsia"/>
                <w:color w:val="auto"/>
                <w:kern w:val="0"/>
                <w:sz w:val="24"/>
                <w:szCs w:val="24"/>
                <w:highlight w:val="none"/>
              </w:rPr>
              <w:t>见</w:t>
            </w:r>
            <w:r>
              <w:rPr>
                <w:color w:val="auto"/>
                <w:kern w:val="0"/>
                <w:sz w:val="24"/>
                <w:szCs w:val="24"/>
                <w:highlight w:val="none"/>
              </w:rPr>
              <w:t>表1-</w:t>
            </w:r>
            <w:r>
              <w:rPr>
                <w:rFonts w:hint="eastAsia"/>
                <w:color w:val="auto"/>
                <w:kern w:val="0"/>
                <w:sz w:val="24"/>
                <w:szCs w:val="24"/>
                <w:highlight w:val="none"/>
                <w:lang w:val="en-US" w:eastAsia="zh-CN"/>
              </w:rPr>
              <w:t>5</w:t>
            </w:r>
            <w:r>
              <w:rPr>
                <w:color w:val="auto"/>
                <w:kern w:val="0"/>
                <w:sz w:val="24"/>
                <w:szCs w:val="24"/>
                <w:highlight w:val="none"/>
              </w:rPr>
              <w:t>。</w:t>
            </w:r>
          </w:p>
          <w:p w14:paraId="29A5F3AD">
            <w:pPr>
              <w:pStyle w:val="87"/>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黑体" w:hAnsi="黑体" w:eastAsia="黑体" w:cs="黑体"/>
                <w:b w:val="0"/>
                <w:bCs/>
                <w:color w:val="auto"/>
                <w:kern w:val="0"/>
                <w:sz w:val="21"/>
                <w:szCs w:val="21"/>
                <w:highlight w:val="none"/>
              </w:rPr>
            </w:pPr>
            <w:r>
              <w:rPr>
                <w:color w:val="auto"/>
                <w:kern w:val="0"/>
                <w:sz w:val="21"/>
                <w:szCs w:val="21"/>
                <w:highlight w:val="none"/>
              </w:rPr>
              <w:t>表1-</w:t>
            </w:r>
            <w:r>
              <w:rPr>
                <w:rFonts w:hint="eastAsia"/>
                <w:color w:val="auto"/>
                <w:kern w:val="0"/>
                <w:sz w:val="21"/>
                <w:szCs w:val="21"/>
                <w:highlight w:val="none"/>
                <w:lang w:val="en-US" w:eastAsia="zh-CN"/>
              </w:rPr>
              <w:t>5</w:t>
            </w:r>
            <w:r>
              <w:rPr>
                <w:color w:val="auto"/>
                <w:kern w:val="0"/>
                <w:sz w:val="21"/>
                <w:szCs w:val="21"/>
                <w:highlight w:val="none"/>
              </w:rPr>
              <w:t xml:space="preserve">  与《长江经济带发展负面清单指南（试行，2022年版）》相符性分析</w:t>
            </w:r>
          </w:p>
          <w:tbl>
            <w:tblPr>
              <w:tblStyle w:val="26"/>
              <w:tblW w:w="77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8"/>
              <w:gridCol w:w="2765"/>
              <w:gridCol w:w="730"/>
            </w:tblGrid>
            <w:tr w14:paraId="0E6D8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51" w:type="pct"/>
                  <w:vAlign w:val="center"/>
                </w:tcPr>
                <w:p w14:paraId="5E81F7CE">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eastAsiaTheme="minorEastAsia"/>
                      <w:b/>
                      <w:bCs/>
                      <w:color w:val="auto"/>
                      <w:kern w:val="0"/>
                      <w:sz w:val="21"/>
                      <w:szCs w:val="21"/>
                      <w:highlight w:val="none"/>
                    </w:rPr>
                  </w:pPr>
                  <w:r>
                    <w:rPr>
                      <w:rFonts w:hint="default" w:ascii="Times New Roman" w:hAnsi="Times New Roman" w:cs="Times New Roman" w:eastAsiaTheme="minorEastAsia"/>
                      <w:b/>
                      <w:color w:val="auto"/>
                      <w:sz w:val="21"/>
                      <w:szCs w:val="21"/>
                      <w:highlight w:val="none"/>
                    </w:rPr>
                    <w:t>相关要求</w:t>
                  </w:r>
                </w:p>
              </w:tc>
              <w:tc>
                <w:tcPr>
                  <w:tcW w:w="1778" w:type="pct"/>
                  <w:vAlign w:val="center"/>
                </w:tcPr>
                <w:p w14:paraId="3B0C9060">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eastAsiaTheme="minorEastAsia"/>
                      <w:b/>
                      <w:bCs/>
                      <w:color w:val="auto"/>
                      <w:kern w:val="0"/>
                      <w:sz w:val="21"/>
                      <w:szCs w:val="21"/>
                      <w:highlight w:val="none"/>
                    </w:rPr>
                  </w:pPr>
                  <w:r>
                    <w:rPr>
                      <w:rFonts w:hint="default" w:ascii="Times New Roman" w:hAnsi="Times New Roman" w:cs="Times New Roman" w:eastAsiaTheme="minorEastAsia"/>
                      <w:b/>
                      <w:bCs/>
                      <w:color w:val="auto"/>
                      <w:kern w:val="0"/>
                      <w:sz w:val="21"/>
                      <w:szCs w:val="21"/>
                      <w:highlight w:val="none"/>
                    </w:rPr>
                    <w:t>项目情况</w:t>
                  </w:r>
                </w:p>
              </w:tc>
              <w:tc>
                <w:tcPr>
                  <w:tcW w:w="469" w:type="pct"/>
                  <w:vAlign w:val="center"/>
                </w:tcPr>
                <w:p w14:paraId="6C0B73FC">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eastAsiaTheme="minorEastAsia"/>
                      <w:b/>
                      <w:bCs/>
                      <w:color w:val="auto"/>
                      <w:kern w:val="0"/>
                      <w:sz w:val="21"/>
                      <w:szCs w:val="21"/>
                      <w:highlight w:val="none"/>
                    </w:rPr>
                  </w:pPr>
                  <w:r>
                    <w:rPr>
                      <w:rFonts w:hint="default" w:ascii="Times New Roman" w:hAnsi="Times New Roman" w:cs="Times New Roman" w:eastAsiaTheme="minorEastAsia"/>
                      <w:b/>
                      <w:bCs/>
                      <w:color w:val="auto"/>
                      <w:kern w:val="0"/>
                      <w:sz w:val="21"/>
                      <w:szCs w:val="21"/>
                      <w:highlight w:val="none"/>
                    </w:rPr>
                    <w:t>符合性</w:t>
                  </w:r>
                </w:p>
              </w:tc>
            </w:tr>
            <w:tr w14:paraId="26F3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51" w:type="pct"/>
                  <w:vAlign w:val="center"/>
                </w:tcPr>
                <w:p w14:paraId="1A8DA3A4">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第一条  禁止新建、改建和扩建不符合《全国内河航道与港口布局规划》等全国港口规划和《昭通</w:t>
                  </w:r>
                  <w:r>
                    <w:rPr>
                      <w:rFonts w:hint="eastAsia" w:cs="Times New Roman" w:eastAsiaTheme="minorEastAsia"/>
                      <w:color w:val="auto"/>
                      <w:sz w:val="21"/>
                      <w:szCs w:val="21"/>
                      <w:highlight w:val="none"/>
                      <w:lang w:val="en-US" w:eastAsia="zh-CN"/>
                    </w:rPr>
                    <w:t>市</w:t>
                  </w:r>
                  <w:bookmarkStart w:id="79" w:name="_GoBack"/>
                  <w:bookmarkEnd w:id="79"/>
                  <w:r>
                    <w:rPr>
                      <w:rFonts w:hint="default" w:ascii="Times New Roman" w:hAnsi="Times New Roman" w:cs="Times New Roman" w:eastAsiaTheme="minorEastAsia"/>
                      <w:color w:val="auto"/>
                      <w:sz w:val="21"/>
                      <w:szCs w:val="21"/>
                      <w:highlight w:val="none"/>
                    </w:rPr>
                    <w:t>港口码头岸线规划(金沙江段2019年—035年)》、《景洪港总体规划(2019—2035年)》等州(市)级以上港口布局规划以及港口总体规划的码头项目。</w:t>
                  </w:r>
                </w:p>
              </w:tc>
              <w:tc>
                <w:tcPr>
                  <w:tcW w:w="1778" w:type="pct"/>
                  <w:vAlign w:val="center"/>
                </w:tcPr>
                <w:p w14:paraId="46CB9043">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本项目不涉及码头项目。</w:t>
                  </w:r>
                </w:p>
              </w:tc>
              <w:tc>
                <w:tcPr>
                  <w:tcW w:w="469" w:type="pct"/>
                  <w:vAlign w:val="center"/>
                </w:tcPr>
                <w:p w14:paraId="0A6A3156">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66161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51" w:type="pct"/>
                  <w:vAlign w:val="center"/>
                </w:tcPr>
                <w:p w14:paraId="619BC325">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lang w:val="zh-CN"/>
                    </w:rPr>
                    <w:t>第二条</w:t>
                  </w:r>
                  <w:r>
                    <w:rPr>
                      <w:rFonts w:hint="default" w:ascii="Times New Roman" w:hAnsi="Times New Roman" w:cs="Times New Roman" w:eastAsiaTheme="minorEastAsia"/>
                      <w:color w:val="auto"/>
                      <w:sz w:val="21"/>
                      <w:szCs w:val="21"/>
                      <w:highlight w:val="none"/>
                    </w:rPr>
                    <w:t xml:space="preserve">  </w:t>
                  </w:r>
                  <w:r>
                    <w:rPr>
                      <w:rFonts w:hint="default" w:ascii="Times New Roman" w:hAnsi="Times New Roman" w:cs="Times New Roman" w:eastAsiaTheme="minorEastAsia"/>
                      <w:color w:val="auto"/>
                      <w:sz w:val="21"/>
                      <w:szCs w:val="21"/>
                      <w:highlight w:val="none"/>
                      <w:lang w:val="zh-CN"/>
                    </w:rPr>
                    <w:t>禁止在自然保护区核心区、缓冲区的岸线和河段范围内投资建设旅游和生产经营项目。禁止建设与自然保护区保护方向不一致的旅游项目。禁止在自然保护区内进行开矿、采石、挖沙等活动。禁止在自然保护区的核心区和缓冲区内建设任何生产设施﹐禁止在自然保护区的实验区内建设污染环境、破坏资源或者景观的生产设施。</w:t>
                  </w:r>
                </w:p>
              </w:tc>
              <w:tc>
                <w:tcPr>
                  <w:tcW w:w="1778" w:type="pct"/>
                  <w:vAlign w:val="center"/>
                </w:tcPr>
                <w:p w14:paraId="2F9A48CB">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本项目不涉及自然保护区。</w:t>
                  </w:r>
                </w:p>
              </w:tc>
              <w:tc>
                <w:tcPr>
                  <w:tcW w:w="469" w:type="pct"/>
                  <w:vAlign w:val="center"/>
                </w:tcPr>
                <w:p w14:paraId="4CE7723B">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1ED48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51" w:type="pct"/>
                  <w:vAlign w:val="center"/>
                </w:tcPr>
                <w:p w14:paraId="7968FADD">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lang w:val="zh-CN"/>
                    </w:rPr>
                    <w:t>第三条</w:t>
                  </w:r>
                  <w:r>
                    <w:rPr>
                      <w:rFonts w:hint="default" w:ascii="Times New Roman" w:hAnsi="Times New Roman" w:cs="Times New Roman" w:eastAsiaTheme="minorEastAsia"/>
                      <w:color w:val="auto"/>
                      <w:sz w:val="21"/>
                      <w:szCs w:val="21"/>
                      <w:highlight w:val="none"/>
                    </w:rPr>
                    <w:t xml:space="preserve">  </w:t>
                  </w:r>
                  <w:r>
                    <w:rPr>
                      <w:rFonts w:hint="default" w:ascii="Times New Roman" w:hAnsi="Times New Roman" w:cs="Times New Roman" w:eastAsiaTheme="minorEastAsia"/>
                      <w:color w:val="auto"/>
                      <w:sz w:val="21"/>
                      <w:szCs w:val="21"/>
                      <w:highlight w:val="none"/>
                      <w:lang w:val="zh-CN"/>
                    </w:rPr>
                    <w:t>禁止在风景名胜区核心景区的岸线和河段范围内投资建设与风景名胜资源保护无关的项目。禁止在风景名胜区内进行开山、采石、开矿、开荒、修坟立碑等破坏景观、植被和地形地貌的活动以及修建储存爆炸性、易燃性、放射性、毒害性、腐蚀性物品的设施；禁止在风景名胜区内设立开发区和在核心景区内建设宾馆、会所、培训中心、疗养院以及与风景名胜资源保护无关的投资建设项目。</w:t>
                  </w:r>
                </w:p>
              </w:tc>
              <w:tc>
                <w:tcPr>
                  <w:tcW w:w="1778" w:type="pct"/>
                  <w:vAlign w:val="center"/>
                </w:tcPr>
                <w:p w14:paraId="4B6CFC1A">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w:t>
                  </w:r>
                  <w:r>
                    <w:rPr>
                      <w:rFonts w:hint="default" w:ascii="Times New Roman" w:hAnsi="Times New Roman" w:cs="Times New Roman" w:eastAsiaTheme="minorEastAsia"/>
                      <w:color w:val="auto"/>
                      <w:sz w:val="21"/>
                      <w:szCs w:val="21"/>
                      <w:highlight w:val="none"/>
                      <w:lang w:val="zh-CN"/>
                    </w:rPr>
                    <w:t>项目不涉及风景名胜区等特殊敏感区。</w:t>
                  </w:r>
                </w:p>
              </w:tc>
              <w:tc>
                <w:tcPr>
                  <w:tcW w:w="469" w:type="pct"/>
                  <w:vAlign w:val="center"/>
                </w:tcPr>
                <w:p w14:paraId="2F104930">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3029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51" w:type="pct"/>
                  <w:vAlign w:val="center"/>
                </w:tcPr>
                <w:p w14:paraId="59F7F940">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lang w:val="zh-CN"/>
                    </w:rPr>
                    <w:t>第四条禁止在饮用水水源一级保护区的岸线和河段范围内新建、改建、扩建与供水设施和保护水源无关的投资建设项目，以及网箱养殖、畜禽养殖、旅游等可能污染饮用水水体的投资建设项目。禁止在饮用水水源二级保护区的岸线和河段范围内新建、改建、扩建排放污染物的投资建设项目。</w:t>
                  </w:r>
                </w:p>
              </w:tc>
              <w:tc>
                <w:tcPr>
                  <w:tcW w:w="1778" w:type="pct"/>
                  <w:vAlign w:val="center"/>
                </w:tcPr>
                <w:p w14:paraId="1921F65A">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本项目不涉及饮用水水源保护区。</w:t>
                  </w:r>
                </w:p>
              </w:tc>
              <w:tc>
                <w:tcPr>
                  <w:tcW w:w="469" w:type="pct"/>
                  <w:vAlign w:val="center"/>
                </w:tcPr>
                <w:p w14:paraId="46F495F7">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5D9F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51" w:type="pct"/>
                  <w:vAlign w:val="center"/>
                </w:tcPr>
                <w:p w14:paraId="543DAE0C">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第五条  禁止在水产种质资源保护区的岸线和河段范围内新建围湖造田、围湖造地或围填海等投资建设项目。禁止擅自征收、占用国家湿地公园的土地；禁止在国家湿地公园内挖沙、采矿，以及建设度假村、高尔夫球场等任何不符合主体功能定位的投资建设项目。</w:t>
                  </w:r>
                </w:p>
              </w:tc>
              <w:tc>
                <w:tcPr>
                  <w:tcW w:w="1778" w:type="pct"/>
                  <w:vAlign w:val="center"/>
                </w:tcPr>
                <w:p w14:paraId="5D4AF78C">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w:t>
                  </w:r>
                  <w:r>
                    <w:rPr>
                      <w:rFonts w:hint="default" w:ascii="Times New Roman" w:hAnsi="Times New Roman" w:cs="Times New Roman" w:eastAsiaTheme="minorEastAsia"/>
                      <w:color w:val="auto"/>
                      <w:sz w:val="21"/>
                      <w:szCs w:val="21"/>
                      <w:highlight w:val="none"/>
                      <w:lang w:val="zh-CN"/>
                    </w:rPr>
                    <w:t>项目</w:t>
                  </w:r>
                  <w:r>
                    <w:rPr>
                      <w:rFonts w:hint="default" w:ascii="Times New Roman" w:hAnsi="Times New Roman" w:cs="Times New Roman" w:eastAsiaTheme="minorEastAsia"/>
                      <w:color w:val="auto"/>
                      <w:sz w:val="21"/>
                      <w:szCs w:val="21"/>
                      <w:highlight w:val="none"/>
                    </w:rPr>
                    <w:t>不涉及水产种质资源保护区的岸线和河段范围；不涉及国家湿地公园的土地。</w:t>
                  </w:r>
                </w:p>
              </w:tc>
              <w:tc>
                <w:tcPr>
                  <w:tcW w:w="469" w:type="pct"/>
                  <w:vAlign w:val="center"/>
                </w:tcPr>
                <w:p w14:paraId="200792FF">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2220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51" w:type="pct"/>
                  <w:vAlign w:val="center"/>
                </w:tcPr>
                <w:p w14:paraId="3A82BA9B">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lang w:val="zh-CN"/>
                    </w:rPr>
                    <w:t>第六条</w:t>
                  </w:r>
                  <w:r>
                    <w:rPr>
                      <w:rFonts w:hint="default" w:ascii="Times New Roman" w:hAnsi="Times New Roman" w:cs="Times New Roman" w:eastAsiaTheme="minorEastAsia"/>
                      <w:color w:val="auto"/>
                      <w:sz w:val="21"/>
                      <w:szCs w:val="21"/>
                      <w:highlight w:val="none"/>
                    </w:rPr>
                    <w:t xml:space="preserve">  </w:t>
                  </w:r>
                  <w:r>
                    <w:rPr>
                      <w:rFonts w:hint="default" w:ascii="Times New Roman" w:hAnsi="Times New Roman" w:cs="Times New Roman" w:eastAsiaTheme="minorEastAsia"/>
                      <w:color w:val="auto"/>
                      <w:sz w:val="21"/>
                      <w:szCs w:val="21"/>
                      <w:highlight w:val="none"/>
                      <w:lang w:val="zh-CN"/>
                    </w:rPr>
                    <w:t>禁止违法利用、占用长江流域河湖岸线。禁止在金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的项目。</w:t>
                  </w:r>
                </w:p>
              </w:tc>
              <w:tc>
                <w:tcPr>
                  <w:tcW w:w="1778" w:type="pct"/>
                  <w:vAlign w:val="center"/>
                </w:tcPr>
                <w:p w14:paraId="443DAB05">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w:t>
                  </w:r>
                  <w:r>
                    <w:rPr>
                      <w:rFonts w:hint="default" w:ascii="Times New Roman" w:hAnsi="Times New Roman" w:cs="Times New Roman" w:eastAsiaTheme="minorEastAsia"/>
                      <w:color w:val="auto"/>
                      <w:sz w:val="21"/>
                      <w:szCs w:val="21"/>
                      <w:highlight w:val="none"/>
                      <w:lang w:val="zh-CN"/>
                    </w:rPr>
                    <w:t>项目</w:t>
                  </w:r>
                  <w:r>
                    <w:rPr>
                      <w:rFonts w:hint="default" w:ascii="Times New Roman" w:hAnsi="Times New Roman" w:cs="Times New Roman" w:eastAsiaTheme="minorEastAsia"/>
                      <w:color w:val="auto"/>
                      <w:sz w:val="21"/>
                      <w:szCs w:val="21"/>
                      <w:highlight w:val="none"/>
                    </w:rPr>
                    <w:t>不</w:t>
                  </w:r>
                  <w:r>
                    <w:rPr>
                      <w:rFonts w:hint="default" w:ascii="Times New Roman" w:hAnsi="Times New Roman" w:cs="Times New Roman" w:eastAsiaTheme="minorEastAsia"/>
                      <w:color w:val="auto"/>
                      <w:sz w:val="21"/>
                      <w:szCs w:val="21"/>
                      <w:highlight w:val="none"/>
                      <w:lang w:val="zh-CN"/>
                    </w:rPr>
                    <w:t>利用、</w:t>
                  </w:r>
                  <w:r>
                    <w:rPr>
                      <w:rFonts w:hint="default" w:ascii="Times New Roman" w:hAnsi="Times New Roman" w:cs="Times New Roman" w:eastAsiaTheme="minorEastAsia"/>
                      <w:color w:val="auto"/>
                      <w:sz w:val="21"/>
                      <w:szCs w:val="21"/>
                      <w:highlight w:val="none"/>
                    </w:rPr>
                    <w:t>不</w:t>
                  </w:r>
                  <w:r>
                    <w:rPr>
                      <w:rFonts w:hint="default" w:ascii="Times New Roman" w:hAnsi="Times New Roman" w:cs="Times New Roman" w:eastAsiaTheme="minorEastAsia"/>
                      <w:color w:val="auto"/>
                      <w:sz w:val="21"/>
                      <w:szCs w:val="21"/>
                      <w:highlight w:val="none"/>
                      <w:lang w:val="zh-CN"/>
                    </w:rPr>
                    <w:t>占用长江流域河湖岸线；</w:t>
                  </w:r>
                  <w:r>
                    <w:rPr>
                      <w:rFonts w:hint="default" w:ascii="Times New Roman" w:hAnsi="Times New Roman" w:cs="Times New Roman" w:eastAsiaTheme="minorEastAsia"/>
                      <w:color w:val="auto"/>
                      <w:sz w:val="21"/>
                      <w:szCs w:val="21"/>
                      <w:highlight w:val="none"/>
                    </w:rPr>
                    <w:t>不涉及</w:t>
                  </w:r>
                  <w:r>
                    <w:rPr>
                      <w:rFonts w:hint="default" w:ascii="Times New Roman" w:hAnsi="Times New Roman" w:cs="Times New Roman" w:eastAsiaTheme="minorEastAsia"/>
                      <w:color w:val="auto"/>
                      <w:sz w:val="21"/>
                      <w:szCs w:val="21"/>
                      <w:highlight w:val="none"/>
                      <w:lang w:val="zh-CN"/>
                    </w:rPr>
                    <w:t>金沙江岸线保护区和保留区、九大高原湖泊保护区。</w:t>
                  </w:r>
                </w:p>
              </w:tc>
              <w:tc>
                <w:tcPr>
                  <w:tcW w:w="469" w:type="pct"/>
                  <w:vAlign w:val="center"/>
                </w:tcPr>
                <w:p w14:paraId="0CD6A913">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46D9E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51" w:type="pct"/>
                  <w:vAlign w:val="center"/>
                </w:tcPr>
                <w:p w14:paraId="64E18785">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lang w:val="zh-CN"/>
                    </w:rPr>
                    <w:t>第七条</w:t>
                  </w:r>
                  <w:r>
                    <w:rPr>
                      <w:rFonts w:hint="default" w:ascii="Times New Roman" w:hAnsi="Times New Roman" w:cs="Times New Roman" w:eastAsiaTheme="minorEastAsia"/>
                      <w:color w:val="auto"/>
                      <w:sz w:val="21"/>
                      <w:szCs w:val="21"/>
                      <w:highlight w:val="none"/>
                    </w:rPr>
                    <w:t xml:space="preserve">  </w:t>
                  </w:r>
                  <w:r>
                    <w:rPr>
                      <w:rFonts w:hint="default" w:ascii="Times New Roman" w:hAnsi="Times New Roman" w:cs="Times New Roman" w:eastAsiaTheme="minorEastAsia"/>
                      <w:color w:val="auto"/>
                      <w:sz w:val="21"/>
                      <w:szCs w:val="21"/>
                      <w:highlight w:val="none"/>
                      <w:lang w:val="zh-CN"/>
                    </w:rPr>
                    <w:t>禁止在金沙江干流、长江一级支流建设除党中央、国务院、国家投资主管部门、省级有关部门批复同意以外的过江基础设施项目；禁止未经许可在金沙江干流、长江一级支流、九大高原湖泊流域新设、改设或扩大排污口。</w:t>
                  </w:r>
                </w:p>
              </w:tc>
              <w:tc>
                <w:tcPr>
                  <w:tcW w:w="1778" w:type="pct"/>
                  <w:vAlign w:val="center"/>
                </w:tcPr>
                <w:p w14:paraId="3B18ECB5">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本项目不涉及</w:t>
                  </w:r>
                  <w:r>
                    <w:rPr>
                      <w:rFonts w:hint="default" w:ascii="Times New Roman" w:hAnsi="Times New Roman" w:cs="Times New Roman" w:eastAsiaTheme="minorEastAsia"/>
                      <w:color w:val="auto"/>
                      <w:sz w:val="21"/>
                      <w:szCs w:val="21"/>
                      <w:highlight w:val="none"/>
                      <w:lang w:val="zh-CN"/>
                    </w:rPr>
                    <w:t>过江基础设施项目；</w:t>
                  </w:r>
                  <w:r>
                    <w:rPr>
                      <w:rFonts w:hint="default" w:ascii="Times New Roman" w:hAnsi="Times New Roman" w:cs="Times New Roman" w:eastAsiaTheme="minorEastAsia"/>
                      <w:color w:val="auto"/>
                      <w:sz w:val="21"/>
                      <w:szCs w:val="21"/>
                      <w:highlight w:val="none"/>
                    </w:rPr>
                    <w:t>且生活污水经现有化粪池处理，生产废水经现有生产废水处理系统处理后，排入寻甸县污水处理厂。项目不涉及</w:t>
                  </w:r>
                  <w:r>
                    <w:rPr>
                      <w:rFonts w:hint="default" w:ascii="Times New Roman" w:hAnsi="Times New Roman" w:cs="Times New Roman" w:eastAsiaTheme="minorEastAsia"/>
                      <w:color w:val="auto"/>
                      <w:sz w:val="21"/>
                      <w:szCs w:val="21"/>
                      <w:highlight w:val="none"/>
                      <w:lang w:val="zh-CN"/>
                    </w:rPr>
                    <w:t>在金沙江干流、长江一级支流、九大高原湖泊流域新设、改设或扩大排污口。</w:t>
                  </w:r>
                </w:p>
              </w:tc>
              <w:tc>
                <w:tcPr>
                  <w:tcW w:w="469" w:type="pct"/>
                  <w:vAlign w:val="center"/>
                </w:tcPr>
                <w:p w14:paraId="463DAB1A">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233C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751" w:type="pct"/>
                  <w:vAlign w:val="center"/>
                </w:tcPr>
                <w:p w14:paraId="313F7087">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lang w:val="zh-CN"/>
                    </w:rPr>
                    <w:t>第八条</w:t>
                  </w:r>
                  <w:r>
                    <w:rPr>
                      <w:rFonts w:hint="default" w:ascii="Times New Roman" w:hAnsi="Times New Roman" w:cs="Times New Roman" w:eastAsiaTheme="minorEastAsia"/>
                      <w:color w:val="auto"/>
                      <w:sz w:val="21"/>
                      <w:szCs w:val="21"/>
                      <w:highlight w:val="none"/>
                    </w:rPr>
                    <w:t xml:space="preserve">  </w:t>
                  </w:r>
                  <w:r>
                    <w:rPr>
                      <w:rFonts w:hint="default" w:ascii="Times New Roman" w:hAnsi="Times New Roman" w:cs="Times New Roman" w:eastAsiaTheme="minorEastAsia"/>
                      <w:color w:val="auto"/>
                      <w:sz w:val="21"/>
                      <w:szCs w:val="21"/>
                      <w:highlight w:val="none"/>
                      <w:lang w:val="zh-CN"/>
                    </w:rPr>
                    <w:t>禁止在金沙江干流、长江一级支流、水生生物保护区和长江流域禁捕水域开展天然渔业资源生产性捕捞。</w:t>
                  </w:r>
                </w:p>
              </w:tc>
              <w:tc>
                <w:tcPr>
                  <w:tcW w:w="1778" w:type="pct"/>
                  <w:vAlign w:val="center"/>
                </w:tcPr>
                <w:p w14:paraId="69CCAB2E">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本项目不涉及</w:t>
                  </w:r>
                  <w:r>
                    <w:rPr>
                      <w:rFonts w:hint="default" w:ascii="Times New Roman" w:hAnsi="Times New Roman" w:cs="Times New Roman" w:eastAsiaTheme="minorEastAsia"/>
                      <w:color w:val="auto"/>
                      <w:sz w:val="21"/>
                      <w:szCs w:val="21"/>
                      <w:highlight w:val="none"/>
                      <w:lang w:val="zh-CN"/>
                    </w:rPr>
                    <w:t>天然渔业资源生产性捕捞。</w:t>
                  </w:r>
                </w:p>
              </w:tc>
              <w:tc>
                <w:tcPr>
                  <w:tcW w:w="469" w:type="pct"/>
                  <w:vAlign w:val="center"/>
                </w:tcPr>
                <w:p w14:paraId="6BCFF021">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5FFF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51" w:type="pct"/>
                  <w:vAlign w:val="center"/>
                </w:tcPr>
                <w:p w14:paraId="54042E9D">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lang w:val="zh-CN"/>
                    </w:rPr>
                    <w:t>第九条</w:t>
                  </w:r>
                  <w:r>
                    <w:rPr>
                      <w:rFonts w:hint="default" w:ascii="Times New Roman" w:hAnsi="Times New Roman" w:cs="Times New Roman" w:eastAsiaTheme="minorEastAsia"/>
                      <w:color w:val="auto"/>
                      <w:sz w:val="21"/>
                      <w:szCs w:val="21"/>
                      <w:highlight w:val="none"/>
                    </w:rPr>
                    <w:t xml:space="preserve">  </w:t>
                  </w:r>
                  <w:r>
                    <w:rPr>
                      <w:rFonts w:hint="default" w:ascii="Times New Roman" w:hAnsi="Times New Roman" w:cs="Times New Roman" w:eastAsiaTheme="minorEastAsia"/>
                      <w:color w:val="auto"/>
                      <w:sz w:val="21"/>
                      <w:szCs w:val="21"/>
                      <w:highlight w:val="none"/>
                      <w:lang w:val="zh-CN"/>
                    </w:rPr>
                    <w:t>禁止在金沙江干流，长江一级支流和九大高原湖泊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1778" w:type="pct"/>
                  <w:vAlign w:val="center"/>
                </w:tcPr>
                <w:p w14:paraId="3F7D2962">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本项目不属于</w:t>
                  </w:r>
                  <w:r>
                    <w:rPr>
                      <w:rFonts w:hint="default" w:ascii="Times New Roman" w:hAnsi="Times New Roman" w:cs="Times New Roman" w:eastAsiaTheme="minorEastAsia"/>
                      <w:color w:val="auto"/>
                      <w:sz w:val="21"/>
                      <w:szCs w:val="21"/>
                      <w:highlight w:val="none"/>
                      <w:lang w:val="zh-CN"/>
                    </w:rPr>
                    <w:t>尾矿库、冶炼渣库和磷石膏库</w:t>
                  </w:r>
                  <w:r>
                    <w:rPr>
                      <w:rFonts w:hint="default" w:ascii="Times New Roman" w:hAnsi="Times New Roman" w:cs="Times New Roman" w:eastAsiaTheme="minorEastAsia"/>
                      <w:color w:val="auto"/>
                      <w:sz w:val="21"/>
                      <w:szCs w:val="21"/>
                      <w:highlight w:val="none"/>
                    </w:rPr>
                    <w:t>项目</w:t>
                  </w:r>
                  <w:r>
                    <w:rPr>
                      <w:rFonts w:hint="eastAsia" w:cs="Times New Roman" w:eastAsiaTheme="minorEastAsia"/>
                      <w:color w:val="auto"/>
                      <w:sz w:val="21"/>
                      <w:szCs w:val="21"/>
                      <w:highlight w:val="none"/>
                      <w:lang w:eastAsia="zh-CN"/>
                    </w:rPr>
                    <w:t>，</w:t>
                  </w:r>
                  <w:r>
                    <w:rPr>
                      <w:rFonts w:hint="eastAsia" w:cs="Times New Roman" w:eastAsiaTheme="minorEastAsia"/>
                      <w:color w:val="auto"/>
                      <w:sz w:val="21"/>
                      <w:szCs w:val="21"/>
                      <w:highlight w:val="none"/>
                      <w:lang w:val="en-US" w:eastAsia="zh-CN"/>
                    </w:rPr>
                    <w:t>且本项目选址不在金沙江干流，长江一级支流和九大高原湖泊岸线一公里范围内。</w:t>
                  </w:r>
                </w:p>
              </w:tc>
              <w:tc>
                <w:tcPr>
                  <w:tcW w:w="469" w:type="pct"/>
                  <w:vAlign w:val="center"/>
                </w:tcPr>
                <w:p w14:paraId="3FA9611B">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2505A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jc w:val="center"/>
              </w:trPr>
              <w:tc>
                <w:tcPr>
                  <w:tcW w:w="2751" w:type="pct"/>
                  <w:vAlign w:val="center"/>
                </w:tcPr>
                <w:p w14:paraId="56BF100F">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lang w:val="zh-CN"/>
                    </w:rPr>
                    <w:t>第十条</w:t>
                  </w:r>
                  <w:r>
                    <w:rPr>
                      <w:rFonts w:hint="default" w:ascii="Times New Roman" w:hAnsi="Times New Roman" w:cs="Times New Roman" w:eastAsiaTheme="minorEastAsia"/>
                      <w:color w:val="auto"/>
                      <w:sz w:val="21"/>
                      <w:szCs w:val="21"/>
                      <w:highlight w:val="none"/>
                    </w:rPr>
                    <w:t xml:space="preserve">  </w:t>
                  </w:r>
                  <w:r>
                    <w:rPr>
                      <w:rFonts w:hint="default" w:ascii="Times New Roman" w:hAnsi="Times New Roman" w:cs="Times New Roman" w:eastAsiaTheme="minorEastAsia"/>
                      <w:color w:val="auto"/>
                      <w:sz w:val="21"/>
                      <w:szCs w:val="21"/>
                      <w:highlight w:val="none"/>
                      <w:lang w:val="zh-CN"/>
                    </w:rPr>
                    <w:t>禁止在合规园区外新建、扩建钢铁、石化、化工、焦化、建材、有色、制浆造纸行业中的高污染项目。</w:t>
                  </w:r>
                </w:p>
              </w:tc>
              <w:tc>
                <w:tcPr>
                  <w:tcW w:w="1778" w:type="pct"/>
                  <w:vAlign w:val="center"/>
                </w:tcPr>
                <w:p w14:paraId="7AD7E7B6">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本项目</w:t>
                  </w:r>
                  <w:r>
                    <w:rPr>
                      <w:rFonts w:hint="eastAsia" w:cs="Times New Roman" w:eastAsiaTheme="minorEastAsia"/>
                      <w:color w:val="auto"/>
                      <w:sz w:val="21"/>
                      <w:szCs w:val="21"/>
                      <w:highlight w:val="none"/>
                      <w:lang w:val="en-US" w:eastAsia="zh-CN"/>
                    </w:rPr>
                    <w:t>属于</w:t>
                  </w:r>
                  <w:r>
                    <w:rPr>
                      <w:rFonts w:hint="eastAsia" w:cs="Times New Roman" w:eastAsiaTheme="minorEastAsia"/>
                      <w:color w:val="auto"/>
                      <w:sz w:val="21"/>
                      <w:szCs w:val="21"/>
                      <w:highlight w:val="none"/>
                      <w:lang w:eastAsia="zh-CN"/>
                    </w:rPr>
                    <w:t>复合微生物肥</w:t>
                  </w:r>
                  <w:r>
                    <w:rPr>
                      <w:rFonts w:hint="default" w:ascii="Times New Roman" w:hAnsi="Times New Roman" w:cs="Times New Roman" w:eastAsiaTheme="minorEastAsia"/>
                      <w:color w:val="auto"/>
                      <w:sz w:val="21"/>
                      <w:szCs w:val="21"/>
                      <w:highlight w:val="none"/>
                    </w:rPr>
                    <w:t>制造</w:t>
                  </w:r>
                  <w:r>
                    <w:rPr>
                      <w:rFonts w:hint="eastAsia" w:cs="Times New Roman" w:eastAsiaTheme="minorEastAsia"/>
                      <w:color w:val="auto"/>
                      <w:sz w:val="21"/>
                      <w:szCs w:val="21"/>
                      <w:highlight w:val="none"/>
                      <w:lang w:eastAsia="zh-CN"/>
                    </w:rPr>
                    <w:t>，</w:t>
                  </w:r>
                  <w:r>
                    <w:rPr>
                      <w:rFonts w:hint="eastAsia" w:cs="Times New Roman" w:eastAsiaTheme="minorEastAsia"/>
                      <w:color w:val="auto"/>
                      <w:sz w:val="21"/>
                      <w:szCs w:val="21"/>
                      <w:highlight w:val="none"/>
                      <w:lang w:val="en-US" w:eastAsia="zh-CN"/>
                    </w:rPr>
                    <w:t>其生产工艺和有机肥相似，参照云南省生态环境厅关于“有机肥生产项目”是否应按照化工项目严格管理入驻化工工业园的请示的回复，其明确有机肥生产项目行业界定及入化工园区等相关问题，建议咨询行业主管部门，以主管部门意见为准。本项目发函向寻甸回族彝族自治县科学技术和工业信息化局请求明确项目类型，根据《寻甸回族彝族自治县科学技术和工业信息化局关于项目类型认定情况说明》（附件14,），本项目不属于以化学转化为核心的基础化工且本项目</w:t>
                  </w:r>
                  <w:r>
                    <w:rPr>
                      <w:rFonts w:hint="default" w:ascii="Times New Roman" w:hAnsi="Times New Roman" w:cs="Times New Roman" w:eastAsiaTheme="minorEastAsia"/>
                      <w:color w:val="auto"/>
                      <w:sz w:val="21"/>
                      <w:szCs w:val="21"/>
                      <w:highlight w:val="none"/>
                    </w:rPr>
                    <w:t>虽属“化学原料和化学制品制造业”大类，</w:t>
                  </w:r>
                  <w:r>
                    <w:rPr>
                      <w:rFonts w:hint="eastAsia" w:cs="Times New Roman" w:eastAsiaTheme="minorEastAsia"/>
                      <w:color w:val="auto"/>
                      <w:sz w:val="21"/>
                      <w:szCs w:val="21"/>
                      <w:highlight w:val="none"/>
                      <w:lang w:val="en-US" w:eastAsia="zh-CN"/>
                    </w:rPr>
                    <w:t>但</w:t>
                  </w:r>
                  <w:r>
                    <w:rPr>
                      <w:rFonts w:hint="default" w:ascii="Times New Roman" w:hAnsi="Times New Roman" w:cs="Times New Roman" w:eastAsiaTheme="minorEastAsia"/>
                      <w:color w:val="auto"/>
                      <w:sz w:val="21"/>
                      <w:szCs w:val="21"/>
                      <w:highlight w:val="none"/>
                    </w:rPr>
                    <w:t>国家及云南省现行政策仅强制</w:t>
                  </w:r>
                  <w:r>
                    <w:rPr>
                      <w:rFonts w:hint="eastAsia"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rPr>
                    <w:t>‌新建、扩建危险化学品生产建设项目</w:t>
                  </w:r>
                  <w:r>
                    <w:rPr>
                      <w:rFonts w:hint="eastAsia"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rPr>
                    <w:t>‌进入认定化工园区；</w:t>
                  </w:r>
                  <w:r>
                    <w:rPr>
                      <w:rFonts w:hint="eastAsia" w:cs="Times New Roman" w:eastAsiaTheme="minorEastAsia"/>
                      <w:color w:val="auto"/>
                      <w:sz w:val="21"/>
                      <w:szCs w:val="21"/>
                      <w:highlight w:val="none"/>
                      <w:lang w:val="en-US" w:eastAsia="zh-CN"/>
                    </w:rPr>
                    <w:t>本项目属于以蔬菜渣</w:t>
                  </w:r>
                  <w:r>
                    <w:rPr>
                      <w:rFonts w:hint="default" w:ascii="Times New Roman" w:hAnsi="Times New Roman" w:cs="Times New Roman" w:eastAsiaTheme="minorEastAsia"/>
                      <w:color w:val="auto"/>
                      <w:sz w:val="21"/>
                      <w:szCs w:val="21"/>
                      <w:highlight w:val="none"/>
                    </w:rPr>
                    <w:t>为原料的</w:t>
                  </w:r>
                  <w:r>
                    <w:rPr>
                      <w:rFonts w:hint="eastAsia" w:cs="Times New Roman" w:eastAsiaTheme="minorEastAsia"/>
                      <w:color w:val="auto"/>
                      <w:sz w:val="21"/>
                      <w:szCs w:val="21"/>
                      <w:highlight w:val="none"/>
                      <w:lang w:val="en-US" w:eastAsia="zh-CN"/>
                    </w:rPr>
                    <w:t>常规</w:t>
                  </w:r>
                  <w:r>
                    <w:rPr>
                      <w:rFonts w:hint="default" w:ascii="Times New Roman" w:hAnsi="Times New Roman" w:cs="Times New Roman" w:eastAsiaTheme="minorEastAsia"/>
                      <w:color w:val="auto"/>
                      <w:sz w:val="21"/>
                      <w:szCs w:val="21"/>
                      <w:highlight w:val="none"/>
                    </w:rPr>
                    <w:t>发酵/堆肥工艺，‌不涉及危险化学品安全生产许可‌，故</w:t>
                  </w:r>
                  <w:r>
                    <w:rPr>
                      <w:rFonts w:hint="eastAsia" w:cs="Times New Roman" w:eastAsiaTheme="minorEastAsia"/>
                      <w:color w:val="auto"/>
                      <w:sz w:val="21"/>
                      <w:szCs w:val="21"/>
                      <w:highlight w:val="none"/>
                      <w:lang w:val="en-US" w:eastAsia="zh-CN"/>
                    </w:rPr>
                    <w:t>本项目因属于</w:t>
                  </w:r>
                  <w:r>
                    <w:rPr>
                      <w:rFonts w:hint="default" w:ascii="Times New Roman" w:hAnsi="Times New Roman" w:cs="Times New Roman" w:eastAsiaTheme="minorEastAsia"/>
                      <w:color w:val="auto"/>
                      <w:sz w:val="21"/>
                      <w:szCs w:val="21"/>
                      <w:highlight w:val="none"/>
                    </w:rPr>
                    <w:t>非强制入园对象。</w:t>
                  </w:r>
                </w:p>
              </w:tc>
              <w:tc>
                <w:tcPr>
                  <w:tcW w:w="469" w:type="pct"/>
                  <w:vAlign w:val="center"/>
                </w:tcPr>
                <w:p w14:paraId="47E13045">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31D40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51" w:type="pct"/>
                  <w:vAlign w:val="center"/>
                </w:tcPr>
                <w:p w14:paraId="6564E5A8">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第十一条  禁止新建、扩建不符合国家石化、现代煤化工等产业布局规划的项目。禁止列入《云南省城镇人口密集区危险化学品生产企业搬迁改造名单》的搬迁改造企业在原址新建、扩建危险化学品生产项目。</w:t>
                  </w:r>
                </w:p>
              </w:tc>
              <w:tc>
                <w:tcPr>
                  <w:tcW w:w="1778" w:type="pct"/>
                  <w:vAlign w:val="center"/>
                </w:tcPr>
                <w:p w14:paraId="6ACB4940">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项目不属于《云南省城镇人口密集区危险化学品生产企业搬迁改造名单》的搬迁改造企业。</w:t>
                  </w:r>
                </w:p>
              </w:tc>
              <w:tc>
                <w:tcPr>
                  <w:tcW w:w="469" w:type="pct"/>
                  <w:vAlign w:val="center"/>
                </w:tcPr>
                <w:p w14:paraId="13C619AF">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09FB7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51" w:type="pct"/>
                  <w:vAlign w:val="center"/>
                </w:tcPr>
                <w:p w14:paraId="2DC6F9BD">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第十二条  禁止新建、扩建法律法规和相关政策明令禁止的落后产能项目﹐依法依规关停退出能耗、环保、质量、安全不达标产能和技术落后产能。禁止新建、扩建不符合国家产能置换要求的过剩产能行业的项目。禁止新建、扩建不符合要求的高耗能、高排放项目﹐推动退出重点高耗能行业“限制类”产能。禁止建设高毒高残留以及对环境影响大的农药原药生产装置，严控尿素、磷铵、电石、焦炭、黄磷、烧碱、纯碱、聚氯乙烯等行业新增产能。</w:t>
                  </w:r>
                </w:p>
              </w:tc>
              <w:tc>
                <w:tcPr>
                  <w:tcW w:w="1778" w:type="pct"/>
                  <w:vAlign w:val="center"/>
                </w:tcPr>
                <w:p w14:paraId="4567A625">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本项目</w:t>
                  </w:r>
                  <w:r>
                    <w:rPr>
                      <w:rFonts w:hint="default" w:ascii="Times New Roman" w:hAnsi="Times New Roman" w:cs="Times New Roman" w:eastAsiaTheme="minorEastAsia"/>
                      <w:color w:val="auto"/>
                      <w:sz w:val="21"/>
                      <w:szCs w:val="21"/>
                      <w:highlight w:val="none"/>
                      <w:lang w:val="zh-CN"/>
                    </w:rPr>
                    <w:t>不属于《产业结构调整指导目录（20</w:t>
                  </w:r>
                  <w:r>
                    <w:rPr>
                      <w:rFonts w:hint="default" w:ascii="Times New Roman" w:hAnsi="Times New Roman" w:cs="Times New Roman" w:eastAsiaTheme="minorEastAsia"/>
                      <w:color w:val="auto"/>
                      <w:sz w:val="21"/>
                      <w:szCs w:val="21"/>
                      <w:highlight w:val="none"/>
                    </w:rPr>
                    <w:t>24</w:t>
                  </w:r>
                  <w:r>
                    <w:rPr>
                      <w:rFonts w:hint="default" w:ascii="Times New Roman" w:hAnsi="Times New Roman" w:cs="Times New Roman" w:eastAsiaTheme="minorEastAsia"/>
                      <w:color w:val="auto"/>
                      <w:sz w:val="21"/>
                      <w:szCs w:val="21"/>
                      <w:highlight w:val="none"/>
                      <w:lang w:val="zh-CN"/>
                    </w:rPr>
                    <w:t>年本）》淘汰类或限制类项目，不属于法律法规和相关政策明令禁止的落后产能项目。不属于国家产能置换要求的严重过剩产能行业的项目，</w:t>
                  </w:r>
                  <w:r>
                    <w:rPr>
                      <w:rFonts w:hint="default" w:ascii="Times New Roman" w:hAnsi="Times New Roman" w:cs="Times New Roman" w:eastAsiaTheme="minorEastAsia"/>
                      <w:color w:val="auto"/>
                      <w:sz w:val="21"/>
                      <w:szCs w:val="21"/>
                      <w:highlight w:val="none"/>
                    </w:rPr>
                    <w:t>不属于高</w:t>
                  </w:r>
                  <w:r>
                    <w:rPr>
                      <w:rFonts w:hint="default" w:ascii="Times New Roman" w:hAnsi="Times New Roman" w:cs="Times New Roman" w:eastAsiaTheme="minorEastAsia"/>
                      <w:color w:val="auto"/>
                      <w:sz w:val="21"/>
                      <w:szCs w:val="21"/>
                      <w:highlight w:val="none"/>
                    </w:rPr>
                    <w:cr/>
                  </w:r>
                  <w:r>
                    <w:rPr>
                      <w:rFonts w:hint="default" w:ascii="Times New Roman" w:hAnsi="Times New Roman" w:cs="Times New Roman" w:eastAsiaTheme="minorEastAsia"/>
                      <w:color w:val="auto"/>
                      <w:sz w:val="21"/>
                      <w:szCs w:val="21"/>
                      <w:highlight w:val="none"/>
                    </w:rPr>
                    <w:t>耗能、高排放项目。</w:t>
                  </w:r>
                </w:p>
              </w:tc>
              <w:tc>
                <w:tcPr>
                  <w:tcW w:w="469" w:type="pct"/>
                  <w:vAlign w:val="center"/>
                </w:tcPr>
                <w:p w14:paraId="345DB528">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bl>
          <w:p w14:paraId="105ACFAD">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项目符合《云南省长江经济带发展负面清单指南实施细则（试行，2022年版）》的要求。</w:t>
            </w:r>
          </w:p>
          <w:p w14:paraId="06DDD11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rPr>
              <w:t>7、与《牛栏江流域（云南部分）水环境保护规划（2009-2030年）》的符合性</w:t>
            </w:r>
            <w:r>
              <w:rPr>
                <w:rFonts w:hint="eastAsia" w:cs="Times New Roman" w:eastAsiaTheme="minorEastAsia"/>
                <w:b/>
                <w:bCs/>
                <w:color w:val="auto"/>
                <w:sz w:val="24"/>
                <w:szCs w:val="24"/>
                <w:highlight w:val="none"/>
                <w:lang w:val="en-US" w:eastAsia="zh-CN"/>
              </w:rPr>
              <w:t>分析</w:t>
            </w:r>
          </w:p>
          <w:p w14:paraId="06AAACB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《牛栏江流域（云南部分）水环境保护规划》（2009-2030年）（以下简称《规划》）于2010年经云南省人民政府批复（云政复[2010]21号）发布。《规划》范围为牛栏江流域(云南部分)，干流全长440km，流域面积13672km</w:t>
            </w:r>
            <w:r>
              <w:rPr>
                <w:rFonts w:hint="default" w:ascii="Times New Roman" w:hAnsi="Times New Roman" w:cs="Times New Roman" w:eastAsiaTheme="minorEastAsia"/>
                <w:color w:val="auto"/>
                <w:sz w:val="24"/>
                <w:szCs w:val="24"/>
                <w:highlight w:val="none"/>
                <w:vertAlign w:val="superscript"/>
              </w:rPr>
              <w:t>2</w:t>
            </w:r>
            <w:r>
              <w:rPr>
                <w:rFonts w:hint="default" w:ascii="Times New Roman" w:hAnsi="Times New Roman" w:cs="Times New Roman" w:eastAsiaTheme="minorEastAsia"/>
                <w:color w:val="auto"/>
                <w:sz w:val="24"/>
                <w:szCs w:val="24"/>
                <w:highlight w:val="none"/>
              </w:rPr>
              <w:t>，包括昆明、曲靖、昭通3市10个县(市、区)、46个乡镇。《规划》总目标为：严格控制主要污染物及有毒有害物质的排放，切实控制重点工业污染源及城镇、农村生活污染源，大力削减农业面源污染负荷，保障城镇及农村居民饮用水安全，确保德泽水库水质达到并稳定保持国家地表水Ⅲ类水质标准。</w:t>
            </w:r>
          </w:p>
          <w:p w14:paraId="5CB0575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《规划》将牛栏江流域（云南段）划分为两大控制区，即牛栏江上游（德泽水库坝址以上）重点保护区（I区）、牛栏江下游生态与环境保护区（II 区）。根据污染特征将各控制区进一步划分为若干控制单元，选择水体功能要求高的作为水源保护核心区，污染敏感度高的区域作为重点污染治理区。项目选址位于</w:t>
            </w:r>
            <w:r>
              <w:rPr>
                <w:rFonts w:hint="default" w:ascii="Times New Roman" w:hAnsi="Times New Roman" w:cs="Times New Roman" w:eastAsiaTheme="minorEastAsia"/>
                <w:color w:val="auto"/>
                <w:kern w:val="18"/>
                <w:sz w:val="24"/>
                <w:szCs w:val="24"/>
                <w:highlight w:val="none"/>
              </w:rPr>
              <w:t>仁德街道道院社区大法古村</w:t>
            </w:r>
            <w:r>
              <w:rPr>
                <w:rFonts w:hint="default" w:ascii="Times New Roman" w:hAnsi="Times New Roman" w:cs="Times New Roman" w:eastAsiaTheme="minorEastAsia"/>
                <w:color w:val="auto"/>
                <w:sz w:val="24"/>
                <w:szCs w:val="24"/>
                <w:highlight w:val="none"/>
              </w:rPr>
              <w:t>，涉及牛栏江德泽水库以上水环境重点保护区（调水水源区）。I区：牛栏江上游（德泽水库坝址以上）重点保护区：为牛栏江流域上游（德泽水库以上）的调水水源区，牛栏江干流德泽取水枢纽坝址及上游河段（德泽水文站以上）河长172km及区间主要支流的范围，坝址控制径流面积4551km</w:t>
            </w:r>
            <w:r>
              <w:rPr>
                <w:rFonts w:hint="default" w:ascii="Times New Roman" w:hAnsi="Times New Roman" w:cs="Times New Roman" w:eastAsiaTheme="minorEastAsia"/>
                <w:color w:val="auto"/>
                <w:sz w:val="24"/>
                <w:szCs w:val="24"/>
                <w:highlight w:val="none"/>
                <w:vertAlign w:val="superscript"/>
              </w:rPr>
              <w:t>2</w:t>
            </w:r>
            <w:r>
              <w:rPr>
                <w:rFonts w:hint="default" w:ascii="Times New Roman" w:hAnsi="Times New Roman" w:cs="Times New Roman" w:eastAsiaTheme="minorEastAsia"/>
                <w:color w:val="auto"/>
                <w:sz w:val="24"/>
                <w:szCs w:val="24"/>
                <w:highlight w:val="none"/>
              </w:rPr>
              <w:t>。又进一步划分I1水源保护核心区，I2重点污染控制区，I3水源涵养区。</w:t>
            </w:r>
          </w:p>
          <w:p w14:paraId="7412CE2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I1水源保护核心区：牛栏江干流以内的水面，河岸带外围汇水区陆域1000m范围，德泽水库水面，库区外围汇水区陆域2000m的范围，涉及乡镇主要有官渡区的大板桥镇小哨乡；嵩明县的嵩阳镇（部分）、杨桥乡（部分）、杨林镇（部分）、牛栏江镇（部分）、小街镇（部分）；寻甸县的羊街镇（部分）、塘子镇（大部分）、仁德镇（部分）、七星乡、河口乡，沾益县的德泽乡；会泽县田坝乡合计13个乡镇。牛栏江镇、塘子镇、河口乡、七星乡、德泽乡属于水源保护核心区的重点区域，面积为665km</w:t>
            </w:r>
            <w:r>
              <w:rPr>
                <w:rFonts w:hint="default" w:ascii="Times New Roman" w:hAnsi="Times New Roman" w:cs="Times New Roman" w:eastAsiaTheme="minorEastAsia"/>
                <w:color w:val="auto"/>
                <w:sz w:val="24"/>
                <w:szCs w:val="24"/>
                <w:highlight w:val="none"/>
                <w:vertAlign w:val="superscript"/>
              </w:rPr>
              <w:t>2</w:t>
            </w:r>
            <w:r>
              <w:rPr>
                <w:rFonts w:hint="default" w:ascii="Times New Roman" w:hAnsi="Times New Roman" w:cs="Times New Roman" w:eastAsiaTheme="minorEastAsia"/>
                <w:color w:val="auto"/>
                <w:sz w:val="24"/>
                <w:szCs w:val="24"/>
                <w:highlight w:val="none"/>
              </w:rPr>
              <w:t>。该区域优先实施全方位的工程与监督管理措施。工程措施包括五个乡镇生活源治理工程，干流及主要支流沿河农村及农业面源治理工程，德泽水库源头水源涵养林、牛栏江干流及主要支流两岸水土保持林等生态工程。监督管理措施包括清除牛栏江干流排污口，工业源实现零排放，禁止新排放废水的工业企业，建立水质水量自动监测站、 实施河道保洁工程，按区域划分实行河长负责制等措施。</w:t>
            </w:r>
          </w:p>
          <w:p w14:paraId="107AFD6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I2重点污染控制区：重点污染控制区是指牛栏江水体区河岸带边界外的坝区。区域内是以经济开发活动为主，适宜人们居住的坝区。主要是水源保护核心区边界外的坝区。涉及嵩明县的嵩阳镇（部分）、杨桥乡（部分）、杨林镇（部分）、牛栏江镇（部分）、小街镇（部分）；寻甸县羊街镇（部分）、金所乡、仁德镇，塘子镇（小部分）。马龙县的通泉镇、王家庄镇、月望乡、马过河镇、旧县镇；沾益县的大坡乡、菱角乡等16个乡镇。重点污染控制区内的嵩阳镇，小街镇，杨桥乡，牛栏江镇，德泽乡属于本规划的污染重点治理区。面积约为2011km</w:t>
            </w:r>
            <w:r>
              <w:rPr>
                <w:rFonts w:hint="default" w:ascii="Times New Roman" w:hAnsi="Times New Roman" w:cs="Times New Roman" w:eastAsiaTheme="minorEastAsia"/>
                <w:color w:val="auto"/>
                <w:sz w:val="24"/>
                <w:szCs w:val="24"/>
                <w:highlight w:val="none"/>
                <w:vertAlign w:val="superscript"/>
              </w:rPr>
              <w:t>2</w:t>
            </w:r>
            <w:r>
              <w:rPr>
                <w:rFonts w:hint="default" w:ascii="Times New Roman" w:hAnsi="Times New Roman" w:cs="Times New Roman" w:eastAsiaTheme="minorEastAsia"/>
                <w:color w:val="auto"/>
                <w:sz w:val="24"/>
                <w:szCs w:val="24"/>
                <w:highlight w:val="none"/>
              </w:rPr>
              <w:t xml:space="preserve">。 工程措施包括乡镇生活源治理工程，农村及农业面源治理工程，水土流失控制工程等。监督管理措施包括加强对现有工业企业的监管，严格产业准入政策，严格控制排放废水工业的发展，调整农业产业结构等措施。 </w:t>
            </w:r>
          </w:p>
          <w:p w14:paraId="5957B5B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I3水源涵养区：除水源保护核心区、重点污染控制区以外官渡区、嵩明县、寻甸县、马龙县、沾益县、会泽县面山第一道山脊分水岭的区域。面积约1875km</w:t>
            </w:r>
            <w:r>
              <w:rPr>
                <w:rFonts w:hint="default" w:ascii="Times New Roman" w:hAnsi="Times New Roman" w:cs="Times New Roman" w:eastAsiaTheme="minorEastAsia"/>
                <w:color w:val="auto"/>
                <w:sz w:val="24"/>
                <w:szCs w:val="24"/>
                <w:highlight w:val="none"/>
                <w:vertAlign w:val="superscript"/>
              </w:rPr>
              <w:t>2</w:t>
            </w:r>
            <w:r>
              <w:rPr>
                <w:rFonts w:hint="default" w:ascii="Times New Roman" w:hAnsi="Times New Roman" w:cs="Times New Roman" w:eastAsiaTheme="minorEastAsia"/>
                <w:color w:val="auto"/>
                <w:sz w:val="24"/>
                <w:szCs w:val="24"/>
                <w:highlight w:val="none"/>
              </w:rPr>
              <w:t>。重点实施退耕还林、水土保持、营造水源涵养林等工程，引导农业生态化发展，加强区域生态保护。</w:t>
            </w:r>
          </w:p>
          <w:p w14:paraId="39EFB0D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根据牛栏江流域调水水源区水环境保护分区情况，项目位于牛栏江西面约2km处，属于仁德街道，位于重点污染控制区（I2区），详见附图4。</w:t>
            </w:r>
          </w:p>
          <w:p w14:paraId="14E3769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扩建后项目与《牛栏江流域（云南部分）水环境保护规划（2009-2030年）》的符合性分析见表1-</w:t>
            </w:r>
            <w:r>
              <w:rPr>
                <w:rFonts w:hint="eastAsia" w:cs="Times New Roman" w:eastAsiaTheme="minorEastAsia"/>
                <w:color w:val="auto"/>
                <w:sz w:val="24"/>
                <w:szCs w:val="24"/>
                <w:highlight w:val="none"/>
                <w:lang w:val="en-US" w:eastAsia="zh-CN"/>
              </w:rPr>
              <w:t>6</w:t>
            </w:r>
            <w:r>
              <w:rPr>
                <w:rFonts w:hint="default" w:ascii="Times New Roman" w:hAnsi="Times New Roman" w:cs="Times New Roman" w:eastAsiaTheme="minorEastAsia"/>
                <w:color w:val="auto"/>
                <w:sz w:val="24"/>
                <w:szCs w:val="24"/>
                <w:highlight w:val="none"/>
              </w:rPr>
              <w:t>。</w:t>
            </w:r>
          </w:p>
          <w:p w14:paraId="75494669">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b/>
                <w:color w:val="auto"/>
                <w:sz w:val="21"/>
                <w:szCs w:val="21"/>
                <w:highlight w:val="none"/>
              </w:rPr>
            </w:pPr>
            <w:r>
              <w:rPr>
                <w:b/>
                <w:color w:val="auto"/>
                <w:sz w:val="21"/>
                <w:szCs w:val="21"/>
                <w:highlight w:val="none"/>
              </w:rPr>
              <w:t>表</w:t>
            </w:r>
            <w:r>
              <w:rPr>
                <w:rFonts w:hint="eastAsia"/>
                <w:b/>
                <w:color w:val="auto"/>
                <w:sz w:val="21"/>
                <w:szCs w:val="21"/>
                <w:highlight w:val="none"/>
              </w:rPr>
              <w:t>1-</w:t>
            </w:r>
            <w:r>
              <w:rPr>
                <w:rFonts w:hint="eastAsia"/>
                <w:b/>
                <w:color w:val="auto"/>
                <w:sz w:val="21"/>
                <w:szCs w:val="21"/>
                <w:highlight w:val="none"/>
                <w:lang w:val="en-US" w:eastAsia="zh-CN"/>
              </w:rPr>
              <w:t xml:space="preserve">6  </w:t>
            </w:r>
            <w:r>
              <w:rPr>
                <w:rFonts w:hint="eastAsia"/>
                <w:b/>
                <w:color w:val="auto"/>
                <w:sz w:val="21"/>
                <w:szCs w:val="21"/>
                <w:highlight w:val="none"/>
              </w:rPr>
              <w:t>与《牛栏江流域（云南部分）水环境保护规划（</w:t>
            </w:r>
            <w:r>
              <w:rPr>
                <w:b/>
                <w:color w:val="auto"/>
                <w:sz w:val="21"/>
                <w:szCs w:val="21"/>
                <w:highlight w:val="none"/>
              </w:rPr>
              <w:t>2009-2030</w:t>
            </w:r>
            <w:r>
              <w:rPr>
                <w:rFonts w:hint="eastAsia"/>
                <w:b/>
                <w:color w:val="auto"/>
                <w:sz w:val="21"/>
                <w:szCs w:val="21"/>
                <w:highlight w:val="none"/>
              </w:rPr>
              <w:t>年）》</w:t>
            </w:r>
          </w:p>
          <w:p w14:paraId="171F15E5">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b/>
                <w:color w:val="auto"/>
                <w:sz w:val="21"/>
                <w:szCs w:val="21"/>
                <w:highlight w:val="none"/>
              </w:rPr>
            </w:pPr>
            <w:r>
              <w:rPr>
                <w:rFonts w:hint="eastAsia"/>
                <w:b/>
                <w:color w:val="auto"/>
                <w:sz w:val="21"/>
                <w:szCs w:val="21"/>
                <w:highlight w:val="none"/>
              </w:rPr>
              <w:t>符合性分析情况表</w:t>
            </w:r>
          </w:p>
          <w:tbl>
            <w:tblPr>
              <w:tblStyle w:val="26"/>
              <w:tblW w:w="77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9" w:type="dxa"/>
                <w:bottom w:w="0" w:type="dxa"/>
                <w:right w:w="79" w:type="dxa"/>
              </w:tblCellMar>
            </w:tblPr>
            <w:tblGrid>
              <w:gridCol w:w="3710"/>
              <w:gridCol w:w="3300"/>
              <w:gridCol w:w="701"/>
            </w:tblGrid>
            <w:tr w14:paraId="4F82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2405" w:type="pct"/>
                  <w:vAlign w:val="center"/>
                </w:tcPr>
                <w:p w14:paraId="1E97AD76">
                  <w:pPr>
                    <w:keepNext w:val="0"/>
                    <w:keepLines w:val="0"/>
                    <w:pageBreakBefore w:val="0"/>
                    <w:kinsoku/>
                    <w:wordWrap/>
                    <w:overflowPunct/>
                    <w:topLinePunct w:val="0"/>
                    <w:autoSpaceDE/>
                    <w:autoSpaceDN/>
                    <w:bidi w:val="0"/>
                    <w:spacing w:line="320" w:lineRule="exact"/>
                    <w:ind w:firstLine="0" w:firstLineChars="0"/>
                    <w:jc w:val="center"/>
                    <w:textAlignment w:val="auto"/>
                    <w:rPr>
                      <w:b/>
                      <w:color w:val="auto"/>
                      <w:sz w:val="21"/>
                      <w:szCs w:val="21"/>
                      <w:highlight w:val="none"/>
                      <w:lang w:eastAsia="en-US"/>
                    </w:rPr>
                  </w:pPr>
                  <w:r>
                    <w:rPr>
                      <w:rFonts w:hint="eastAsia"/>
                      <w:b/>
                      <w:color w:val="auto"/>
                      <w:sz w:val="21"/>
                      <w:szCs w:val="21"/>
                      <w:highlight w:val="none"/>
                    </w:rPr>
                    <w:t>相关</w:t>
                  </w:r>
                  <w:r>
                    <w:rPr>
                      <w:b/>
                      <w:color w:val="auto"/>
                      <w:sz w:val="21"/>
                      <w:szCs w:val="21"/>
                      <w:highlight w:val="none"/>
                      <w:lang w:eastAsia="en-US"/>
                    </w:rPr>
                    <w:t>要求</w:t>
                  </w:r>
                </w:p>
              </w:tc>
              <w:tc>
                <w:tcPr>
                  <w:tcW w:w="2139" w:type="pct"/>
                  <w:vAlign w:val="center"/>
                </w:tcPr>
                <w:p w14:paraId="3BE65558">
                  <w:pPr>
                    <w:keepNext w:val="0"/>
                    <w:keepLines w:val="0"/>
                    <w:pageBreakBefore w:val="0"/>
                    <w:kinsoku/>
                    <w:wordWrap/>
                    <w:overflowPunct/>
                    <w:topLinePunct w:val="0"/>
                    <w:autoSpaceDE/>
                    <w:autoSpaceDN/>
                    <w:bidi w:val="0"/>
                    <w:spacing w:line="320" w:lineRule="exact"/>
                    <w:ind w:firstLine="0" w:firstLineChars="0"/>
                    <w:jc w:val="center"/>
                    <w:textAlignment w:val="auto"/>
                    <w:rPr>
                      <w:b/>
                      <w:color w:val="auto"/>
                      <w:sz w:val="21"/>
                      <w:szCs w:val="21"/>
                      <w:highlight w:val="none"/>
                      <w:lang w:eastAsia="en-US"/>
                    </w:rPr>
                  </w:pPr>
                  <w:r>
                    <w:rPr>
                      <w:b/>
                      <w:color w:val="auto"/>
                      <w:sz w:val="21"/>
                      <w:szCs w:val="21"/>
                      <w:highlight w:val="none"/>
                      <w:lang w:eastAsia="en-US"/>
                    </w:rPr>
                    <w:t>项目情况</w:t>
                  </w:r>
                </w:p>
              </w:tc>
              <w:tc>
                <w:tcPr>
                  <w:tcW w:w="454" w:type="pct"/>
                  <w:vAlign w:val="center"/>
                </w:tcPr>
                <w:p w14:paraId="0E64E3C5">
                  <w:pPr>
                    <w:keepNext w:val="0"/>
                    <w:keepLines w:val="0"/>
                    <w:pageBreakBefore w:val="0"/>
                    <w:kinsoku/>
                    <w:wordWrap/>
                    <w:overflowPunct/>
                    <w:topLinePunct w:val="0"/>
                    <w:autoSpaceDE/>
                    <w:autoSpaceDN/>
                    <w:bidi w:val="0"/>
                    <w:spacing w:line="320" w:lineRule="exact"/>
                    <w:ind w:firstLine="0" w:firstLineChars="0"/>
                    <w:jc w:val="center"/>
                    <w:textAlignment w:val="auto"/>
                    <w:rPr>
                      <w:b/>
                      <w:color w:val="auto"/>
                      <w:sz w:val="21"/>
                      <w:szCs w:val="21"/>
                      <w:highlight w:val="none"/>
                    </w:rPr>
                  </w:pPr>
                  <w:r>
                    <w:rPr>
                      <w:b/>
                      <w:color w:val="auto"/>
                      <w:sz w:val="21"/>
                      <w:szCs w:val="21"/>
                      <w:highlight w:val="none"/>
                      <w:lang w:eastAsia="en-US"/>
                    </w:rPr>
                    <w:t>符合</w:t>
                  </w:r>
                  <w:r>
                    <w:rPr>
                      <w:rFonts w:hint="eastAsia"/>
                      <w:b/>
                      <w:color w:val="auto"/>
                      <w:sz w:val="21"/>
                      <w:szCs w:val="21"/>
                      <w:highlight w:val="none"/>
                    </w:rPr>
                    <w:t>性</w:t>
                  </w:r>
                </w:p>
              </w:tc>
            </w:tr>
            <w:tr w14:paraId="52657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2405" w:type="pct"/>
                  <w:vAlign w:val="center"/>
                </w:tcPr>
                <w:p w14:paraId="6201DAAD">
                  <w:pPr>
                    <w:keepNext w:val="0"/>
                    <w:keepLines w:val="0"/>
                    <w:pageBreakBefore w:val="0"/>
                    <w:widowControl/>
                    <w:kinsoku/>
                    <w:wordWrap/>
                    <w:overflowPunct/>
                    <w:topLinePunct w:val="0"/>
                    <w:autoSpaceDE/>
                    <w:autoSpaceDN/>
                    <w:bidi w:val="0"/>
                    <w:spacing w:line="320" w:lineRule="exact"/>
                    <w:ind w:firstLine="0" w:firstLineChars="0"/>
                    <w:jc w:val="left"/>
                    <w:textAlignment w:val="auto"/>
                    <w:rPr>
                      <w:color w:val="auto"/>
                      <w:sz w:val="21"/>
                      <w:szCs w:val="21"/>
                      <w:highlight w:val="none"/>
                    </w:rPr>
                  </w:pPr>
                  <w:r>
                    <w:rPr>
                      <w:color w:val="auto"/>
                      <w:kern w:val="0"/>
                      <w:sz w:val="21"/>
                      <w:szCs w:val="21"/>
                      <w:highlight w:val="none"/>
                      <w:lang w:bidi="ar"/>
                    </w:rPr>
                    <w:t xml:space="preserve">落实国家产业政策和有关环保政策，实现主要废水排放企业的“零排放”，到2012年12月31日，实现牛栏江调水水源区工业废水的零排放。在调水水源区，通过贯彻落实国家产业政策大检查和环保设施专项检查、强制清洁生产审核等措施，确保实现园区和企业废水的零排放。 </w:t>
                  </w:r>
                </w:p>
              </w:tc>
              <w:tc>
                <w:tcPr>
                  <w:tcW w:w="2139" w:type="pct"/>
                  <w:vAlign w:val="center"/>
                </w:tcPr>
                <w:p w14:paraId="35823602">
                  <w:pPr>
                    <w:keepNext w:val="0"/>
                    <w:keepLines w:val="0"/>
                    <w:pageBreakBefore w:val="0"/>
                    <w:kinsoku/>
                    <w:wordWrap/>
                    <w:overflowPunct/>
                    <w:topLinePunct w:val="0"/>
                    <w:autoSpaceDE/>
                    <w:autoSpaceDN/>
                    <w:bidi w:val="0"/>
                    <w:spacing w:line="320" w:lineRule="exact"/>
                    <w:ind w:firstLine="0" w:firstLineChars="0"/>
                    <w:textAlignment w:val="auto"/>
                    <w:rPr>
                      <w:color w:val="auto"/>
                      <w:sz w:val="21"/>
                      <w:szCs w:val="21"/>
                      <w:highlight w:val="none"/>
                    </w:rPr>
                  </w:pPr>
                  <w:r>
                    <w:rPr>
                      <w:color w:val="auto"/>
                      <w:sz w:val="21"/>
                      <w:szCs w:val="21"/>
                      <w:highlight w:val="none"/>
                    </w:rPr>
                    <w:t>本项目位于牛栏江调水水源区。</w:t>
                  </w:r>
                  <w:r>
                    <w:rPr>
                      <w:rFonts w:hint="eastAsia"/>
                      <w:color w:val="auto"/>
                      <w:sz w:val="21"/>
                      <w:szCs w:val="21"/>
                      <w:highlight w:val="none"/>
                      <w:lang w:val="en-US" w:eastAsia="zh-CN"/>
                    </w:rPr>
                    <w:t>本项目产生的废污水依托现有项目</w:t>
                  </w:r>
                  <w:r>
                    <w:rPr>
                      <w:color w:val="auto"/>
                      <w:sz w:val="21"/>
                      <w:szCs w:val="21"/>
                      <w:highlight w:val="none"/>
                    </w:rPr>
                    <w:t>生产废水处理系统处理后，排入寻甸县污水处理厂</w:t>
                  </w:r>
                  <w:r>
                    <w:rPr>
                      <w:rFonts w:hint="eastAsia"/>
                      <w:color w:val="auto"/>
                      <w:sz w:val="21"/>
                      <w:szCs w:val="21"/>
                      <w:highlight w:val="none"/>
                      <w:lang w:val="en-US" w:eastAsia="zh-CN"/>
                    </w:rPr>
                    <w:t>处理</w:t>
                  </w:r>
                  <w:r>
                    <w:rPr>
                      <w:color w:val="auto"/>
                      <w:sz w:val="21"/>
                      <w:szCs w:val="21"/>
                      <w:highlight w:val="none"/>
                    </w:rPr>
                    <w:t>。因此，项目不向外环境直接排放废水。</w:t>
                  </w:r>
                </w:p>
              </w:tc>
              <w:tc>
                <w:tcPr>
                  <w:tcW w:w="454" w:type="pct"/>
                  <w:vAlign w:val="center"/>
                </w:tcPr>
                <w:p w14:paraId="5F5EC982">
                  <w:pPr>
                    <w:keepNext w:val="0"/>
                    <w:keepLines w:val="0"/>
                    <w:pageBreakBefore w:val="0"/>
                    <w:kinsoku/>
                    <w:wordWrap/>
                    <w:overflowPunct/>
                    <w:topLinePunct w:val="0"/>
                    <w:autoSpaceDE/>
                    <w:autoSpaceDN/>
                    <w:bidi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符合</w:t>
                  </w:r>
                </w:p>
              </w:tc>
            </w:tr>
            <w:tr w14:paraId="565D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2405" w:type="pct"/>
                  <w:vAlign w:val="center"/>
                </w:tcPr>
                <w:p w14:paraId="19B23C82">
                  <w:pPr>
                    <w:keepNext w:val="0"/>
                    <w:keepLines w:val="0"/>
                    <w:pageBreakBefore w:val="0"/>
                    <w:widowControl/>
                    <w:kinsoku/>
                    <w:wordWrap/>
                    <w:overflowPunct/>
                    <w:topLinePunct w:val="0"/>
                    <w:autoSpaceDE/>
                    <w:autoSpaceDN/>
                    <w:bidi w:val="0"/>
                    <w:spacing w:line="320" w:lineRule="exact"/>
                    <w:ind w:firstLine="0" w:firstLineChars="0"/>
                    <w:jc w:val="left"/>
                    <w:textAlignment w:val="auto"/>
                    <w:rPr>
                      <w:color w:val="auto"/>
                      <w:kern w:val="0"/>
                      <w:sz w:val="21"/>
                      <w:szCs w:val="21"/>
                      <w:highlight w:val="none"/>
                      <w:lang w:bidi="ar"/>
                    </w:rPr>
                  </w:pPr>
                  <w:r>
                    <w:rPr>
                      <w:color w:val="auto"/>
                      <w:kern w:val="0"/>
                      <w:sz w:val="21"/>
                      <w:szCs w:val="21"/>
                      <w:highlight w:val="none"/>
                      <w:lang w:bidi="ar"/>
                    </w:rPr>
                    <w:t>严格工业企业环境管理，严格环境准</w:t>
                  </w:r>
                  <w:r>
                    <w:rPr>
                      <w:rFonts w:hint="eastAsia"/>
                      <w:color w:val="auto"/>
                      <w:kern w:val="0"/>
                      <w:sz w:val="21"/>
                      <w:szCs w:val="21"/>
                      <w:highlight w:val="none"/>
                      <w:lang w:bidi="ar"/>
                    </w:rPr>
                    <w:t>入政</w:t>
                  </w:r>
                  <w:r>
                    <w:rPr>
                      <w:color w:val="auto"/>
                      <w:kern w:val="0"/>
                      <w:sz w:val="21"/>
                      <w:szCs w:val="21"/>
                      <w:highlight w:val="none"/>
                      <w:lang w:bidi="ar"/>
                    </w:rPr>
                    <w:cr/>
                  </w:r>
                  <w:r>
                    <w:rPr>
                      <w:color w:val="auto"/>
                      <w:kern w:val="0"/>
                      <w:sz w:val="21"/>
                      <w:szCs w:val="21"/>
                      <w:highlight w:val="none"/>
                      <w:lang w:bidi="ar"/>
                    </w:rPr>
                    <w:t>策，避免新污染物输入。</w:t>
                  </w:r>
                </w:p>
              </w:tc>
              <w:tc>
                <w:tcPr>
                  <w:tcW w:w="2139" w:type="pct"/>
                  <w:vAlign w:val="center"/>
                </w:tcPr>
                <w:p w14:paraId="65C807D0">
                  <w:pPr>
                    <w:keepNext w:val="0"/>
                    <w:keepLines w:val="0"/>
                    <w:pageBreakBefore w:val="0"/>
                    <w:kinsoku/>
                    <w:wordWrap/>
                    <w:overflowPunct/>
                    <w:topLinePunct w:val="0"/>
                    <w:autoSpaceDE/>
                    <w:autoSpaceDN/>
                    <w:bidi w:val="0"/>
                    <w:spacing w:line="320" w:lineRule="exact"/>
                    <w:ind w:firstLine="0" w:firstLineChars="0"/>
                    <w:textAlignment w:val="auto"/>
                    <w:rPr>
                      <w:color w:val="auto"/>
                      <w:sz w:val="21"/>
                      <w:szCs w:val="21"/>
                      <w:highlight w:val="none"/>
                    </w:rPr>
                  </w:pPr>
                  <w:r>
                    <w:rPr>
                      <w:rFonts w:hint="eastAsia"/>
                      <w:color w:val="auto"/>
                      <w:sz w:val="21"/>
                      <w:szCs w:val="21"/>
                      <w:highlight w:val="none"/>
                    </w:rPr>
                    <w:t>本</w:t>
                  </w:r>
                  <w:r>
                    <w:rPr>
                      <w:color w:val="auto"/>
                      <w:sz w:val="21"/>
                      <w:szCs w:val="21"/>
                      <w:highlight w:val="none"/>
                    </w:rPr>
                    <w:t>项目为</w:t>
                  </w:r>
                  <w:r>
                    <w:rPr>
                      <w:rFonts w:hint="eastAsia"/>
                      <w:color w:val="auto"/>
                      <w:sz w:val="21"/>
                      <w:szCs w:val="21"/>
                      <w:highlight w:val="none"/>
                    </w:rPr>
                    <w:t>肥料制造</w:t>
                  </w:r>
                  <w:r>
                    <w:rPr>
                      <w:color w:val="auto"/>
                      <w:sz w:val="21"/>
                      <w:szCs w:val="21"/>
                      <w:highlight w:val="none"/>
                    </w:rPr>
                    <w:t>项目，根据国家发改委《产业结构调整指导目录（20</w:t>
                  </w:r>
                  <w:r>
                    <w:rPr>
                      <w:rFonts w:hint="eastAsia"/>
                      <w:color w:val="auto"/>
                      <w:sz w:val="21"/>
                      <w:szCs w:val="21"/>
                      <w:highlight w:val="none"/>
                    </w:rPr>
                    <w:t>24</w:t>
                  </w:r>
                  <w:r>
                    <w:rPr>
                      <w:color w:val="auto"/>
                      <w:sz w:val="21"/>
                      <w:szCs w:val="21"/>
                      <w:highlight w:val="none"/>
                    </w:rPr>
                    <w:t>年本）》中的相关内容，项目</w:t>
                  </w:r>
                  <w:r>
                    <w:rPr>
                      <w:rFonts w:hint="eastAsia"/>
                      <w:color w:val="auto"/>
                      <w:sz w:val="21"/>
                      <w:szCs w:val="21"/>
                      <w:highlight w:val="none"/>
                    </w:rPr>
                    <w:t>属于鼓励类项目</w:t>
                  </w:r>
                  <w:r>
                    <w:rPr>
                      <w:rFonts w:hint="eastAsia"/>
                      <w:color w:val="auto"/>
                      <w:sz w:val="21"/>
                      <w:szCs w:val="21"/>
                      <w:highlight w:val="none"/>
                      <w:lang w:eastAsia="zh-CN"/>
                    </w:rPr>
                    <w:t>；</w:t>
                  </w:r>
                  <w:r>
                    <w:rPr>
                      <w:rFonts w:hint="eastAsia"/>
                      <w:color w:val="auto"/>
                      <w:sz w:val="21"/>
                      <w:szCs w:val="21"/>
                      <w:highlight w:val="none"/>
                    </w:rPr>
                    <w:t>所选设备、工艺均未列入《淘汰落后生产力、工艺和产品目录》中</w:t>
                  </w:r>
                  <w:r>
                    <w:rPr>
                      <w:color w:val="auto"/>
                      <w:sz w:val="21"/>
                      <w:szCs w:val="21"/>
                      <w:highlight w:val="none"/>
                    </w:rPr>
                    <w:t>，项目的建设符合国家现行产业政策。</w:t>
                  </w:r>
                  <w:r>
                    <w:rPr>
                      <w:rFonts w:hint="eastAsia"/>
                      <w:color w:val="auto"/>
                      <w:sz w:val="21"/>
                      <w:szCs w:val="21"/>
                      <w:highlight w:val="none"/>
                      <w:lang w:val="en-US" w:eastAsia="zh-CN"/>
                    </w:rPr>
                    <w:t>项目产生的废污水</w:t>
                  </w:r>
                  <w:r>
                    <w:rPr>
                      <w:rFonts w:hint="eastAsia"/>
                      <w:color w:val="auto"/>
                      <w:sz w:val="21"/>
                      <w:szCs w:val="21"/>
                      <w:highlight w:val="none"/>
                    </w:rPr>
                    <w:t>依托现有</w:t>
                  </w:r>
                  <w:r>
                    <w:rPr>
                      <w:rFonts w:hint="eastAsia"/>
                      <w:color w:val="auto"/>
                      <w:sz w:val="21"/>
                      <w:szCs w:val="21"/>
                      <w:highlight w:val="none"/>
                      <w:lang w:val="en-US" w:eastAsia="zh-CN"/>
                    </w:rPr>
                    <w:t>项目的</w:t>
                  </w:r>
                  <w:r>
                    <w:rPr>
                      <w:rFonts w:hint="eastAsia"/>
                      <w:color w:val="auto"/>
                      <w:sz w:val="21"/>
                      <w:szCs w:val="21"/>
                      <w:highlight w:val="none"/>
                    </w:rPr>
                    <w:t>废水处理系统处理后，排入寻甸县污水处理厂</w:t>
                  </w:r>
                  <w:r>
                    <w:rPr>
                      <w:rFonts w:hint="eastAsia"/>
                      <w:color w:val="auto"/>
                      <w:sz w:val="21"/>
                      <w:szCs w:val="21"/>
                      <w:highlight w:val="none"/>
                      <w:lang w:val="en-US" w:eastAsia="zh-CN"/>
                    </w:rPr>
                    <w:t>进一步处理</w:t>
                  </w:r>
                  <w:r>
                    <w:rPr>
                      <w:rFonts w:hint="eastAsia"/>
                      <w:color w:val="auto"/>
                      <w:sz w:val="21"/>
                      <w:szCs w:val="21"/>
                      <w:highlight w:val="none"/>
                    </w:rPr>
                    <w:t>。</w:t>
                  </w:r>
                  <w:r>
                    <w:rPr>
                      <w:rFonts w:hint="eastAsia"/>
                      <w:color w:val="auto"/>
                      <w:sz w:val="21"/>
                      <w:szCs w:val="21"/>
                      <w:highlight w:val="none"/>
                      <w:lang w:val="en-US" w:eastAsia="zh-CN"/>
                    </w:rPr>
                    <w:t>本</w:t>
                  </w:r>
                  <w:r>
                    <w:rPr>
                      <w:rFonts w:hint="eastAsia"/>
                      <w:color w:val="auto"/>
                      <w:sz w:val="21"/>
                      <w:szCs w:val="21"/>
                      <w:highlight w:val="none"/>
                    </w:rPr>
                    <w:t>项目废水主要污染物为</w:t>
                  </w:r>
                  <w:r>
                    <w:rPr>
                      <w:color w:val="auto"/>
                      <w:sz w:val="21"/>
                      <w:szCs w:val="21"/>
                      <w:highlight w:val="none"/>
                    </w:rPr>
                    <w:t>COD</w:t>
                  </w:r>
                  <w:r>
                    <w:rPr>
                      <w:rFonts w:hint="eastAsia"/>
                      <w:color w:val="auto"/>
                      <w:sz w:val="21"/>
                      <w:szCs w:val="21"/>
                      <w:highlight w:val="none"/>
                    </w:rPr>
                    <w:t>cr、</w:t>
                  </w:r>
                  <w:r>
                    <w:rPr>
                      <w:color w:val="auto"/>
                      <w:sz w:val="21"/>
                      <w:szCs w:val="21"/>
                      <w:highlight w:val="none"/>
                    </w:rPr>
                    <w:t>BOD</w:t>
                  </w:r>
                  <w:r>
                    <w:rPr>
                      <w:color w:val="auto"/>
                      <w:sz w:val="21"/>
                      <w:szCs w:val="21"/>
                      <w:highlight w:val="none"/>
                      <w:vertAlign w:val="subscript"/>
                    </w:rPr>
                    <w:t>5</w:t>
                  </w:r>
                  <w:r>
                    <w:rPr>
                      <w:rFonts w:hint="eastAsia"/>
                      <w:color w:val="auto"/>
                      <w:sz w:val="21"/>
                      <w:szCs w:val="21"/>
                      <w:highlight w:val="none"/>
                    </w:rPr>
                    <w:t>、</w:t>
                  </w:r>
                  <w:r>
                    <w:rPr>
                      <w:color w:val="auto"/>
                      <w:sz w:val="21"/>
                      <w:szCs w:val="21"/>
                      <w:highlight w:val="none"/>
                    </w:rPr>
                    <w:t>SS</w:t>
                  </w:r>
                  <w:r>
                    <w:rPr>
                      <w:rFonts w:hint="eastAsia"/>
                      <w:color w:val="auto"/>
                      <w:sz w:val="21"/>
                      <w:szCs w:val="21"/>
                      <w:highlight w:val="none"/>
                    </w:rPr>
                    <w:t>、氨氮等</w:t>
                  </w:r>
                  <w:r>
                    <w:rPr>
                      <w:rFonts w:hint="eastAsia"/>
                      <w:color w:val="auto"/>
                      <w:sz w:val="21"/>
                      <w:szCs w:val="21"/>
                      <w:highlight w:val="none"/>
                      <w:lang w:val="en-US" w:eastAsia="zh-CN"/>
                    </w:rPr>
                    <w:t>与现有项目废水主要污染物一致</w:t>
                  </w:r>
                  <w:r>
                    <w:rPr>
                      <w:rFonts w:hint="eastAsia"/>
                      <w:color w:val="auto"/>
                      <w:sz w:val="21"/>
                      <w:szCs w:val="21"/>
                      <w:highlight w:val="none"/>
                    </w:rPr>
                    <w:t>，</w:t>
                  </w:r>
                  <w:r>
                    <w:rPr>
                      <w:rFonts w:hint="eastAsia"/>
                      <w:color w:val="auto"/>
                      <w:sz w:val="21"/>
                      <w:szCs w:val="21"/>
                      <w:highlight w:val="none"/>
                      <w:lang w:val="en-US" w:eastAsia="zh-CN"/>
                    </w:rPr>
                    <w:t>本项目废污水不新增新污染</w:t>
                  </w:r>
                  <w:r>
                    <w:rPr>
                      <w:rFonts w:hint="eastAsia"/>
                      <w:color w:val="auto"/>
                      <w:sz w:val="21"/>
                      <w:szCs w:val="21"/>
                      <w:highlight w:val="none"/>
                    </w:rPr>
                    <w:t>。</w:t>
                  </w:r>
                </w:p>
              </w:tc>
              <w:tc>
                <w:tcPr>
                  <w:tcW w:w="454" w:type="pct"/>
                  <w:vAlign w:val="center"/>
                </w:tcPr>
                <w:p w14:paraId="45E0A66E">
                  <w:pPr>
                    <w:keepNext w:val="0"/>
                    <w:keepLines w:val="0"/>
                    <w:pageBreakBefore w:val="0"/>
                    <w:kinsoku/>
                    <w:wordWrap/>
                    <w:overflowPunct/>
                    <w:topLinePunct w:val="0"/>
                    <w:autoSpaceDE/>
                    <w:autoSpaceDN/>
                    <w:bidi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符合</w:t>
                  </w:r>
                </w:p>
              </w:tc>
            </w:tr>
            <w:tr w14:paraId="676C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2405" w:type="pct"/>
                  <w:vAlign w:val="center"/>
                </w:tcPr>
                <w:p w14:paraId="62789499">
                  <w:pPr>
                    <w:keepNext w:val="0"/>
                    <w:keepLines w:val="0"/>
                    <w:pageBreakBefore w:val="0"/>
                    <w:widowControl/>
                    <w:kinsoku/>
                    <w:wordWrap/>
                    <w:overflowPunct/>
                    <w:topLinePunct w:val="0"/>
                    <w:autoSpaceDE/>
                    <w:autoSpaceDN/>
                    <w:bidi w:val="0"/>
                    <w:spacing w:line="320" w:lineRule="exact"/>
                    <w:ind w:firstLine="0" w:firstLineChars="0"/>
                    <w:jc w:val="left"/>
                    <w:textAlignment w:val="auto"/>
                    <w:rPr>
                      <w:color w:val="auto"/>
                      <w:kern w:val="0"/>
                      <w:sz w:val="21"/>
                      <w:szCs w:val="21"/>
                      <w:highlight w:val="none"/>
                      <w:lang w:bidi="ar"/>
                    </w:rPr>
                  </w:pPr>
                  <w:r>
                    <w:rPr>
                      <w:color w:val="auto"/>
                      <w:kern w:val="0"/>
                      <w:sz w:val="21"/>
                      <w:szCs w:val="21"/>
                      <w:highlight w:val="none"/>
                      <w:lang w:bidi="ar"/>
                    </w:rPr>
                    <w:t>调水水源区不得建设不符合国家产业政策的工业项目及高污染工业项目，包括污染严重的钢铁、有色冶金、基础化工、农药、电镀、造纸制浆、制革、印染、石棉制品、土硫磺、土磷肥和染料等企业和项目</w:t>
                  </w:r>
                  <w:r>
                    <w:rPr>
                      <w:rFonts w:hint="eastAsia"/>
                      <w:color w:val="auto"/>
                      <w:kern w:val="0"/>
                      <w:sz w:val="21"/>
                      <w:szCs w:val="21"/>
                      <w:highlight w:val="none"/>
                      <w:lang w:bidi="ar"/>
                    </w:rPr>
                    <w:t>。</w:t>
                  </w:r>
                </w:p>
              </w:tc>
              <w:tc>
                <w:tcPr>
                  <w:tcW w:w="2139" w:type="pct"/>
                  <w:vAlign w:val="center"/>
                </w:tcPr>
                <w:p w14:paraId="0BDAFA47">
                  <w:pPr>
                    <w:keepNext w:val="0"/>
                    <w:keepLines w:val="0"/>
                    <w:pageBreakBefore w:val="0"/>
                    <w:kinsoku/>
                    <w:wordWrap/>
                    <w:overflowPunct/>
                    <w:topLinePunct w:val="0"/>
                    <w:autoSpaceDE/>
                    <w:autoSpaceDN/>
                    <w:bidi w:val="0"/>
                    <w:spacing w:line="320" w:lineRule="exact"/>
                    <w:ind w:firstLine="0" w:firstLineChars="0"/>
                    <w:textAlignment w:val="auto"/>
                    <w:rPr>
                      <w:color w:val="auto"/>
                      <w:sz w:val="21"/>
                      <w:szCs w:val="21"/>
                      <w:highlight w:val="none"/>
                    </w:rPr>
                  </w:pPr>
                  <w:r>
                    <w:rPr>
                      <w:rFonts w:hint="eastAsia"/>
                      <w:color w:val="auto"/>
                      <w:sz w:val="21"/>
                      <w:szCs w:val="21"/>
                      <w:highlight w:val="none"/>
                    </w:rPr>
                    <w:t>本项目位于牛栏江调水水源区，牛栏江位于拟建项目东侧2km。</w:t>
                  </w:r>
                  <w:r>
                    <w:rPr>
                      <w:color w:val="auto"/>
                      <w:sz w:val="21"/>
                      <w:szCs w:val="21"/>
                      <w:highlight w:val="none"/>
                    </w:rPr>
                    <w:t>项目的建设符合国家现行产业政策。</w:t>
                  </w:r>
                  <w:r>
                    <w:rPr>
                      <w:rFonts w:hint="eastAsia"/>
                      <w:color w:val="auto"/>
                      <w:sz w:val="21"/>
                      <w:szCs w:val="21"/>
                      <w:highlight w:val="none"/>
                    </w:rPr>
                    <w:t>项目不属于规划中提及的高污染工业项目。</w:t>
                  </w:r>
                </w:p>
              </w:tc>
              <w:tc>
                <w:tcPr>
                  <w:tcW w:w="454" w:type="pct"/>
                  <w:vAlign w:val="center"/>
                </w:tcPr>
                <w:p w14:paraId="6AC01EDA">
                  <w:pPr>
                    <w:keepNext w:val="0"/>
                    <w:keepLines w:val="0"/>
                    <w:pageBreakBefore w:val="0"/>
                    <w:kinsoku/>
                    <w:wordWrap/>
                    <w:overflowPunct/>
                    <w:topLinePunct w:val="0"/>
                    <w:autoSpaceDE/>
                    <w:autoSpaceDN/>
                    <w:bidi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符合</w:t>
                  </w:r>
                </w:p>
              </w:tc>
            </w:tr>
            <w:tr w14:paraId="52B3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2405" w:type="pct"/>
                  <w:vAlign w:val="center"/>
                </w:tcPr>
                <w:p w14:paraId="486C663F">
                  <w:pPr>
                    <w:keepNext w:val="0"/>
                    <w:keepLines w:val="0"/>
                    <w:pageBreakBefore w:val="0"/>
                    <w:kinsoku/>
                    <w:wordWrap/>
                    <w:overflowPunct/>
                    <w:topLinePunct w:val="0"/>
                    <w:autoSpaceDE/>
                    <w:autoSpaceDN/>
                    <w:bidi w:val="0"/>
                    <w:spacing w:line="320" w:lineRule="exact"/>
                    <w:ind w:firstLine="0" w:firstLineChars="0"/>
                    <w:textAlignment w:val="auto"/>
                    <w:rPr>
                      <w:color w:val="auto"/>
                      <w:sz w:val="21"/>
                      <w:szCs w:val="21"/>
                      <w:highlight w:val="none"/>
                    </w:rPr>
                  </w:pPr>
                  <w:r>
                    <w:rPr>
                      <w:rFonts w:hint="eastAsia"/>
                      <w:color w:val="auto"/>
                      <w:sz w:val="21"/>
                      <w:szCs w:val="21"/>
                      <w:highlight w:val="none"/>
                    </w:rPr>
                    <w:t xml:space="preserve">新建工业项目必须进入工业园区或废水实现零排放，改扩建项目不得新增COD、TN、TP排放量；新建、改建、扩建工业项目应采用先进的生产工艺和污染防治技术，其清洁生产水平应达到国家清洁生产标准中的国内先进水平。 </w:t>
                  </w:r>
                </w:p>
              </w:tc>
              <w:tc>
                <w:tcPr>
                  <w:tcW w:w="2139" w:type="pct"/>
                  <w:vAlign w:val="center"/>
                </w:tcPr>
                <w:p w14:paraId="019B65C4">
                  <w:pPr>
                    <w:keepNext w:val="0"/>
                    <w:keepLines w:val="0"/>
                    <w:pageBreakBefore w:val="0"/>
                    <w:kinsoku/>
                    <w:wordWrap/>
                    <w:overflowPunct/>
                    <w:topLinePunct w:val="0"/>
                    <w:autoSpaceDE/>
                    <w:autoSpaceDN/>
                    <w:bidi w:val="0"/>
                    <w:spacing w:line="320" w:lineRule="exact"/>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rPr>
                    <w:t>本项目不在工业园区内。改扩建</w:t>
                  </w:r>
                  <w:r>
                    <w:rPr>
                      <w:rFonts w:hint="eastAsia"/>
                      <w:color w:val="auto"/>
                      <w:sz w:val="21"/>
                      <w:szCs w:val="21"/>
                      <w:highlight w:val="none"/>
                      <w:lang w:val="en-US" w:eastAsia="zh-CN"/>
                    </w:rPr>
                    <w:t>完成</w:t>
                  </w:r>
                  <w:r>
                    <w:rPr>
                      <w:rFonts w:hint="eastAsia"/>
                      <w:color w:val="auto"/>
                      <w:sz w:val="21"/>
                      <w:szCs w:val="21"/>
                      <w:highlight w:val="none"/>
                    </w:rPr>
                    <w:t>后</w:t>
                  </w:r>
                  <w:r>
                    <w:rPr>
                      <w:rFonts w:hint="eastAsia"/>
                      <w:color w:val="auto"/>
                      <w:sz w:val="21"/>
                      <w:szCs w:val="21"/>
                      <w:highlight w:val="none"/>
                      <w:lang w:val="en-US" w:eastAsia="zh-CN"/>
                    </w:rPr>
                    <w:t>产生的废</w:t>
                  </w:r>
                  <w:r>
                    <w:rPr>
                      <w:rFonts w:hint="eastAsia"/>
                      <w:color w:val="auto"/>
                      <w:sz w:val="21"/>
                      <w:szCs w:val="21"/>
                      <w:highlight w:val="none"/>
                    </w:rPr>
                    <w:t>污水依托现有生产废水处理系统处理后，排入寻甸县污水处理厂</w:t>
                  </w:r>
                  <w:r>
                    <w:rPr>
                      <w:rFonts w:hint="eastAsia"/>
                      <w:color w:val="auto"/>
                      <w:sz w:val="21"/>
                      <w:szCs w:val="21"/>
                      <w:highlight w:val="none"/>
                      <w:lang w:val="en-US" w:eastAsia="zh-CN"/>
                    </w:rPr>
                    <w:t>进一步处理</w:t>
                  </w:r>
                  <w:r>
                    <w:rPr>
                      <w:rFonts w:hint="eastAsia"/>
                      <w:color w:val="auto"/>
                      <w:sz w:val="21"/>
                      <w:szCs w:val="21"/>
                      <w:highlight w:val="none"/>
                    </w:rPr>
                    <w:t>。</w:t>
                  </w:r>
                  <w:r>
                    <w:rPr>
                      <w:rFonts w:hint="eastAsia"/>
                      <w:color w:val="auto"/>
                      <w:sz w:val="21"/>
                      <w:szCs w:val="21"/>
                      <w:highlight w:val="none"/>
                      <w:lang w:val="en-US" w:eastAsia="zh-CN"/>
                    </w:rPr>
                    <w:t>且本项目液体复合微生物肥使用现有项目产生的尾菜废水作为原料，减少了现有项目尾菜废水的产生量，经计算本项目</w:t>
                  </w:r>
                  <w:r>
                    <w:rPr>
                      <w:rFonts w:hint="eastAsia"/>
                      <w:color w:val="auto"/>
                      <w:sz w:val="21"/>
                      <w:szCs w:val="21"/>
                      <w:highlight w:val="none"/>
                    </w:rPr>
                    <w:t>改扩建后项目COD减少量为</w:t>
                  </w:r>
                  <w:r>
                    <w:rPr>
                      <w:rFonts w:hint="eastAsia"/>
                      <w:color w:val="auto"/>
                      <w:sz w:val="21"/>
                      <w:szCs w:val="21"/>
                      <w:highlight w:val="none"/>
                      <w:lang w:val="en-US" w:eastAsia="zh-CN"/>
                    </w:rPr>
                    <w:t>1.596</w:t>
                  </w:r>
                  <w:r>
                    <w:rPr>
                      <w:rFonts w:hint="eastAsia"/>
                      <w:color w:val="auto"/>
                      <w:sz w:val="21"/>
                      <w:szCs w:val="21"/>
                      <w:highlight w:val="none"/>
                    </w:rPr>
                    <w:t>t/a，TN减少量为0.</w:t>
                  </w:r>
                  <w:r>
                    <w:rPr>
                      <w:rFonts w:hint="eastAsia"/>
                      <w:color w:val="auto"/>
                      <w:sz w:val="21"/>
                      <w:szCs w:val="21"/>
                      <w:highlight w:val="none"/>
                      <w:lang w:val="en-US" w:eastAsia="zh-CN"/>
                    </w:rPr>
                    <w:t>117</w:t>
                  </w:r>
                  <w:r>
                    <w:rPr>
                      <w:rFonts w:hint="eastAsia"/>
                      <w:color w:val="auto"/>
                      <w:sz w:val="21"/>
                      <w:szCs w:val="21"/>
                      <w:highlight w:val="none"/>
                    </w:rPr>
                    <w:t>t/a，TP减少量为0.</w:t>
                  </w:r>
                  <w:r>
                    <w:rPr>
                      <w:rFonts w:hint="eastAsia"/>
                      <w:color w:val="auto"/>
                      <w:sz w:val="21"/>
                      <w:szCs w:val="21"/>
                      <w:highlight w:val="none"/>
                      <w:lang w:val="en-US" w:eastAsia="zh-CN"/>
                    </w:rPr>
                    <w:t>036</w:t>
                  </w:r>
                  <w:r>
                    <w:rPr>
                      <w:rFonts w:hint="eastAsia"/>
                      <w:color w:val="auto"/>
                      <w:sz w:val="21"/>
                      <w:szCs w:val="21"/>
                      <w:highlight w:val="none"/>
                    </w:rPr>
                    <w:t>t/a；</w:t>
                  </w:r>
                  <w:r>
                    <w:rPr>
                      <w:rFonts w:hint="eastAsia"/>
                      <w:color w:val="auto"/>
                      <w:sz w:val="21"/>
                      <w:szCs w:val="21"/>
                      <w:highlight w:val="none"/>
                      <w:lang w:val="en-US" w:eastAsia="zh-CN"/>
                    </w:rPr>
                    <w:t>未新增COD、TN、TP排放量。</w:t>
                  </w:r>
                </w:p>
                <w:p w14:paraId="419BD2BD">
                  <w:pPr>
                    <w:keepNext w:val="0"/>
                    <w:keepLines w:val="0"/>
                    <w:pageBreakBefore w:val="0"/>
                    <w:kinsoku/>
                    <w:wordWrap/>
                    <w:overflowPunct/>
                    <w:topLinePunct w:val="0"/>
                    <w:autoSpaceDE/>
                    <w:autoSpaceDN/>
                    <w:bidi w:val="0"/>
                    <w:spacing w:line="320" w:lineRule="exact"/>
                    <w:ind w:firstLine="0" w:firstLineChars="0"/>
                    <w:textAlignment w:val="auto"/>
                    <w:rPr>
                      <w:color w:val="auto"/>
                      <w:sz w:val="21"/>
                      <w:szCs w:val="21"/>
                      <w:highlight w:val="none"/>
                    </w:rPr>
                  </w:pPr>
                  <w:r>
                    <w:rPr>
                      <w:rFonts w:hint="eastAsia"/>
                      <w:color w:val="auto"/>
                      <w:sz w:val="21"/>
                      <w:szCs w:val="21"/>
                      <w:highlight w:val="none"/>
                    </w:rPr>
                    <w:t>本项目为复合微生物肥料制造，</w:t>
                  </w:r>
                  <w:r>
                    <w:rPr>
                      <w:rFonts w:hint="eastAsia"/>
                      <w:color w:val="auto"/>
                      <w:sz w:val="21"/>
                      <w:szCs w:val="21"/>
                      <w:highlight w:val="none"/>
                      <w:lang w:val="en-US" w:eastAsia="zh-CN"/>
                    </w:rPr>
                    <w:t>生产工艺</w:t>
                  </w:r>
                  <w:r>
                    <w:rPr>
                      <w:rFonts w:hint="eastAsia"/>
                      <w:color w:val="auto"/>
                      <w:sz w:val="21"/>
                      <w:szCs w:val="21"/>
                      <w:highlight w:val="none"/>
                    </w:rPr>
                    <w:t>为发酵、搅拌</w:t>
                  </w:r>
                  <w:r>
                    <w:rPr>
                      <w:rFonts w:hint="eastAsia"/>
                      <w:color w:val="auto"/>
                      <w:sz w:val="21"/>
                      <w:szCs w:val="21"/>
                      <w:highlight w:val="none"/>
                      <w:lang w:eastAsia="zh-CN"/>
                    </w:rPr>
                    <w:t>，</w:t>
                  </w:r>
                  <w:r>
                    <w:rPr>
                      <w:rFonts w:hint="eastAsia"/>
                      <w:color w:val="auto"/>
                      <w:sz w:val="21"/>
                      <w:szCs w:val="21"/>
                      <w:highlight w:val="none"/>
                      <w:lang w:val="en-US" w:eastAsia="zh-CN"/>
                    </w:rPr>
                    <w:t>生产工艺对照（‌GB/T 41729-2022）《复合型微生物肥料生产质量控制技术规程》‌（工艺控制核心）与（‌NY/T 798-2015）《复合微生物肥料》‌（产品指标底线），其属于先进生产工艺</w:t>
                  </w:r>
                  <w:r>
                    <w:rPr>
                      <w:rFonts w:hint="eastAsia"/>
                      <w:color w:val="auto"/>
                      <w:sz w:val="21"/>
                      <w:szCs w:val="21"/>
                      <w:highlight w:val="none"/>
                      <w:lang w:eastAsia="zh-CN"/>
                    </w:rPr>
                    <w:t>，</w:t>
                  </w:r>
                  <w:r>
                    <w:rPr>
                      <w:rFonts w:hint="eastAsia"/>
                      <w:color w:val="auto"/>
                      <w:sz w:val="21"/>
                      <w:szCs w:val="21"/>
                      <w:highlight w:val="none"/>
                      <w:lang w:val="en-US" w:eastAsia="zh-CN"/>
                    </w:rPr>
                    <w:t>采取的防治技术属于国内较为成熟和可行的防治技术；现国内暂无复合微生物肥生产的国家清洁生产标准，类比国内复合微生物肥生产企业，</w:t>
                  </w:r>
                  <w:r>
                    <w:rPr>
                      <w:rFonts w:hint="eastAsia"/>
                      <w:color w:val="auto"/>
                      <w:sz w:val="21"/>
                      <w:szCs w:val="21"/>
                      <w:highlight w:val="none"/>
                    </w:rPr>
                    <w:t>项目清洁生产达到国内先进。</w:t>
                  </w:r>
                </w:p>
              </w:tc>
              <w:tc>
                <w:tcPr>
                  <w:tcW w:w="454" w:type="pct"/>
                  <w:vAlign w:val="center"/>
                </w:tcPr>
                <w:p w14:paraId="11F081E5">
                  <w:pPr>
                    <w:keepNext w:val="0"/>
                    <w:keepLines w:val="0"/>
                    <w:pageBreakBefore w:val="0"/>
                    <w:kinsoku/>
                    <w:wordWrap/>
                    <w:overflowPunct/>
                    <w:topLinePunct w:val="0"/>
                    <w:autoSpaceDE/>
                    <w:autoSpaceDN/>
                    <w:bidi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符合</w:t>
                  </w:r>
                </w:p>
              </w:tc>
            </w:tr>
            <w:tr w14:paraId="0DD81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2405" w:type="pct"/>
                  <w:vAlign w:val="center"/>
                </w:tcPr>
                <w:p w14:paraId="5824C2F7">
                  <w:pPr>
                    <w:keepNext w:val="0"/>
                    <w:keepLines w:val="0"/>
                    <w:pageBreakBefore w:val="0"/>
                    <w:widowControl/>
                    <w:kinsoku/>
                    <w:wordWrap/>
                    <w:overflowPunct/>
                    <w:topLinePunct w:val="0"/>
                    <w:autoSpaceDE/>
                    <w:autoSpaceDN/>
                    <w:bidi w:val="0"/>
                    <w:spacing w:line="320" w:lineRule="exact"/>
                    <w:ind w:firstLine="0" w:firstLineChars="0"/>
                    <w:jc w:val="left"/>
                    <w:textAlignment w:val="auto"/>
                    <w:rPr>
                      <w:color w:val="auto"/>
                      <w:sz w:val="21"/>
                      <w:szCs w:val="21"/>
                      <w:highlight w:val="none"/>
                    </w:rPr>
                  </w:pPr>
                  <w:r>
                    <w:rPr>
                      <w:color w:val="auto"/>
                      <w:kern w:val="0"/>
                      <w:sz w:val="21"/>
                      <w:szCs w:val="21"/>
                      <w:highlight w:val="none"/>
                      <w:lang w:bidi="ar"/>
                    </w:rPr>
                    <w:t xml:space="preserve">严格工业固体废弃物管理，实现固体废弃物安全处置。调水水源区内所有排放固体废弃物的企业，按国家有关固体废弃物安全处置的要求，对现有固体废弃物堆场进行安全处置。 </w:t>
                  </w:r>
                </w:p>
              </w:tc>
              <w:tc>
                <w:tcPr>
                  <w:tcW w:w="2139" w:type="pct"/>
                  <w:vAlign w:val="center"/>
                </w:tcPr>
                <w:p w14:paraId="15587432">
                  <w:pPr>
                    <w:keepNext w:val="0"/>
                    <w:keepLines w:val="0"/>
                    <w:pageBreakBefore w:val="0"/>
                    <w:tabs>
                      <w:tab w:val="left" w:pos="3360"/>
                    </w:tabs>
                    <w:kinsoku/>
                    <w:wordWrap/>
                    <w:overflowPunct/>
                    <w:topLinePunct w:val="0"/>
                    <w:autoSpaceDE/>
                    <w:autoSpaceDN/>
                    <w:bidi w:val="0"/>
                    <w:spacing w:line="320" w:lineRule="exact"/>
                    <w:ind w:firstLine="0" w:firstLineChars="0"/>
                    <w:textAlignment w:val="auto"/>
                    <w:rPr>
                      <w:color w:val="auto"/>
                      <w:sz w:val="21"/>
                      <w:szCs w:val="21"/>
                      <w:highlight w:val="none"/>
                    </w:rPr>
                  </w:pPr>
                  <w:r>
                    <w:rPr>
                      <w:rFonts w:hint="eastAsia"/>
                      <w:color w:val="auto"/>
                      <w:sz w:val="21"/>
                      <w:szCs w:val="21"/>
                      <w:highlight w:val="none"/>
                    </w:rPr>
                    <w:t>本</w:t>
                  </w:r>
                  <w:r>
                    <w:rPr>
                      <w:color w:val="auto"/>
                      <w:sz w:val="21"/>
                      <w:szCs w:val="21"/>
                      <w:highlight w:val="none"/>
                    </w:rPr>
                    <w:t>项目产生的固废100%</w:t>
                  </w:r>
                  <w:r>
                    <w:rPr>
                      <w:rFonts w:hint="eastAsia"/>
                      <w:color w:val="auto"/>
                      <w:sz w:val="21"/>
                      <w:szCs w:val="21"/>
                      <w:highlight w:val="none"/>
                      <w:lang w:val="en-US" w:eastAsia="zh-CN"/>
                    </w:rPr>
                    <w:t>合理</w:t>
                  </w:r>
                  <w:r>
                    <w:rPr>
                      <w:color w:val="auto"/>
                      <w:sz w:val="21"/>
                      <w:szCs w:val="21"/>
                      <w:highlight w:val="none"/>
                    </w:rPr>
                    <w:t>处置</w:t>
                  </w:r>
                  <w:r>
                    <w:rPr>
                      <w:rFonts w:hint="eastAsia"/>
                      <w:color w:val="auto"/>
                      <w:sz w:val="21"/>
                      <w:szCs w:val="21"/>
                      <w:highlight w:val="none"/>
                    </w:rPr>
                    <w:t>，</w:t>
                  </w:r>
                  <w:r>
                    <w:rPr>
                      <w:color w:val="auto"/>
                      <w:kern w:val="0"/>
                      <w:sz w:val="21"/>
                      <w:szCs w:val="21"/>
                      <w:highlight w:val="none"/>
                      <w:lang w:bidi="ar"/>
                    </w:rPr>
                    <w:t>实现固体废弃物安全处置。</w:t>
                  </w:r>
                </w:p>
              </w:tc>
              <w:tc>
                <w:tcPr>
                  <w:tcW w:w="454" w:type="pct"/>
                  <w:vAlign w:val="center"/>
                </w:tcPr>
                <w:p w14:paraId="7D6E5C4E">
                  <w:pPr>
                    <w:keepNext w:val="0"/>
                    <w:keepLines w:val="0"/>
                    <w:pageBreakBefore w:val="0"/>
                    <w:tabs>
                      <w:tab w:val="left" w:pos="3360"/>
                    </w:tabs>
                    <w:kinsoku/>
                    <w:wordWrap/>
                    <w:overflowPunct/>
                    <w:topLinePunct w:val="0"/>
                    <w:autoSpaceDE/>
                    <w:autoSpaceDN/>
                    <w:bidi w:val="0"/>
                    <w:adjustRightInd w:val="0"/>
                    <w:snapToGrid w:val="0"/>
                    <w:spacing w:line="320" w:lineRule="exact"/>
                    <w:ind w:firstLine="0" w:firstLineChars="0"/>
                    <w:jc w:val="center"/>
                    <w:textAlignment w:val="auto"/>
                    <w:rPr>
                      <w:color w:val="auto"/>
                      <w:sz w:val="21"/>
                      <w:szCs w:val="21"/>
                      <w:highlight w:val="none"/>
                    </w:rPr>
                  </w:pPr>
                  <w:r>
                    <w:rPr>
                      <w:color w:val="auto"/>
                      <w:sz w:val="21"/>
                      <w:szCs w:val="21"/>
                      <w:highlight w:val="none"/>
                    </w:rPr>
                    <w:t>符合</w:t>
                  </w:r>
                </w:p>
              </w:tc>
            </w:tr>
            <w:tr w14:paraId="0BB7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2405" w:type="pct"/>
                  <w:vAlign w:val="center"/>
                </w:tcPr>
                <w:p w14:paraId="3686AEFC">
                  <w:pPr>
                    <w:keepNext w:val="0"/>
                    <w:keepLines w:val="0"/>
                    <w:pageBreakBefore w:val="0"/>
                    <w:widowControl/>
                    <w:kinsoku/>
                    <w:wordWrap/>
                    <w:overflowPunct/>
                    <w:topLinePunct w:val="0"/>
                    <w:autoSpaceDE/>
                    <w:autoSpaceDN/>
                    <w:bidi w:val="0"/>
                    <w:spacing w:line="320" w:lineRule="exact"/>
                    <w:ind w:firstLine="0" w:firstLineChars="0"/>
                    <w:jc w:val="left"/>
                    <w:textAlignment w:val="auto"/>
                    <w:rPr>
                      <w:color w:val="auto"/>
                      <w:sz w:val="21"/>
                      <w:szCs w:val="21"/>
                      <w:highlight w:val="none"/>
                    </w:rPr>
                  </w:pPr>
                  <w:r>
                    <w:rPr>
                      <w:color w:val="auto"/>
                      <w:kern w:val="0"/>
                      <w:sz w:val="21"/>
                      <w:szCs w:val="21"/>
                      <w:highlight w:val="none"/>
                      <w:lang w:bidi="ar"/>
                    </w:rPr>
                    <w:t xml:space="preserve">企业实现“雨污分流”，污水处理厂出水水质达到园区污水处理厂的进水水质要求，园区污水处理厂的出水水质必须达到再生水处理系统的进水水质，再生水处理系统出水水质必须达到回用水水质。 </w:t>
                  </w:r>
                </w:p>
              </w:tc>
              <w:tc>
                <w:tcPr>
                  <w:tcW w:w="2139" w:type="pct"/>
                  <w:vAlign w:val="center"/>
                </w:tcPr>
                <w:p w14:paraId="67F3C9B8">
                  <w:pPr>
                    <w:keepNext w:val="0"/>
                    <w:keepLines w:val="0"/>
                    <w:pageBreakBefore w:val="0"/>
                    <w:kinsoku/>
                    <w:wordWrap/>
                    <w:overflowPunct/>
                    <w:topLinePunct w:val="0"/>
                    <w:autoSpaceDE/>
                    <w:autoSpaceDN/>
                    <w:bidi w:val="0"/>
                    <w:spacing w:line="320" w:lineRule="exact"/>
                    <w:ind w:firstLine="0" w:firstLineChars="0"/>
                    <w:textAlignment w:val="auto"/>
                    <w:rPr>
                      <w:color w:val="auto"/>
                      <w:sz w:val="21"/>
                      <w:szCs w:val="21"/>
                      <w:highlight w:val="none"/>
                    </w:rPr>
                  </w:pPr>
                  <w:r>
                    <w:rPr>
                      <w:rFonts w:hint="eastAsia"/>
                      <w:color w:val="auto"/>
                      <w:sz w:val="21"/>
                      <w:szCs w:val="21"/>
                      <w:highlight w:val="none"/>
                    </w:rPr>
                    <w:t>本</w:t>
                  </w:r>
                  <w:r>
                    <w:rPr>
                      <w:color w:val="auto"/>
                      <w:sz w:val="21"/>
                      <w:szCs w:val="21"/>
                      <w:highlight w:val="none"/>
                    </w:rPr>
                    <w:t>项目</w:t>
                  </w:r>
                  <w:r>
                    <w:rPr>
                      <w:rFonts w:hint="eastAsia"/>
                      <w:color w:val="auto"/>
                      <w:sz w:val="21"/>
                      <w:szCs w:val="21"/>
                      <w:highlight w:val="none"/>
                    </w:rPr>
                    <w:t>采取</w:t>
                  </w:r>
                  <w:r>
                    <w:rPr>
                      <w:color w:val="auto"/>
                      <w:kern w:val="0"/>
                      <w:sz w:val="21"/>
                      <w:szCs w:val="21"/>
                      <w:highlight w:val="none"/>
                      <w:lang w:bidi="ar"/>
                    </w:rPr>
                    <w:t>“雨污分流”</w:t>
                  </w:r>
                  <w:r>
                    <w:rPr>
                      <w:rFonts w:hint="eastAsia"/>
                      <w:color w:val="auto"/>
                      <w:kern w:val="0"/>
                      <w:sz w:val="21"/>
                      <w:szCs w:val="21"/>
                      <w:highlight w:val="none"/>
                      <w:lang w:bidi="ar"/>
                    </w:rPr>
                    <w:t>制</w:t>
                  </w:r>
                  <w:r>
                    <w:rPr>
                      <w:color w:val="auto"/>
                      <w:kern w:val="0"/>
                      <w:sz w:val="21"/>
                      <w:szCs w:val="21"/>
                      <w:highlight w:val="none"/>
                      <w:lang w:bidi="ar"/>
                    </w:rPr>
                    <w:t>，</w:t>
                  </w:r>
                  <w:r>
                    <w:rPr>
                      <w:color w:val="auto"/>
                      <w:sz w:val="21"/>
                      <w:szCs w:val="21"/>
                      <w:highlight w:val="none"/>
                    </w:rPr>
                    <w:t>生活污水</w:t>
                  </w:r>
                  <w:r>
                    <w:rPr>
                      <w:rFonts w:hint="eastAsia"/>
                      <w:color w:val="auto"/>
                      <w:sz w:val="21"/>
                      <w:szCs w:val="21"/>
                      <w:highlight w:val="none"/>
                    </w:rPr>
                    <w:t>依托</w:t>
                  </w:r>
                  <w:r>
                    <w:rPr>
                      <w:color w:val="auto"/>
                      <w:sz w:val="21"/>
                      <w:szCs w:val="21"/>
                      <w:highlight w:val="none"/>
                    </w:rPr>
                    <w:t>化粪池处理，</w:t>
                  </w:r>
                  <w:r>
                    <w:rPr>
                      <w:rFonts w:hint="eastAsia"/>
                      <w:color w:val="auto"/>
                      <w:sz w:val="21"/>
                      <w:szCs w:val="21"/>
                      <w:highlight w:val="none"/>
                    </w:rPr>
                    <w:t>生产废水依托生产废水处理系统处理后，达到《污水综合排放标准》（GB 8978-1996）中三级标准，</w:t>
                  </w:r>
                  <w:r>
                    <w:rPr>
                      <w:rFonts w:hint="eastAsia"/>
                      <w:color w:val="auto"/>
                      <w:sz w:val="21"/>
                      <w:szCs w:val="21"/>
                      <w:highlight w:val="none"/>
                      <w:lang w:val="en-US" w:eastAsia="zh-CN"/>
                    </w:rPr>
                    <w:t>进入</w:t>
                  </w:r>
                  <w:r>
                    <w:rPr>
                      <w:color w:val="auto"/>
                      <w:sz w:val="21"/>
                      <w:szCs w:val="21"/>
                      <w:highlight w:val="none"/>
                    </w:rPr>
                    <w:t>寻甸县污水处理厂</w:t>
                  </w:r>
                  <w:r>
                    <w:rPr>
                      <w:rFonts w:hint="eastAsia"/>
                      <w:color w:val="auto"/>
                      <w:sz w:val="21"/>
                      <w:szCs w:val="21"/>
                      <w:highlight w:val="none"/>
                    </w:rPr>
                    <w:t>处理</w:t>
                  </w:r>
                  <w:r>
                    <w:rPr>
                      <w:color w:val="auto"/>
                      <w:sz w:val="21"/>
                      <w:szCs w:val="21"/>
                      <w:highlight w:val="none"/>
                    </w:rPr>
                    <w:t>。</w:t>
                  </w:r>
                </w:p>
              </w:tc>
              <w:tc>
                <w:tcPr>
                  <w:tcW w:w="454" w:type="pct"/>
                  <w:vAlign w:val="center"/>
                </w:tcPr>
                <w:p w14:paraId="0E8E7F53">
                  <w:pPr>
                    <w:keepNext w:val="0"/>
                    <w:keepLines w:val="0"/>
                    <w:pageBreakBefore w:val="0"/>
                    <w:kinsoku/>
                    <w:wordWrap/>
                    <w:overflowPunct/>
                    <w:topLinePunct w:val="0"/>
                    <w:autoSpaceDE/>
                    <w:autoSpaceDN/>
                    <w:bidi w:val="0"/>
                    <w:spacing w:line="320" w:lineRule="exact"/>
                    <w:ind w:firstLine="0" w:firstLineChars="0"/>
                    <w:jc w:val="center"/>
                    <w:textAlignment w:val="auto"/>
                    <w:rPr>
                      <w:color w:val="auto"/>
                      <w:sz w:val="21"/>
                      <w:szCs w:val="21"/>
                      <w:highlight w:val="none"/>
                      <w:lang w:eastAsia="en-US"/>
                    </w:rPr>
                  </w:pPr>
                  <w:r>
                    <w:rPr>
                      <w:color w:val="auto"/>
                      <w:sz w:val="21"/>
                      <w:szCs w:val="21"/>
                      <w:highlight w:val="none"/>
                      <w:lang w:eastAsia="en-US"/>
                    </w:rPr>
                    <w:t>符合</w:t>
                  </w:r>
                </w:p>
              </w:tc>
            </w:tr>
            <w:tr w14:paraId="58C5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2405" w:type="pct"/>
                  <w:vAlign w:val="center"/>
                </w:tcPr>
                <w:p w14:paraId="103A4A61">
                  <w:pPr>
                    <w:keepNext w:val="0"/>
                    <w:keepLines w:val="0"/>
                    <w:pageBreakBefore w:val="0"/>
                    <w:widowControl/>
                    <w:kinsoku/>
                    <w:wordWrap/>
                    <w:overflowPunct/>
                    <w:topLinePunct w:val="0"/>
                    <w:autoSpaceDE/>
                    <w:autoSpaceDN/>
                    <w:bidi w:val="0"/>
                    <w:spacing w:line="320" w:lineRule="exact"/>
                    <w:ind w:firstLine="0" w:firstLineChars="0"/>
                    <w:jc w:val="left"/>
                    <w:textAlignment w:val="auto"/>
                    <w:rPr>
                      <w:color w:val="auto"/>
                      <w:sz w:val="21"/>
                      <w:szCs w:val="21"/>
                      <w:highlight w:val="none"/>
                    </w:rPr>
                  </w:pPr>
                  <w:r>
                    <w:rPr>
                      <w:color w:val="auto"/>
                      <w:kern w:val="0"/>
                      <w:sz w:val="21"/>
                      <w:szCs w:val="21"/>
                      <w:highlight w:val="none"/>
                      <w:lang w:bidi="ar"/>
                    </w:rPr>
                    <w:t>加强企业执法监督力度，增加对产污企业的执法监督频次，对污水处理设施运行、应急处理设施等重点环节要严把监督关，杜绝偷排漏排现象。对有偷排漏排等行为的企业，加大处罚力度，直至停产、关闭。对造成环境危害的单位要依法追究责任，依法进行环境损害赔偿。</w:t>
                  </w:r>
                </w:p>
              </w:tc>
              <w:tc>
                <w:tcPr>
                  <w:tcW w:w="2139" w:type="pct"/>
                  <w:vAlign w:val="center"/>
                </w:tcPr>
                <w:p w14:paraId="274430EC">
                  <w:pPr>
                    <w:keepNext w:val="0"/>
                    <w:keepLines w:val="0"/>
                    <w:pageBreakBefore w:val="0"/>
                    <w:kinsoku/>
                    <w:wordWrap/>
                    <w:overflowPunct/>
                    <w:topLinePunct w:val="0"/>
                    <w:autoSpaceDE/>
                    <w:autoSpaceDN/>
                    <w:bidi w:val="0"/>
                    <w:spacing w:line="320" w:lineRule="exact"/>
                    <w:ind w:firstLine="0" w:firstLineChars="0"/>
                    <w:textAlignment w:val="auto"/>
                    <w:rPr>
                      <w:color w:val="auto"/>
                      <w:sz w:val="21"/>
                      <w:szCs w:val="21"/>
                      <w:highlight w:val="none"/>
                    </w:rPr>
                  </w:pPr>
                  <w:r>
                    <w:rPr>
                      <w:rFonts w:hint="eastAsia"/>
                      <w:color w:val="auto"/>
                      <w:sz w:val="21"/>
                      <w:szCs w:val="21"/>
                      <w:highlight w:val="none"/>
                    </w:rPr>
                    <w:t xml:space="preserve">本次评价已制定自行监测方案，确保水质达标，确保大气污染物达标排放。 </w:t>
                  </w:r>
                </w:p>
                <w:p w14:paraId="7E15A4B9">
                  <w:pPr>
                    <w:keepNext w:val="0"/>
                    <w:keepLines w:val="0"/>
                    <w:pageBreakBefore w:val="0"/>
                    <w:kinsoku/>
                    <w:wordWrap/>
                    <w:overflowPunct/>
                    <w:topLinePunct w:val="0"/>
                    <w:autoSpaceDE/>
                    <w:autoSpaceDN/>
                    <w:bidi w:val="0"/>
                    <w:spacing w:line="320" w:lineRule="exact"/>
                    <w:ind w:firstLine="0" w:firstLineChars="0"/>
                    <w:textAlignment w:val="auto"/>
                    <w:rPr>
                      <w:color w:val="auto"/>
                      <w:sz w:val="21"/>
                      <w:szCs w:val="21"/>
                      <w:highlight w:val="none"/>
                    </w:rPr>
                  </w:pPr>
                  <w:r>
                    <w:rPr>
                      <w:rFonts w:hint="eastAsia"/>
                      <w:color w:val="auto"/>
                      <w:sz w:val="21"/>
                      <w:szCs w:val="21"/>
                      <w:highlight w:val="none"/>
                    </w:rPr>
                    <w:t>本项目所产生的固体废弃物均得到妥善处置，无排放。</w:t>
                  </w:r>
                </w:p>
              </w:tc>
              <w:tc>
                <w:tcPr>
                  <w:tcW w:w="454" w:type="pct"/>
                  <w:vAlign w:val="center"/>
                </w:tcPr>
                <w:p w14:paraId="1F5D48FE">
                  <w:pPr>
                    <w:keepNext w:val="0"/>
                    <w:keepLines w:val="0"/>
                    <w:pageBreakBefore w:val="0"/>
                    <w:kinsoku/>
                    <w:wordWrap/>
                    <w:overflowPunct/>
                    <w:topLinePunct w:val="0"/>
                    <w:autoSpaceDE/>
                    <w:autoSpaceDN/>
                    <w:bidi w:val="0"/>
                    <w:spacing w:line="320" w:lineRule="exact"/>
                    <w:ind w:firstLine="0" w:firstLineChars="0"/>
                    <w:jc w:val="center"/>
                    <w:textAlignment w:val="auto"/>
                    <w:rPr>
                      <w:color w:val="auto"/>
                      <w:sz w:val="21"/>
                      <w:szCs w:val="21"/>
                      <w:highlight w:val="none"/>
                    </w:rPr>
                  </w:pPr>
                  <w:r>
                    <w:rPr>
                      <w:color w:val="auto"/>
                      <w:sz w:val="21"/>
                      <w:szCs w:val="21"/>
                      <w:highlight w:val="none"/>
                    </w:rPr>
                    <w:t>符合</w:t>
                  </w:r>
                </w:p>
              </w:tc>
            </w:tr>
          </w:tbl>
          <w:p w14:paraId="3C5971C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eastAsiaTheme="minorEastAsia"/>
                <w:b/>
                <w:bCs/>
                <w:color w:val="auto"/>
                <w:sz w:val="24"/>
                <w:szCs w:val="24"/>
                <w:highlight w:val="none"/>
                <w:lang w:eastAsia="zh-CN"/>
              </w:rPr>
            </w:pPr>
            <w:r>
              <w:rPr>
                <w:rFonts w:hint="default" w:ascii="Times New Roman" w:hAnsi="Times New Roman" w:cs="Times New Roman" w:eastAsiaTheme="minorEastAsia"/>
                <w:color w:val="auto"/>
                <w:kern w:val="0"/>
                <w:sz w:val="24"/>
                <w:szCs w:val="24"/>
                <w:highlight w:val="none"/>
                <w:lang w:bidi="ar"/>
              </w:rPr>
              <w:t>综上所述</w:t>
            </w:r>
            <w:r>
              <w:rPr>
                <w:rFonts w:hint="default" w:ascii="Times New Roman" w:hAnsi="Times New Roman" w:cs="Times New Roman" w:eastAsiaTheme="minorEastAsia"/>
                <w:color w:val="auto"/>
                <w:sz w:val="24"/>
                <w:szCs w:val="24"/>
                <w:highlight w:val="none"/>
              </w:rPr>
              <w:t>，项目符合《牛栏江流域（云南部分）水环境保护规划（2009-2030年）》相关要求。</w:t>
            </w:r>
          </w:p>
          <w:p w14:paraId="4E6E4AB0">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8、与《牛栏江流域（云南部分）水环境保护规划（2009-2030年）》实施情况中期评估报告相符性分析</w:t>
            </w:r>
          </w:p>
          <w:p w14:paraId="77E88BC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2020年2月17日，云南省生态环境厅和云南省水利厅联合下发了关于牛栏江流域（云南部分）水环境保护规划（2009-2030年）》实施情况中期评估报告的函（云环函【2020】75号）。</w:t>
            </w:r>
          </w:p>
          <w:p w14:paraId="78341DA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项目选址位于</w:t>
            </w:r>
            <w:r>
              <w:rPr>
                <w:rFonts w:hint="default" w:ascii="Times New Roman" w:hAnsi="Times New Roman" w:cs="Times New Roman" w:eastAsiaTheme="minorEastAsia"/>
                <w:color w:val="auto"/>
                <w:kern w:val="18"/>
                <w:sz w:val="24"/>
                <w:szCs w:val="24"/>
                <w:highlight w:val="none"/>
              </w:rPr>
              <w:t>仁德街道道院社区大法古村</w:t>
            </w:r>
            <w:r>
              <w:rPr>
                <w:rFonts w:hint="default" w:ascii="Times New Roman" w:hAnsi="Times New Roman" w:cs="Times New Roman" w:eastAsiaTheme="minorEastAsia"/>
                <w:color w:val="auto"/>
                <w:sz w:val="24"/>
                <w:szCs w:val="24"/>
                <w:highlight w:val="none"/>
              </w:rPr>
              <w:t>，属于牛栏江德泽水库以上水环境重点保护区（调水水源区），根据牛栏江流域调水水源区水环境保护分区情况，项目位于牛栏江西面约2km处，位于重点污染控制区（I2区）。项目与《牛栏江流域（云南部分）水环境保护规划（2009-2030年）》实施情况中期评估报告的符合性分析见表1-</w:t>
            </w:r>
            <w:r>
              <w:rPr>
                <w:rFonts w:hint="eastAsia" w:cs="Times New Roman" w:eastAsiaTheme="minorEastAsia"/>
                <w:color w:val="auto"/>
                <w:sz w:val="24"/>
                <w:szCs w:val="24"/>
                <w:highlight w:val="none"/>
                <w:lang w:val="en-US" w:eastAsia="zh-CN"/>
              </w:rPr>
              <w:t>7</w:t>
            </w:r>
            <w:r>
              <w:rPr>
                <w:rFonts w:hint="default" w:ascii="Times New Roman" w:hAnsi="Times New Roman" w:cs="Times New Roman" w:eastAsiaTheme="minorEastAsia"/>
                <w:color w:val="auto"/>
                <w:sz w:val="24"/>
                <w:szCs w:val="24"/>
                <w:highlight w:val="none"/>
              </w:rPr>
              <w:t>。</w:t>
            </w:r>
          </w:p>
          <w:p w14:paraId="02624FBC">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b/>
                <w:color w:val="auto"/>
                <w:sz w:val="21"/>
                <w:szCs w:val="21"/>
                <w:highlight w:val="none"/>
              </w:rPr>
            </w:pPr>
            <w:r>
              <w:rPr>
                <w:b/>
                <w:color w:val="auto"/>
                <w:sz w:val="21"/>
                <w:szCs w:val="21"/>
                <w:highlight w:val="none"/>
              </w:rPr>
              <w:t>表</w:t>
            </w:r>
            <w:r>
              <w:rPr>
                <w:rFonts w:hint="eastAsia"/>
                <w:b/>
                <w:color w:val="auto"/>
                <w:sz w:val="21"/>
                <w:szCs w:val="21"/>
                <w:highlight w:val="none"/>
              </w:rPr>
              <w:t>1-</w:t>
            </w:r>
            <w:r>
              <w:rPr>
                <w:rFonts w:hint="eastAsia"/>
                <w:b/>
                <w:color w:val="auto"/>
                <w:sz w:val="21"/>
                <w:szCs w:val="21"/>
                <w:highlight w:val="none"/>
                <w:lang w:val="en-US" w:eastAsia="zh-CN"/>
              </w:rPr>
              <w:t>7</w:t>
            </w:r>
            <w:r>
              <w:rPr>
                <w:b/>
                <w:color w:val="auto"/>
                <w:sz w:val="21"/>
                <w:szCs w:val="21"/>
                <w:highlight w:val="none"/>
              </w:rPr>
              <w:t xml:space="preserve"> </w:t>
            </w:r>
            <w:r>
              <w:rPr>
                <w:rFonts w:hint="eastAsia"/>
                <w:b/>
                <w:color w:val="auto"/>
                <w:sz w:val="21"/>
                <w:szCs w:val="21"/>
                <w:highlight w:val="none"/>
              </w:rPr>
              <w:t>项目与《牛栏江流域（云南部分）水环境保护规划（</w:t>
            </w:r>
            <w:r>
              <w:rPr>
                <w:b/>
                <w:color w:val="auto"/>
                <w:sz w:val="21"/>
                <w:szCs w:val="21"/>
                <w:highlight w:val="none"/>
              </w:rPr>
              <w:t xml:space="preserve">2009-2030 </w:t>
            </w:r>
            <w:r>
              <w:rPr>
                <w:rFonts w:hint="eastAsia"/>
                <w:b/>
                <w:color w:val="auto"/>
                <w:sz w:val="21"/>
                <w:szCs w:val="21"/>
                <w:highlight w:val="none"/>
              </w:rPr>
              <w:t>年）》</w:t>
            </w:r>
          </w:p>
          <w:p w14:paraId="10999E77">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b/>
                <w:color w:val="auto"/>
                <w:sz w:val="21"/>
                <w:szCs w:val="21"/>
                <w:highlight w:val="none"/>
              </w:rPr>
            </w:pPr>
            <w:r>
              <w:rPr>
                <w:rFonts w:hint="eastAsia"/>
                <w:b/>
                <w:color w:val="auto"/>
                <w:sz w:val="21"/>
                <w:szCs w:val="21"/>
                <w:highlight w:val="none"/>
              </w:rPr>
              <w:t>实施情况中期评估报告符合性分析情况表</w:t>
            </w:r>
          </w:p>
          <w:tbl>
            <w:tblPr>
              <w:tblStyle w:val="26"/>
              <w:tblW w:w="77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6"/>
              <w:gridCol w:w="2580"/>
              <w:gridCol w:w="744"/>
            </w:tblGrid>
            <w:tr w14:paraId="0BF7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41" w:type="pct"/>
                  <w:vAlign w:val="center"/>
                </w:tcPr>
                <w:p w14:paraId="7060F36D">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b/>
                      <w:bCs/>
                      <w:color w:val="auto"/>
                      <w:sz w:val="21"/>
                      <w:szCs w:val="21"/>
                      <w:highlight w:val="none"/>
                    </w:rPr>
                  </w:pPr>
                  <w:r>
                    <w:rPr>
                      <w:rFonts w:hint="eastAsia"/>
                      <w:b/>
                      <w:bCs/>
                      <w:color w:val="auto"/>
                      <w:kern w:val="0"/>
                      <w:sz w:val="21"/>
                      <w:szCs w:val="21"/>
                      <w:highlight w:val="none"/>
                      <w:lang w:bidi="ar"/>
                    </w:rPr>
                    <w:t>相关要求</w:t>
                  </w:r>
                </w:p>
              </w:tc>
              <w:tc>
                <w:tcPr>
                  <w:tcW w:w="1675" w:type="pct"/>
                  <w:vAlign w:val="center"/>
                </w:tcPr>
                <w:p w14:paraId="52679648">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b/>
                      <w:bCs/>
                      <w:color w:val="auto"/>
                      <w:sz w:val="21"/>
                      <w:szCs w:val="21"/>
                      <w:highlight w:val="none"/>
                    </w:rPr>
                  </w:pPr>
                  <w:r>
                    <w:rPr>
                      <w:b/>
                      <w:bCs/>
                      <w:color w:val="auto"/>
                      <w:sz w:val="21"/>
                      <w:szCs w:val="21"/>
                      <w:highlight w:val="none"/>
                    </w:rPr>
                    <w:t>项目情况</w:t>
                  </w:r>
                </w:p>
              </w:tc>
              <w:tc>
                <w:tcPr>
                  <w:tcW w:w="483" w:type="pct"/>
                  <w:vAlign w:val="center"/>
                </w:tcPr>
                <w:p w14:paraId="6AFD2165">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b/>
                      <w:bCs/>
                      <w:color w:val="auto"/>
                      <w:sz w:val="21"/>
                      <w:szCs w:val="21"/>
                      <w:highlight w:val="none"/>
                    </w:rPr>
                  </w:pPr>
                  <w:r>
                    <w:rPr>
                      <w:b/>
                      <w:bCs/>
                      <w:color w:val="auto"/>
                      <w:sz w:val="21"/>
                      <w:szCs w:val="21"/>
                      <w:highlight w:val="none"/>
                    </w:rPr>
                    <w:t>符合性</w:t>
                  </w:r>
                </w:p>
              </w:tc>
            </w:tr>
            <w:tr w14:paraId="6C64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41" w:type="pct"/>
                  <w:vAlign w:val="center"/>
                </w:tcPr>
                <w:p w14:paraId="1EBB321E">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b/>
                      <w:bCs/>
                      <w:color w:val="auto"/>
                      <w:sz w:val="21"/>
                      <w:szCs w:val="21"/>
                      <w:highlight w:val="none"/>
                    </w:rPr>
                  </w:pPr>
                  <w:r>
                    <w:rPr>
                      <w:color w:val="auto"/>
                      <w:kern w:val="0"/>
                      <w:sz w:val="21"/>
                      <w:szCs w:val="21"/>
                      <w:highlight w:val="none"/>
                      <w:lang w:bidi="ar"/>
                    </w:rPr>
                    <w:t>进一步加强农业和生活污染源治理。</w:t>
                  </w:r>
                </w:p>
              </w:tc>
              <w:tc>
                <w:tcPr>
                  <w:tcW w:w="1675" w:type="pct"/>
                  <w:vAlign w:val="center"/>
                </w:tcPr>
                <w:p w14:paraId="0E7E5BB4">
                  <w:pPr>
                    <w:keepNext w:val="0"/>
                    <w:keepLines w:val="0"/>
                    <w:pageBreakBefore w:val="0"/>
                    <w:kinsoku/>
                    <w:wordWrap/>
                    <w:overflowPunct/>
                    <w:topLinePunct w:val="0"/>
                    <w:autoSpaceDE/>
                    <w:autoSpaceDN/>
                    <w:bidi w:val="0"/>
                    <w:adjustRightInd/>
                    <w:snapToGrid/>
                    <w:spacing w:line="320" w:lineRule="exact"/>
                    <w:ind w:firstLine="0" w:firstLineChars="0"/>
                    <w:textAlignment w:val="auto"/>
                    <w:rPr>
                      <w:b/>
                      <w:bCs/>
                      <w:color w:val="auto"/>
                      <w:sz w:val="21"/>
                      <w:szCs w:val="21"/>
                      <w:highlight w:val="none"/>
                    </w:rPr>
                  </w:pPr>
                  <w:r>
                    <w:rPr>
                      <w:rFonts w:hint="eastAsia"/>
                      <w:color w:val="auto"/>
                      <w:sz w:val="21"/>
                      <w:szCs w:val="21"/>
                      <w:highlight w:val="none"/>
                    </w:rPr>
                    <w:t>本</w:t>
                  </w:r>
                  <w:r>
                    <w:rPr>
                      <w:color w:val="auto"/>
                      <w:sz w:val="21"/>
                      <w:szCs w:val="21"/>
                      <w:highlight w:val="none"/>
                    </w:rPr>
                    <w:t>项目</w:t>
                  </w:r>
                  <w:r>
                    <w:rPr>
                      <w:rFonts w:hint="eastAsia"/>
                      <w:color w:val="auto"/>
                      <w:sz w:val="21"/>
                      <w:szCs w:val="21"/>
                      <w:highlight w:val="none"/>
                      <w:lang w:val="en-US" w:eastAsia="zh-CN"/>
                    </w:rPr>
                    <w:t>废污水</w:t>
                  </w:r>
                  <w:r>
                    <w:rPr>
                      <w:rFonts w:hint="eastAsia"/>
                      <w:color w:val="auto"/>
                      <w:sz w:val="21"/>
                      <w:szCs w:val="21"/>
                      <w:highlight w:val="none"/>
                    </w:rPr>
                    <w:t>依托现有废水处理系统处理后，排入寻甸县污水处理厂</w:t>
                  </w:r>
                  <w:r>
                    <w:rPr>
                      <w:rFonts w:hint="eastAsia"/>
                      <w:color w:val="auto"/>
                      <w:sz w:val="21"/>
                      <w:szCs w:val="21"/>
                      <w:highlight w:val="none"/>
                      <w:lang w:val="en-US" w:eastAsia="zh-CN"/>
                    </w:rPr>
                    <w:t>处理</w:t>
                  </w:r>
                  <w:r>
                    <w:rPr>
                      <w:rFonts w:hint="eastAsia"/>
                      <w:color w:val="auto"/>
                      <w:sz w:val="21"/>
                      <w:szCs w:val="21"/>
                      <w:highlight w:val="none"/>
                    </w:rPr>
                    <w:t>。</w:t>
                  </w:r>
                </w:p>
              </w:tc>
              <w:tc>
                <w:tcPr>
                  <w:tcW w:w="483" w:type="pct"/>
                  <w:vAlign w:val="center"/>
                </w:tcPr>
                <w:p w14:paraId="2090C1B7">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auto"/>
                      <w:sz w:val="21"/>
                      <w:szCs w:val="21"/>
                      <w:highlight w:val="none"/>
                    </w:rPr>
                  </w:pPr>
                  <w:r>
                    <w:rPr>
                      <w:rFonts w:hint="eastAsia"/>
                      <w:color w:val="auto"/>
                      <w:sz w:val="21"/>
                      <w:szCs w:val="21"/>
                      <w:highlight w:val="none"/>
                    </w:rPr>
                    <w:t>符合</w:t>
                  </w:r>
                </w:p>
              </w:tc>
            </w:tr>
            <w:tr w14:paraId="788E9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41" w:type="pct"/>
                  <w:vAlign w:val="center"/>
                </w:tcPr>
                <w:p w14:paraId="5C4137A6">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b/>
                      <w:bCs/>
                      <w:color w:val="auto"/>
                      <w:sz w:val="21"/>
                      <w:szCs w:val="21"/>
                      <w:highlight w:val="none"/>
                    </w:rPr>
                  </w:pPr>
                  <w:r>
                    <w:rPr>
                      <w:color w:val="auto"/>
                      <w:kern w:val="0"/>
                      <w:sz w:val="21"/>
                      <w:szCs w:val="21"/>
                      <w:highlight w:val="none"/>
                      <w:lang w:bidi="ar"/>
                    </w:rPr>
                    <w:t>进一步强化工业污染源管理。一是流域内建设项目严格按照</w:t>
                  </w:r>
                  <w:r>
                    <w:rPr>
                      <w:rFonts w:hint="default" w:ascii="Times New Roman" w:hAnsi="Times New Roman" w:cs="Times New Roman" w:eastAsiaTheme="minorEastAsia"/>
                      <w:color w:val="auto"/>
                      <w:sz w:val="21"/>
                      <w:szCs w:val="21"/>
                      <w:highlight w:val="none"/>
                    </w:rPr>
                    <w:t>《中华人民共和国</w:t>
                  </w:r>
                  <w:r>
                    <w:rPr>
                      <w:rFonts w:hint="eastAsia" w:cs="Times New Roman" w:eastAsiaTheme="minorEastAsia"/>
                      <w:color w:val="auto"/>
                      <w:sz w:val="21"/>
                      <w:szCs w:val="21"/>
                      <w:highlight w:val="none"/>
                      <w:lang w:val="en-US" w:eastAsia="zh-CN"/>
                    </w:rPr>
                    <w:t>水污染防治法</w:t>
                  </w:r>
                  <w:r>
                    <w:rPr>
                      <w:rFonts w:hint="default" w:ascii="Times New Roman" w:hAnsi="Times New Roman" w:cs="Times New Roman" w:eastAsiaTheme="minorEastAsia"/>
                      <w:color w:val="auto"/>
                      <w:sz w:val="21"/>
                      <w:szCs w:val="21"/>
                      <w:highlight w:val="none"/>
                    </w:rPr>
                    <w:t>》</w:t>
                  </w:r>
                  <w:r>
                    <w:rPr>
                      <w:color w:val="auto"/>
                      <w:kern w:val="0"/>
                      <w:sz w:val="21"/>
                      <w:szCs w:val="21"/>
                      <w:highlight w:val="none"/>
                      <w:lang w:bidi="ar"/>
                    </w:rPr>
                    <w:t>、</w:t>
                  </w:r>
                  <w:r>
                    <w:rPr>
                      <w:rFonts w:hint="eastAsia"/>
                      <w:color w:val="auto"/>
                      <w:kern w:val="0"/>
                      <w:sz w:val="21"/>
                      <w:szCs w:val="21"/>
                      <w:highlight w:val="none"/>
                      <w:lang w:eastAsia="zh-CN" w:bidi="ar"/>
                    </w:rPr>
                    <w:t>《</w:t>
                  </w:r>
                  <w:r>
                    <w:rPr>
                      <w:rFonts w:hint="eastAsia"/>
                      <w:color w:val="auto"/>
                      <w:kern w:val="0"/>
                      <w:sz w:val="21"/>
                      <w:szCs w:val="21"/>
                      <w:highlight w:val="none"/>
                      <w:lang w:val="en-US" w:eastAsia="zh-CN" w:bidi="ar"/>
                    </w:rPr>
                    <w:t>中华人民共和国环境影响评价法</w:t>
                  </w:r>
                  <w:r>
                    <w:rPr>
                      <w:rFonts w:hint="eastAsia"/>
                      <w:color w:val="auto"/>
                      <w:kern w:val="0"/>
                      <w:sz w:val="21"/>
                      <w:szCs w:val="21"/>
                      <w:highlight w:val="none"/>
                      <w:lang w:eastAsia="zh-CN" w:bidi="ar"/>
                    </w:rPr>
                    <w:t>》、</w:t>
                  </w:r>
                  <w:r>
                    <w:rPr>
                      <w:color w:val="auto"/>
                      <w:kern w:val="0"/>
                      <w:sz w:val="21"/>
                      <w:szCs w:val="21"/>
                      <w:highlight w:val="none"/>
                      <w:lang w:bidi="ar"/>
                    </w:rPr>
                    <w:t>《建设项目环境保护管理条例》《云南省牛栏江保护条例》及《水污染防治行动计划》的相关规定，按照高水平保护、高质量发展的要求，进一步提高环保治理水平，大幅度削减污染物排放。依据《水污染防治行动计划》，严格控制缺水地区、水污染严重地区和敏感区域高耗水、高污染行业发展新建、改建、扩建重点行业建设项目实行主要污染物排放减量置换。二是严格已建工业污染源管理。全面落实《水污染防治行动计划》和《云南省牛栏江保护条例》，加强造纸、焦化、氮肥、有色金属、印染、农副食品加工、原料药制造、制革、农药、电镀等重点行业专项整治，积极推动流域内符合国家产业政策的现有钢铁等企业转型升级，全面提升工艺装备水平，按照生态环境部、国家发展和改革委员会等五部委《关于推进实施钢铁行业超低排放的意见》(环大气[2019]35 号)的要求严格实施超低排放改造，牛栏江流域上游保护区内的工业园区应当建设污水集中和分散处理设施，工业污水处理达标后，在园区内综合回用，实现工业污水“零排放”。</w:t>
                  </w:r>
                </w:p>
              </w:tc>
              <w:tc>
                <w:tcPr>
                  <w:tcW w:w="1675" w:type="pct"/>
                  <w:vAlign w:val="center"/>
                </w:tcPr>
                <w:p w14:paraId="4D00C6D4">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auto"/>
                      <w:sz w:val="21"/>
                      <w:szCs w:val="21"/>
                      <w:highlight w:val="none"/>
                    </w:rPr>
                  </w:pPr>
                  <w:r>
                    <w:rPr>
                      <w:rFonts w:hint="eastAsia"/>
                      <w:color w:val="auto"/>
                      <w:sz w:val="21"/>
                      <w:szCs w:val="21"/>
                      <w:highlight w:val="none"/>
                    </w:rPr>
                    <w:t>本</w:t>
                  </w:r>
                  <w:r>
                    <w:rPr>
                      <w:color w:val="auto"/>
                      <w:sz w:val="21"/>
                      <w:szCs w:val="21"/>
                      <w:highlight w:val="none"/>
                    </w:rPr>
                    <w:t>项目</w:t>
                  </w:r>
                  <w:r>
                    <w:rPr>
                      <w:rFonts w:hint="eastAsia"/>
                      <w:color w:val="auto"/>
                      <w:sz w:val="21"/>
                      <w:szCs w:val="21"/>
                      <w:highlight w:val="none"/>
                      <w:lang w:val="en-US" w:eastAsia="zh-CN"/>
                    </w:rPr>
                    <w:t>废污</w:t>
                  </w:r>
                  <w:r>
                    <w:rPr>
                      <w:rFonts w:hint="eastAsia"/>
                      <w:color w:val="auto"/>
                      <w:sz w:val="21"/>
                      <w:szCs w:val="21"/>
                      <w:highlight w:val="none"/>
                    </w:rPr>
                    <w:t>水经现有生产废水处理系统处理后，排入寻甸县污水处理厂。</w:t>
                  </w:r>
                </w:p>
                <w:p w14:paraId="31D87F98">
                  <w:pPr>
                    <w:keepNext w:val="0"/>
                    <w:keepLines w:val="0"/>
                    <w:pageBreakBefore w:val="0"/>
                    <w:kinsoku/>
                    <w:wordWrap/>
                    <w:overflowPunct/>
                    <w:topLinePunct w:val="0"/>
                    <w:autoSpaceDE/>
                    <w:autoSpaceDN/>
                    <w:bidi w:val="0"/>
                    <w:adjustRightInd/>
                    <w:snapToGrid/>
                    <w:spacing w:line="320" w:lineRule="exact"/>
                    <w:ind w:firstLine="0" w:firstLineChars="0"/>
                    <w:textAlignment w:val="auto"/>
                    <w:rPr>
                      <w:b/>
                      <w:bCs/>
                      <w:color w:val="auto"/>
                      <w:sz w:val="21"/>
                      <w:szCs w:val="21"/>
                      <w:highlight w:val="none"/>
                    </w:rPr>
                  </w:pPr>
                  <w:r>
                    <w:rPr>
                      <w:rFonts w:hint="eastAsia"/>
                      <w:color w:val="auto"/>
                      <w:sz w:val="21"/>
                      <w:szCs w:val="21"/>
                      <w:highlight w:val="none"/>
                    </w:rPr>
                    <w:t>本项目为</w:t>
                  </w:r>
                  <w:r>
                    <w:rPr>
                      <w:rFonts w:hint="eastAsia"/>
                      <w:color w:val="auto"/>
                      <w:sz w:val="21"/>
                      <w:szCs w:val="21"/>
                      <w:highlight w:val="none"/>
                      <w:lang w:val="en-US" w:eastAsia="zh-CN"/>
                    </w:rPr>
                    <w:t>复合微生物</w:t>
                  </w:r>
                  <w:r>
                    <w:rPr>
                      <w:rFonts w:hint="eastAsia"/>
                      <w:color w:val="auto"/>
                      <w:sz w:val="21"/>
                      <w:szCs w:val="21"/>
                      <w:highlight w:val="none"/>
                    </w:rPr>
                    <w:t>肥料制造项目，不属于化工项目</w:t>
                  </w:r>
                  <w:r>
                    <w:rPr>
                      <w:rFonts w:hint="eastAsia"/>
                      <w:color w:val="auto"/>
                      <w:sz w:val="21"/>
                      <w:szCs w:val="21"/>
                      <w:highlight w:val="none"/>
                      <w:lang w:val="zh-CN"/>
                    </w:rPr>
                    <w:t>（</w:t>
                  </w:r>
                  <w:r>
                    <w:rPr>
                      <w:rFonts w:hint="eastAsia"/>
                      <w:color w:val="auto"/>
                      <w:sz w:val="21"/>
                      <w:szCs w:val="21"/>
                      <w:highlight w:val="none"/>
                    </w:rPr>
                    <w:t>非化工类型认定见</w:t>
                  </w:r>
                  <w:r>
                    <w:rPr>
                      <w:rFonts w:hint="eastAsia"/>
                      <w:color w:val="auto"/>
                      <w:sz w:val="21"/>
                      <w:szCs w:val="21"/>
                      <w:highlight w:val="none"/>
                      <w:lang w:val="zh-CN"/>
                    </w:rPr>
                    <w:t>附件1</w:t>
                  </w:r>
                  <w:r>
                    <w:rPr>
                      <w:rFonts w:hint="eastAsia"/>
                      <w:color w:val="auto"/>
                      <w:sz w:val="21"/>
                      <w:szCs w:val="21"/>
                      <w:highlight w:val="none"/>
                      <w:lang w:val="en-US" w:eastAsia="zh-CN"/>
                    </w:rPr>
                    <w:t>4</w:t>
                  </w:r>
                  <w:r>
                    <w:rPr>
                      <w:rFonts w:hint="eastAsia"/>
                      <w:color w:val="auto"/>
                      <w:sz w:val="21"/>
                      <w:szCs w:val="21"/>
                      <w:highlight w:val="none"/>
                      <w:lang w:val="zh-CN"/>
                    </w:rPr>
                    <w:t>工信局关于项目类型认定情况说明）</w:t>
                  </w:r>
                  <w:r>
                    <w:rPr>
                      <w:rFonts w:hint="eastAsia"/>
                      <w:color w:val="auto"/>
                      <w:sz w:val="21"/>
                      <w:szCs w:val="21"/>
                      <w:highlight w:val="none"/>
                    </w:rPr>
                    <w:t>，实现废弃物资源利用化，不属于重点工业污染源。不属于高耗水、高污染行业。不属于规划中的重点行业。</w:t>
                  </w:r>
                </w:p>
              </w:tc>
              <w:tc>
                <w:tcPr>
                  <w:tcW w:w="483" w:type="pct"/>
                  <w:vAlign w:val="center"/>
                </w:tcPr>
                <w:p w14:paraId="59A3B61F">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auto"/>
                      <w:sz w:val="21"/>
                      <w:szCs w:val="21"/>
                      <w:highlight w:val="none"/>
                    </w:rPr>
                  </w:pPr>
                  <w:r>
                    <w:rPr>
                      <w:rFonts w:hint="eastAsia"/>
                      <w:color w:val="auto"/>
                      <w:sz w:val="21"/>
                      <w:szCs w:val="21"/>
                      <w:highlight w:val="none"/>
                    </w:rPr>
                    <w:t>符合</w:t>
                  </w:r>
                </w:p>
              </w:tc>
            </w:tr>
            <w:tr w14:paraId="30C26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41" w:type="pct"/>
                  <w:vAlign w:val="center"/>
                </w:tcPr>
                <w:p w14:paraId="54CF7604">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b/>
                      <w:bCs/>
                      <w:color w:val="auto"/>
                      <w:sz w:val="21"/>
                      <w:szCs w:val="21"/>
                      <w:highlight w:val="none"/>
                    </w:rPr>
                  </w:pPr>
                  <w:r>
                    <w:rPr>
                      <w:color w:val="auto"/>
                      <w:kern w:val="0"/>
                      <w:sz w:val="21"/>
                      <w:szCs w:val="21"/>
                      <w:highlight w:val="none"/>
                      <w:lang w:bidi="ar"/>
                    </w:rPr>
                    <w:t>落实责任</w:t>
                  </w:r>
                </w:p>
              </w:tc>
              <w:tc>
                <w:tcPr>
                  <w:tcW w:w="1675" w:type="pct"/>
                  <w:vAlign w:val="center"/>
                </w:tcPr>
                <w:p w14:paraId="35EF55F0">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b/>
                      <w:bCs/>
                      <w:color w:val="auto"/>
                      <w:sz w:val="21"/>
                      <w:szCs w:val="21"/>
                      <w:highlight w:val="none"/>
                    </w:rPr>
                  </w:pPr>
                  <w:r>
                    <w:rPr>
                      <w:color w:val="auto"/>
                      <w:kern w:val="0"/>
                      <w:sz w:val="21"/>
                      <w:szCs w:val="21"/>
                      <w:highlight w:val="none"/>
                      <w:lang w:bidi="ar"/>
                    </w:rPr>
                    <w:t>项目设置安环人员，负责厂内环保工作</w:t>
                  </w:r>
                </w:p>
              </w:tc>
              <w:tc>
                <w:tcPr>
                  <w:tcW w:w="483" w:type="pct"/>
                  <w:vAlign w:val="center"/>
                </w:tcPr>
                <w:p w14:paraId="39C0B3E7">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b/>
                      <w:bCs/>
                      <w:color w:val="auto"/>
                      <w:sz w:val="21"/>
                      <w:szCs w:val="21"/>
                      <w:highlight w:val="none"/>
                    </w:rPr>
                  </w:pPr>
                  <w:r>
                    <w:rPr>
                      <w:color w:val="auto"/>
                      <w:sz w:val="21"/>
                      <w:szCs w:val="21"/>
                      <w:highlight w:val="none"/>
                    </w:rPr>
                    <w:t>符合</w:t>
                  </w:r>
                </w:p>
              </w:tc>
            </w:tr>
          </w:tbl>
          <w:p w14:paraId="2CA8D6A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szCs w:val="24"/>
                <w:highlight w:val="none"/>
              </w:rPr>
            </w:pPr>
            <w:r>
              <w:rPr>
                <w:rFonts w:hint="eastAsia" w:ascii="宋体" w:hAnsi="宋体" w:cs="宋体"/>
                <w:color w:val="auto"/>
                <w:kern w:val="0"/>
                <w:sz w:val="24"/>
                <w:szCs w:val="24"/>
                <w:highlight w:val="none"/>
                <w:lang w:bidi="ar"/>
              </w:rPr>
              <w:t>综上所述</w:t>
            </w:r>
            <w:r>
              <w:rPr>
                <w:rFonts w:hint="eastAsia"/>
                <w:color w:val="auto"/>
                <w:sz w:val="24"/>
                <w:szCs w:val="24"/>
                <w:highlight w:val="none"/>
              </w:rPr>
              <w:t>，项目符合《牛栏江流域（云南部分）水环境保护规划（</w:t>
            </w:r>
            <w:r>
              <w:rPr>
                <w:color w:val="auto"/>
                <w:sz w:val="24"/>
                <w:szCs w:val="24"/>
                <w:highlight w:val="none"/>
              </w:rPr>
              <w:t xml:space="preserve">2009- 2030 </w:t>
            </w:r>
            <w:r>
              <w:rPr>
                <w:rFonts w:hint="eastAsia"/>
                <w:color w:val="auto"/>
                <w:sz w:val="24"/>
                <w:szCs w:val="24"/>
                <w:highlight w:val="none"/>
              </w:rPr>
              <w:t xml:space="preserve">年）》实施情况中期评估报告中的措施建议的相关要求。 </w:t>
            </w:r>
          </w:p>
          <w:p w14:paraId="643F02CE">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9、项目与《牛栏江流域（寻甸段）水环境保护规划（2009-2030）》符合性分析</w:t>
            </w:r>
          </w:p>
          <w:p w14:paraId="39A33D5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牛栏江流域（寻甸段）水环境分区范围涉及规划区干流及主要支流（前进河、羊街河、马龙河、尹武河等）河流径流区。</w:t>
            </w:r>
          </w:p>
          <w:p w14:paraId="605B7FA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规划区分为3个保护区：水源保护核心区、重点污染控制区、重点水源涵养区，各分区范围节点如下：</w:t>
            </w:r>
          </w:p>
          <w:p w14:paraId="313C722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1）水源保护核心区范围为牛栏江流域（寻甸段）干流1000m范围。水源保护核心区分为禁止建设区、限制建设区两个区，禁止建设区范围指干流河面水域及沿岸外延200m的区域，限制建设区范围指干流沿岸外200m—1000m之间的区域。</w:t>
            </w:r>
          </w:p>
          <w:p w14:paraId="76F3DEC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（2）重点污染控制区</w:t>
            </w:r>
          </w:p>
          <w:p w14:paraId="04B6D41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重点污染控制区范围指水体保护核心区外，主要入江支流水域外延3000m的区域和流域范围内的坝区，若区域范围超过一级山脊，按一级山脊线划定。</w:t>
            </w:r>
          </w:p>
          <w:p w14:paraId="74F213D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（3）水源涵养区</w:t>
            </w:r>
          </w:p>
          <w:p w14:paraId="05F041D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重点水源涵养区范围指流域范围内除水源保护核心区、重点污染控制区以外的区域。</w:t>
            </w:r>
          </w:p>
          <w:p w14:paraId="6D1B0FC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项目选址位于</w:t>
            </w:r>
            <w:r>
              <w:rPr>
                <w:rFonts w:hint="default" w:ascii="Times New Roman" w:hAnsi="Times New Roman" w:cs="Times New Roman" w:eastAsiaTheme="minorEastAsia"/>
                <w:color w:val="auto"/>
                <w:kern w:val="18"/>
                <w:sz w:val="24"/>
                <w:szCs w:val="24"/>
                <w:highlight w:val="none"/>
              </w:rPr>
              <w:t>仁德街道道院社区大法古村</w:t>
            </w:r>
            <w:r>
              <w:rPr>
                <w:rFonts w:hint="default" w:ascii="Times New Roman" w:hAnsi="Times New Roman" w:cs="Times New Roman" w:eastAsiaTheme="minorEastAsia"/>
                <w:color w:val="auto"/>
                <w:sz w:val="24"/>
                <w:szCs w:val="24"/>
                <w:highlight w:val="none"/>
              </w:rPr>
              <w:t>，根据牛栏江流域调水水源区水环境保护分区情况，项目位于牛栏江西面约2km处，位于重点污染控制区。重新报批后项目与</w:t>
            </w:r>
            <w:bookmarkStart w:id="23" w:name="OLE_LINK2"/>
            <w:r>
              <w:rPr>
                <w:rFonts w:hint="default" w:ascii="Times New Roman" w:hAnsi="Times New Roman" w:cs="Times New Roman" w:eastAsiaTheme="minorEastAsia"/>
                <w:color w:val="auto"/>
                <w:sz w:val="24"/>
                <w:szCs w:val="24"/>
                <w:highlight w:val="none"/>
              </w:rPr>
              <w:t>《牛栏江流域（寻甸段）水环境保护规划（2009-2030年）》</w:t>
            </w:r>
            <w:bookmarkEnd w:id="23"/>
            <w:r>
              <w:rPr>
                <w:rFonts w:hint="default" w:ascii="Times New Roman" w:hAnsi="Times New Roman" w:cs="Times New Roman" w:eastAsiaTheme="minorEastAsia"/>
                <w:color w:val="auto"/>
                <w:sz w:val="24"/>
                <w:szCs w:val="24"/>
                <w:highlight w:val="none"/>
              </w:rPr>
              <w:t>规定的牛栏江流域重点污染控制区保护要求的符合性分析见表1-</w:t>
            </w:r>
            <w:r>
              <w:rPr>
                <w:rFonts w:hint="eastAsia" w:cs="Times New Roman" w:eastAsiaTheme="minorEastAsia"/>
                <w:color w:val="auto"/>
                <w:sz w:val="24"/>
                <w:szCs w:val="24"/>
                <w:highlight w:val="none"/>
                <w:lang w:val="en-US" w:eastAsia="zh-CN"/>
              </w:rPr>
              <w:t>8</w:t>
            </w:r>
            <w:r>
              <w:rPr>
                <w:rFonts w:hint="default" w:ascii="Times New Roman" w:hAnsi="Times New Roman" w:cs="Times New Roman" w:eastAsiaTheme="minorEastAsia"/>
                <w:color w:val="auto"/>
                <w:sz w:val="24"/>
                <w:szCs w:val="24"/>
                <w:highlight w:val="none"/>
              </w:rPr>
              <w:t>。</w:t>
            </w:r>
          </w:p>
          <w:p w14:paraId="047A2EA6">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b/>
                <w:color w:val="auto"/>
                <w:sz w:val="21"/>
                <w:szCs w:val="21"/>
                <w:highlight w:val="none"/>
              </w:rPr>
            </w:pPr>
            <w:r>
              <w:rPr>
                <w:b/>
                <w:color w:val="auto"/>
                <w:sz w:val="21"/>
                <w:szCs w:val="21"/>
                <w:highlight w:val="none"/>
              </w:rPr>
              <w:t>表</w:t>
            </w:r>
            <w:r>
              <w:rPr>
                <w:rFonts w:hint="eastAsia"/>
                <w:b/>
                <w:color w:val="auto"/>
                <w:sz w:val="21"/>
                <w:szCs w:val="21"/>
                <w:highlight w:val="none"/>
              </w:rPr>
              <w:t>1-</w:t>
            </w:r>
            <w:r>
              <w:rPr>
                <w:rFonts w:hint="eastAsia"/>
                <w:b/>
                <w:color w:val="auto"/>
                <w:sz w:val="21"/>
                <w:szCs w:val="21"/>
                <w:highlight w:val="none"/>
                <w:lang w:val="en-US" w:eastAsia="zh-CN"/>
              </w:rPr>
              <w:t>8</w:t>
            </w:r>
            <w:r>
              <w:rPr>
                <w:b/>
                <w:color w:val="auto"/>
                <w:sz w:val="21"/>
                <w:szCs w:val="21"/>
                <w:highlight w:val="none"/>
              </w:rPr>
              <w:t xml:space="preserve"> </w:t>
            </w:r>
            <w:r>
              <w:rPr>
                <w:rFonts w:hint="eastAsia"/>
                <w:b/>
                <w:color w:val="auto"/>
                <w:sz w:val="21"/>
                <w:szCs w:val="21"/>
                <w:highlight w:val="none"/>
                <w:lang w:val="en-US" w:eastAsia="zh-CN"/>
              </w:rPr>
              <w:t xml:space="preserve"> </w:t>
            </w:r>
            <w:r>
              <w:rPr>
                <w:rFonts w:hint="eastAsia"/>
                <w:b/>
                <w:color w:val="auto"/>
                <w:sz w:val="21"/>
                <w:szCs w:val="21"/>
                <w:highlight w:val="none"/>
              </w:rPr>
              <w:t>与《牛栏江流域（寻甸段）水环境保护规划（</w:t>
            </w:r>
            <w:r>
              <w:rPr>
                <w:b/>
                <w:color w:val="auto"/>
                <w:sz w:val="21"/>
                <w:szCs w:val="21"/>
                <w:highlight w:val="none"/>
              </w:rPr>
              <w:t>2009-2030</w:t>
            </w:r>
            <w:r>
              <w:rPr>
                <w:rFonts w:hint="eastAsia"/>
                <w:b/>
                <w:color w:val="auto"/>
                <w:sz w:val="21"/>
                <w:szCs w:val="21"/>
                <w:highlight w:val="none"/>
              </w:rPr>
              <w:t>年）》</w:t>
            </w:r>
          </w:p>
          <w:p w14:paraId="4238247F">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b/>
                <w:color w:val="auto"/>
                <w:sz w:val="21"/>
                <w:szCs w:val="21"/>
                <w:highlight w:val="none"/>
              </w:rPr>
            </w:pPr>
            <w:r>
              <w:rPr>
                <w:rFonts w:hint="eastAsia"/>
                <w:b/>
                <w:color w:val="auto"/>
                <w:sz w:val="21"/>
                <w:szCs w:val="21"/>
                <w:highlight w:val="none"/>
              </w:rPr>
              <w:t>重点污染控制区保护要求符合性分析情况表</w:t>
            </w:r>
          </w:p>
          <w:tbl>
            <w:tblPr>
              <w:tblStyle w:val="26"/>
              <w:tblW w:w="7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550"/>
              <w:gridCol w:w="3397"/>
              <w:gridCol w:w="732"/>
            </w:tblGrid>
            <w:tr w14:paraId="3CBD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550" w:type="dxa"/>
                  <w:vAlign w:val="center"/>
                </w:tcPr>
                <w:p w14:paraId="7EDCFDC4">
                  <w:pPr>
                    <w:pageBreakBefore w:val="0"/>
                    <w:kinsoku/>
                    <w:wordWrap/>
                    <w:overflowPunct/>
                    <w:topLinePunct w:val="0"/>
                    <w:autoSpaceDE/>
                    <w:autoSpaceDN/>
                    <w:bidi w:val="0"/>
                    <w:adjustRightInd/>
                    <w:snapToGrid/>
                    <w:spacing w:line="320" w:lineRule="exact"/>
                    <w:ind w:firstLine="0" w:firstLineChars="0"/>
                    <w:jc w:val="center"/>
                    <w:textAlignment w:val="auto"/>
                    <w:rPr>
                      <w:b/>
                      <w:color w:val="auto"/>
                      <w:sz w:val="21"/>
                      <w:szCs w:val="21"/>
                      <w:highlight w:val="none"/>
                      <w:lang w:eastAsia="en-US"/>
                    </w:rPr>
                  </w:pPr>
                  <w:r>
                    <w:rPr>
                      <w:rFonts w:hint="eastAsia"/>
                      <w:b/>
                      <w:color w:val="auto"/>
                      <w:sz w:val="21"/>
                      <w:szCs w:val="21"/>
                      <w:highlight w:val="none"/>
                    </w:rPr>
                    <w:t>保护</w:t>
                  </w:r>
                  <w:r>
                    <w:rPr>
                      <w:b/>
                      <w:color w:val="auto"/>
                      <w:sz w:val="21"/>
                      <w:szCs w:val="21"/>
                      <w:highlight w:val="none"/>
                      <w:lang w:eastAsia="en-US"/>
                    </w:rPr>
                    <w:t>要求</w:t>
                  </w:r>
                </w:p>
              </w:tc>
              <w:tc>
                <w:tcPr>
                  <w:tcW w:w="3397" w:type="dxa"/>
                  <w:vAlign w:val="center"/>
                </w:tcPr>
                <w:p w14:paraId="7F003C0A">
                  <w:pPr>
                    <w:pageBreakBefore w:val="0"/>
                    <w:kinsoku/>
                    <w:wordWrap/>
                    <w:overflowPunct/>
                    <w:topLinePunct w:val="0"/>
                    <w:autoSpaceDE/>
                    <w:autoSpaceDN/>
                    <w:bidi w:val="0"/>
                    <w:adjustRightInd/>
                    <w:snapToGrid/>
                    <w:spacing w:line="320" w:lineRule="exact"/>
                    <w:ind w:firstLine="0" w:firstLineChars="0"/>
                    <w:jc w:val="center"/>
                    <w:textAlignment w:val="auto"/>
                    <w:rPr>
                      <w:b/>
                      <w:color w:val="auto"/>
                      <w:sz w:val="21"/>
                      <w:szCs w:val="21"/>
                      <w:highlight w:val="none"/>
                      <w:lang w:eastAsia="en-US"/>
                    </w:rPr>
                  </w:pPr>
                  <w:r>
                    <w:rPr>
                      <w:b/>
                      <w:color w:val="auto"/>
                      <w:sz w:val="21"/>
                      <w:szCs w:val="21"/>
                      <w:highlight w:val="none"/>
                      <w:lang w:eastAsia="en-US"/>
                    </w:rPr>
                    <w:t>项目情况</w:t>
                  </w:r>
                </w:p>
              </w:tc>
              <w:tc>
                <w:tcPr>
                  <w:tcW w:w="732" w:type="dxa"/>
                  <w:vAlign w:val="center"/>
                </w:tcPr>
                <w:p w14:paraId="470C44F1">
                  <w:pPr>
                    <w:pageBreakBefore w:val="0"/>
                    <w:kinsoku/>
                    <w:wordWrap/>
                    <w:overflowPunct/>
                    <w:topLinePunct w:val="0"/>
                    <w:autoSpaceDE/>
                    <w:autoSpaceDN/>
                    <w:bidi w:val="0"/>
                    <w:adjustRightInd/>
                    <w:snapToGrid/>
                    <w:spacing w:line="320" w:lineRule="exact"/>
                    <w:ind w:firstLine="0" w:firstLineChars="0"/>
                    <w:jc w:val="center"/>
                    <w:textAlignment w:val="auto"/>
                    <w:rPr>
                      <w:b/>
                      <w:color w:val="auto"/>
                      <w:sz w:val="21"/>
                      <w:szCs w:val="21"/>
                      <w:highlight w:val="none"/>
                    </w:rPr>
                  </w:pPr>
                  <w:r>
                    <w:rPr>
                      <w:b/>
                      <w:color w:val="auto"/>
                      <w:sz w:val="21"/>
                      <w:szCs w:val="21"/>
                      <w:highlight w:val="none"/>
                      <w:lang w:eastAsia="en-US"/>
                    </w:rPr>
                    <w:t>符合</w:t>
                  </w:r>
                  <w:r>
                    <w:rPr>
                      <w:rFonts w:hint="eastAsia"/>
                      <w:b/>
                      <w:color w:val="auto"/>
                      <w:sz w:val="21"/>
                      <w:szCs w:val="21"/>
                      <w:highlight w:val="none"/>
                    </w:rPr>
                    <w:t>性</w:t>
                  </w:r>
                </w:p>
              </w:tc>
            </w:tr>
            <w:tr w14:paraId="4DD6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550" w:type="dxa"/>
                  <w:vAlign w:val="center"/>
                </w:tcPr>
                <w:p w14:paraId="53D7E7D3">
                  <w:pPr>
                    <w:pageBreakBefore w:val="0"/>
                    <w:widowControl/>
                    <w:kinsoku/>
                    <w:wordWrap/>
                    <w:overflowPunct/>
                    <w:topLinePunct w:val="0"/>
                    <w:autoSpaceDE/>
                    <w:autoSpaceDN/>
                    <w:bidi w:val="0"/>
                    <w:adjustRightInd/>
                    <w:snapToGrid/>
                    <w:spacing w:line="320" w:lineRule="exact"/>
                    <w:ind w:firstLine="0" w:firstLineChars="0"/>
                    <w:jc w:val="left"/>
                    <w:textAlignment w:val="auto"/>
                    <w:rPr>
                      <w:color w:val="auto"/>
                      <w:kern w:val="0"/>
                      <w:sz w:val="21"/>
                      <w:szCs w:val="21"/>
                      <w:highlight w:val="none"/>
                      <w:lang w:bidi="ar"/>
                    </w:rPr>
                  </w:pPr>
                  <w:r>
                    <w:rPr>
                      <w:rFonts w:hint="eastAsia"/>
                      <w:color w:val="auto"/>
                      <w:kern w:val="0"/>
                      <w:sz w:val="21"/>
                      <w:szCs w:val="21"/>
                      <w:highlight w:val="none"/>
                      <w:lang w:bidi="ar"/>
                    </w:rPr>
                    <w:t>1）重点工业污染源的监督与管理</w:t>
                  </w:r>
                </w:p>
                <w:p w14:paraId="1CE57E05">
                  <w:pPr>
                    <w:pageBreakBefore w:val="0"/>
                    <w:widowControl/>
                    <w:kinsoku/>
                    <w:wordWrap/>
                    <w:overflowPunct/>
                    <w:topLinePunct w:val="0"/>
                    <w:autoSpaceDE/>
                    <w:autoSpaceDN/>
                    <w:bidi w:val="0"/>
                    <w:adjustRightInd/>
                    <w:snapToGrid/>
                    <w:spacing w:line="320" w:lineRule="exact"/>
                    <w:ind w:firstLine="0" w:firstLineChars="0"/>
                    <w:jc w:val="left"/>
                    <w:textAlignment w:val="auto"/>
                    <w:rPr>
                      <w:color w:val="auto"/>
                      <w:sz w:val="21"/>
                      <w:szCs w:val="21"/>
                      <w:highlight w:val="none"/>
                    </w:rPr>
                  </w:pPr>
                  <w:r>
                    <w:rPr>
                      <w:rFonts w:hint="eastAsia"/>
                      <w:color w:val="auto"/>
                      <w:kern w:val="0"/>
                      <w:sz w:val="21"/>
                      <w:szCs w:val="21"/>
                      <w:highlight w:val="none"/>
                      <w:lang w:bidi="ar"/>
                    </w:rPr>
                    <w:t>加强对重点工业污染源的监督，确保牛栏江流域（寻甸段）内重点企业污水稳定达标排放并实现“零排放”，固体废物最大程度重复利用和安全处置，消防工业企业的环境安全隐患，确保环保设施的正常运行，杜绝工业企业偷排、漏排污染物的现象。</w:t>
                  </w:r>
                </w:p>
              </w:tc>
              <w:tc>
                <w:tcPr>
                  <w:tcW w:w="3397" w:type="dxa"/>
                  <w:vAlign w:val="center"/>
                </w:tcPr>
                <w:p w14:paraId="14C384D8">
                  <w:pPr>
                    <w:pageBreakBefore w:val="0"/>
                    <w:kinsoku/>
                    <w:wordWrap/>
                    <w:overflowPunct/>
                    <w:topLinePunct w:val="0"/>
                    <w:autoSpaceDE/>
                    <w:autoSpaceDN/>
                    <w:bidi w:val="0"/>
                    <w:adjustRightInd/>
                    <w:snapToGrid/>
                    <w:spacing w:line="320" w:lineRule="exact"/>
                    <w:ind w:firstLine="0" w:firstLineChars="0"/>
                    <w:textAlignment w:val="auto"/>
                    <w:rPr>
                      <w:color w:val="auto"/>
                      <w:sz w:val="21"/>
                      <w:szCs w:val="21"/>
                      <w:highlight w:val="none"/>
                    </w:rPr>
                  </w:pPr>
                  <w:r>
                    <w:rPr>
                      <w:rFonts w:hint="eastAsia"/>
                      <w:color w:val="auto"/>
                      <w:sz w:val="21"/>
                      <w:szCs w:val="21"/>
                      <w:highlight w:val="none"/>
                    </w:rPr>
                    <w:t>本项目不属于重点工业污染源。本项目</w:t>
                  </w:r>
                  <w:r>
                    <w:rPr>
                      <w:rFonts w:hint="eastAsia"/>
                      <w:color w:val="auto"/>
                      <w:sz w:val="21"/>
                      <w:szCs w:val="21"/>
                      <w:highlight w:val="none"/>
                      <w:lang w:val="en-US" w:eastAsia="zh-CN"/>
                    </w:rPr>
                    <w:t>产生的废污</w:t>
                  </w:r>
                  <w:r>
                    <w:rPr>
                      <w:rFonts w:hint="eastAsia"/>
                      <w:color w:val="auto"/>
                      <w:sz w:val="21"/>
                      <w:szCs w:val="21"/>
                      <w:highlight w:val="none"/>
                    </w:rPr>
                    <w:t>水依托现有废水处理系统处理后，排入寻甸县污水处理厂</w:t>
                  </w:r>
                  <w:r>
                    <w:rPr>
                      <w:rFonts w:hint="eastAsia"/>
                      <w:color w:val="auto"/>
                      <w:sz w:val="21"/>
                      <w:szCs w:val="21"/>
                      <w:highlight w:val="none"/>
                      <w:lang w:val="en-US" w:eastAsia="zh-CN"/>
                    </w:rPr>
                    <w:t>进一步处理，项目使用现有项目产生的尾菜废水作为液体复合微生物肥料的原料，从源头减少了现有废污水的产生量</w:t>
                  </w:r>
                  <w:r>
                    <w:rPr>
                      <w:rFonts w:hint="eastAsia"/>
                      <w:color w:val="auto"/>
                      <w:sz w:val="21"/>
                      <w:szCs w:val="21"/>
                      <w:highlight w:val="none"/>
                    </w:rPr>
                    <w:t>。项目所有固体废物</w:t>
                  </w:r>
                  <w:r>
                    <w:rPr>
                      <w:rFonts w:hint="eastAsia"/>
                      <w:color w:val="auto"/>
                      <w:sz w:val="21"/>
                      <w:szCs w:val="21"/>
                      <w:highlight w:val="none"/>
                      <w:lang w:val="en-US" w:eastAsia="zh-CN"/>
                    </w:rPr>
                    <w:t>均可得到100%合理处置</w:t>
                  </w:r>
                  <w:r>
                    <w:rPr>
                      <w:rFonts w:hint="eastAsia"/>
                      <w:i/>
                      <w:iCs/>
                      <w:color w:val="auto"/>
                      <w:sz w:val="21"/>
                      <w:szCs w:val="21"/>
                      <w:highlight w:val="none"/>
                    </w:rPr>
                    <w:t>。</w:t>
                  </w:r>
                </w:p>
              </w:tc>
              <w:tc>
                <w:tcPr>
                  <w:tcW w:w="732" w:type="dxa"/>
                  <w:vAlign w:val="center"/>
                </w:tcPr>
                <w:p w14:paraId="2BCC0B31">
                  <w:pPr>
                    <w:pageBreakBefore w:val="0"/>
                    <w:kinsoku/>
                    <w:wordWrap/>
                    <w:overflowPunct/>
                    <w:topLinePunct w:val="0"/>
                    <w:autoSpaceDE/>
                    <w:autoSpaceDN/>
                    <w:bidi w:val="0"/>
                    <w:adjustRightInd/>
                    <w:snapToGrid/>
                    <w:spacing w:line="320" w:lineRule="exact"/>
                    <w:ind w:firstLine="0" w:firstLineChars="0"/>
                    <w:jc w:val="center"/>
                    <w:textAlignment w:val="auto"/>
                    <w:rPr>
                      <w:color w:val="auto"/>
                      <w:sz w:val="21"/>
                      <w:szCs w:val="21"/>
                      <w:highlight w:val="none"/>
                    </w:rPr>
                  </w:pPr>
                  <w:r>
                    <w:rPr>
                      <w:rFonts w:hint="eastAsia"/>
                      <w:color w:val="auto"/>
                      <w:sz w:val="21"/>
                      <w:szCs w:val="21"/>
                      <w:highlight w:val="none"/>
                    </w:rPr>
                    <w:t>符合</w:t>
                  </w:r>
                </w:p>
              </w:tc>
            </w:tr>
            <w:tr w14:paraId="1B44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550" w:type="dxa"/>
                  <w:vAlign w:val="center"/>
                </w:tcPr>
                <w:p w14:paraId="2A37D63B">
                  <w:pPr>
                    <w:pageBreakBefore w:val="0"/>
                    <w:widowControl/>
                    <w:kinsoku/>
                    <w:wordWrap/>
                    <w:overflowPunct/>
                    <w:topLinePunct w:val="0"/>
                    <w:autoSpaceDE/>
                    <w:autoSpaceDN/>
                    <w:bidi w:val="0"/>
                    <w:adjustRightInd/>
                    <w:snapToGrid/>
                    <w:spacing w:line="320" w:lineRule="exact"/>
                    <w:ind w:firstLine="0" w:firstLineChars="0"/>
                    <w:jc w:val="left"/>
                    <w:textAlignment w:val="auto"/>
                    <w:rPr>
                      <w:color w:val="auto"/>
                      <w:kern w:val="0"/>
                      <w:sz w:val="21"/>
                      <w:szCs w:val="21"/>
                      <w:highlight w:val="none"/>
                      <w:lang w:bidi="ar"/>
                    </w:rPr>
                  </w:pPr>
                  <w:r>
                    <w:rPr>
                      <w:rFonts w:hint="eastAsia"/>
                      <w:color w:val="auto"/>
                      <w:kern w:val="0"/>
                      <w:sz w:val="21"/>
                      <w:szCs w:val="21"/>
                      <w:highlight w:val="none"/>
                      <w:lang w:bidi="ar"/>
                    </w:rPr>
                    <w:t>2）加强工业园区的监督与环境准入政策</w:t>
                  </w:r>
                </w:p>
                <w:p w14:paraId="3B225785">
                  <w:pPr>
                    <w:pageBreakBefore w:val="0"/>
                    <w:widowControl/>
                    <w:kinsoku/>
                    <w:wordWrap/>
                    <w:overflowPunct/>
                    <w:topLinePunct w:val="0"/>
                    <w:autoSpaceDE/>
                    <w:autoSpaceDN/>
                    <w:bidi w:val="0"/>
                    <w:adjustRightInd/>
                    <w:snapToGrid/>
                    <w:spacing w:line="320" w:lineRule="exact"/>
                    <w:ind w:firstLine="0" w:firstLineChars="0"/>
                    <w:jc w:val="left"/>
                    <w:textAlignment w:val="auto"/>
                    <w:rPr>
                      <w:color w:val="auto"/>
                      <w:kern w:val="0"/>
                      <w:sz w:val="21"/>
                      <w:szCs w:val="21"/>
                      <w:highlight w:val="none"/>
                      <w:lang w:bidi="ar"/>
                    </w:rPr>
                  </w:pPr>
                  <w:r>
                    <w:rPr>
                      <w:rFonts w:hint="eastAsia"/>
                      <w:color w:val="auto"/>
                      <w:kern w:val="0"/>
                      <w:sz w:val="21"/>
                      <w:szCs w:val="21"/>
                      <w:highlight w:val="none"/>
                      <w:lang w:bidi="ar"/>
                    </w:rPr>
                    <w:t>建设再生水回用系统、废水事故处理系统、固体废弃物处置设施、园区生态改造等工程体系，实现工业园区废水的循环利用，固体废物重复利用和安全处置。</w:t>
                  </w:r>
                </w:p>
                <w:p w14:paraId="2F846B19">
                  <w:pPr>
                    <w:pageBreakBefore w:val="0"/>
                    <w:widowControl/>
                    <w:kinsoku/>
                    <w:wordWrap/>
                    <w:overflowPunct/>
                    <w:topLinePunct w:val="0"/>
                    <w:autoSpaceDE/>
                    <w:autoSpaceDN/>
                    <w:bidi w:val="0"/>
                    <w:adjustRightInd/>
                    <w:snapToGrid/>
                    <w:spacing w:line="320" w:lineRule="exact"/>
                    <w:ind w:firstLine="0" w:firstLineChars="0"/>
                    <w:jc w:val="left"/>
                    <w:textAlignment w:val="auto"/>
                    <w:rPr>
                      <w:color w:val="auto"/>
                      <w:kern w:val="0"/>
                      <w:sz w:val="21"/>
                      <w:szCs w:val="21"/>
                      <w:highlight w:val="none"/>
                      <w:lang w:bidi="ar"/>
                    </w:rPr>
                  </w:pPr>
                  <w:r>
                    <w:rPr>
                      <w:rFonts w:hint="eastAsia"/>
                      <w:color w:val="auto"/>
                      <w:kern w:val="0"/>
                      <w:sz w:val="21"/>
                      <w:szCs w:val="21"/>
                      <w:highlight w:val="none"/>
                      <w:lang w:bidi="ar"/>
                    </w:rPr>
                    <w:t>严格环境准入政策，污染控制区内不得建设不符合国家产业政策的工业项目及高污染工业项目；新建工业项目废水不得排放有毒有害物质，改扩建项目不得新增COD、TN、TP排放量；新建、改建、扩建工业项目应采用先进的生产工艺和污染防治技术，其清洁生产水平达到国家清洁生产标准中的国内先进水平。</w:t>
                  </w:r>
                </w:p>
              </w:tc>
              <w:tc>
                <w:tcPr>
                  <w:tcW w:w="3397" w:type="dxa"/>
                  <w:vAlign w:val="center"/>
                </w:tcPr>
                <w:p w14:paraId="373F5800">
                  <w:pPr>
                    <w:pageBreakBefore w:val="0"/>
                    <w:kinsoku/>
                    <w:wordWrap/>
                    <w:overflowPunct/>
                    <w:topLinePunct w:val="0"/>
                    <w:autoSpaceDE/>
                    <w:autoSpaceDN/>
                    <w:bidi w:val="0"/>
                    <w:adjustRightInd/>
                    <w:snapToGrid/>
                    <w:spacing w:line="320" w:lineRule="exact"/>
                    <w:ind w:firstLine="0" w:firstLineChars="0"/>
                    <w:textAlignment w:val="auto"/>
                    <w:rPr>
                      <w:rFonts w:hint="eastAsia"/>
                      <w:color w:val="auto"/>
                      <w:sz w:val="21"/>
                      <w:szCs w:val="21"/>
                      <w:highlight w:val="none"/>
                    </w:rPr>
                  </w:pPr>
                  <w:r>
                    <w:rPr>
                      <w:rFonts w:hint="eastAsia"/>
                      <w:color w:val="auto"/>
                      <w:sz w:val="21"/>
                      <w:szCs w:val="21"/>
                      <w:highlight w:val="none"/>
                    </w:rPr>
                    <w:t>本项目不在工业园区内。本项目的废水、废气固废在执行本环评要求措施之后均能得到妥善处置，满足环境标准。本项目不属于不符合国家产业政策以及高污染的工业项目。</w:t>
                  </w:r>
                </w:p>
                <w:p w14:paraId="28CBA0E0">
                  <w:pPr>
                    <w:pageBreakBefore w:val="0"/>
                    <w:kinsoku/>
                    <w:wordWrap/>
                    <w:overflowPunct/>
                    <w:topLinePunct w:val="0"/>
                    <w:autoSpaceDE/>
                    <w:autoSpaceDN/>
                    <w:bidi w:val="0"/>
                    <w:adjustRightInd/>
                    <w:snapToGrid/>
                    <w:spacing w:line="320" w:lineRule="exact"/>
                    <w:ind w:firstLine="0" w:firstLineChars="0"/>
                    <w:textAlignment w:val="auto"/>
                    <w:rPr>
                      <w:color w:val="auto"/>
                      <w:sz w:val="21"/>
                      <w:szCs w:val="21"/>
                      <w:highlight w:val="none"/>
                    </w:rPr>
                  </w:pPr>
                  <w:r>
                    <w:rPr>
                      <w:rFonts w:hint="eastAsia"/>
                      <w:color w:val="auto"/>
                      <w:sz w:val="21"/>
                      <w:szCs w:val="21"/>
                      <w:highlight w:val="none"/>
                    </w:rPr>
                    <w:t>改扩建完成后产生的废污水依托现有生产废水处理系统处理后，排入寻甸县污水处理厂进一步处理。且本项目</w:t>
                  </w:r>
                  <w:r>
                    <w:rPr>
                      <w:rFonts w:hint="eastAsia"/>
                      <w:color w:val="auto"/>
                      <w:sz w:val="21"/>
                      <w:szCs w:val="21"/>
                      <w:highlight w:val="none"/>
                      <w:lang w:eastAsia="zh-CN"/>
                    </w:rPr>
                    <w:t>液体复合微生物肥料</w:t>
                  </w:r>
                  <w:r>
                    <w:rPr>
                      <w:rFonts w:hint="eastAsia"/>
                      <w:color w:val="auto"/>
                      <w:sz w:val="21"/>
                      <w:szCs w:val="21"/>
                      <w:highlight w:val="none"/>
                    </w:rPr>
                    <w:t>使用现有项目产生的尾菜废水作为原料，减少了现有项目尾菜废水的产生量，经计算本项目改扩建后项目COD减少量为</w:t>
                  </w:r>
                  <w:r>
                    <w:rPr>
                      <w:rFonts w:hint="eastAsia"/>
                      <w:color w:val="auto"/>
                      <w:sz w:val="21"/>
                      <w:szCs w:val="21"/>
                      <w:highlight w:val="none"/>
                      <w:lang w:val="en-US" w:eastAsia="zh-CN"/>
                    </w:rPr>
                    <w:t>1.596</w:t>
                  </w:r>
                  <w:r>
                    <w:rPr>
                      <w:rFonts w:hint="eastAsia"/>
                      <w:color w:val="auto"/>
                      <w:sz w:val="21"/>
                      <w:szCs w:val="21"/>
                      <w:highlight w:val="none"/>
                    </w:rPr>
                    <w:t>t/a，TN减少量为</w:t>
                  </w:r>
                  <w:r>
                    <w:rPr>
                      <w:rFonts w:hint="eastAsia"/>
                      <w:color w:val="auto"/>
                      <w:sz w:val="21"/>
                      <w:szCs w:val="21"/>
                      <w:highlight w:val="none"/>
                      <w:lang w:val="en-US" w:eastAsia="zh-CN"/>
                    </w:rPr>
                    <w:t>0.117</w:t>
                  </w:r>
                  <w:r>
                    <w:rPr>
                      <w:rFonts w:hint="eastAsia"/>
                      <w:color w:val="auto"/>
                      <w:sz w:val="21"/>
                      <w:szCs w:val="21"/>
                      <w:highlight w:val="none"/>
                    </w:rPr>
                    <w:t>t/a，TP减少量为</w:t>
                  </w:r>
                  <w:r>
                    <w:rPr>
                      <w:rFonts w:hint="eastAsia"/>
                      <w:color w:val="auto"/>
                      <w:sz w:val="21"/>
                      <w:szCs w:val="21"/>
                      <w:highlight w:val="none"/>
                      <w:lang w:val="en-US" w:eastAsia="zh-CN"/>
                    </w:rPr>
                    <w:t>0.036</w:t>
                  </w:r>
                  <w:r>
                    <w:rPr>
                      <w:rFonts w:hint="eastAsia"/>
                      <w:color w:val="auto"/>
                      <w:sz w:val="21"/>
                      <w:szCs w:val="21"/>
                      <w:highlight w:val="none"/>
                    </w:rPr>
                    <w:t>t/a；未新增COD、TN、TP排放量。</w:t>
                  </w:r>
                </w:p>
              </w:tc>
              <w:tc>
                <w:tcPr>
                  <w:tcW w:w="732" w:type="dxa"/>
                  <w:vAlign w:val="center"/>
                </w:tcPr>
                <w:p w14:paraId="26E78778">
                  <w:pPr>
                    <w:pageBreakBefore w:val="0"/>
                    <w:kinsoku/>
                    <w:wordWrap/>
                    <w:overflowPunct/>
                    <w:topLinePunct w:val="0"/>
                    <w:autoSpaceDE/>
                    <w:autoSpaceDN/>
                    <w:bidi w:val="0"/>
                    <w:adjustRightInd/>
                    <w:snapToGrid/>
                    <w:spacing w:line="320" w:lineRule="exact"/>
                    <w:ind w:firstLine="0" w:firstLineChars="0"/>
                    <w:jc w:val="center"/>
                    <w:textAlignment w:val="auto"/>
                    <w:rPr>
                      <w:color w:val="auto"/>
                      <w:sz w:val="21"/>
                      <w:szCs w:val="21"/>
                      <w:highlight w:val="none"/>
                    </w:rPr>
                  </w:pPr>
                  <w:r>
                    <w:rPr>
                      <w:rFonts w:hint="eastAsia"/>
                      <w:color w:val="auto"/>
                      <w:sz w:val="21"/>
                      <w:szCs w:val="21"/>
                      <w:highlight w:val="none"/>
                    </w:rPr>
                    <w:t>符合</w:t>
                  </w:r>
                </w:p>
              </w:tc>
            </w:tr>
            <w:tr w14:paraId="4054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550" w:type="dxa"/>
                  <w:vAlign w:val="center"/>
                </w:tcPr>
                <w:p w14:paraId="3AB0C786">
                  <w:pPr>
                    <w:pageBreakBefore w:val="0"/>
                    <w:widowControl/>
                    <w:kinsoku/>
                    <w:wordWrap/>
                    <w:overflowPunct/>
                    <w:topLinePunct w:val="0"/>
                    <w:autoSpaceDE/>
                    <w:autoSpaceDN/>
                    <w:bidi w:val="0"/>
                    <w:adjustRightInd/>
                    <w:snapToGrid/>
                    <w:spacing w:line="320" w:lineRule="exact"/>
                    <w:ind w:firstLine="0" w:firstLineChars="0"/>
                    <w:jc w:val="left"/>
                    <w:textAlignment w:val="auto"/>
                    <w:rPr>
                      <w:color w:val="auto"/>
                      <w:kern w:val="0"/>
                      <w:sz w:val="21"/>
                      <w:szCs w:val="21"/>
                      <w:highlight w:val="none"/>
                      <w:lang w:bidi="ar"/>
                    </w:rPr>
                  </w:pPr>
                  <w:r>
                    <w:rPr>
                      <w:rFonts w:hint="eastAsia"/>
                      <w:color w:val="auto"/>
                      <w:kern w:val="0"/>
                      <w:sz w:val="21"/>
                      <w:szCs w:val="21"/>
                      <w:highlight w:val="none"/>
                      <w:lang w:bidi="ar"/>
                    </w:rPr>
                    <w:t>3）加强城镇污染控制</w:t>
                  </w:r>
                </w:p>
                <w:p w14:paraId="2AE3418A">
                  <w:pPr>
                    <w:pageBreakBefore w:val="0"/>
                    <w:widowControl/>
                    <w:kinsoku/>
                    <w:wordWrap/>
                    <w:overflowPunct/>
                    <w:topLinePunct w:val="0"/>
                    <w:autoSpaceDE/>
                    <w:autoSpaceDN/>
                    <w:bidi w:val="0"/>
                    <w:adjustRightInd/>
                    <w:snapToGrid/>
                    <w:spacing w:line="320" w:lineRule="exact"/>
                    <w:ind w:firstLine="0" w:firstLineChars="0"/>
                    <w:jc w:val="left"/>
                    <w:textAlignment w:val="auto"/>
                    <w:rPr>
                      <w:color w:val="auto"/>
                      <w:kern w:val="0"/>
                      <w:sz w:val="21"/>
                      <w:szCs w:val="21"/>
                      <w:highlight w:val="none"/>
                      <w:lang w:bidi="ar"/>
                    </w:rPr>
                  </w:pPr>
                  <w:r>
                    <w:rPr>
                      <w:rFonts w:hint="eastAsia"/>
                      <w:color w:val="auto"/>
                      <w:kern w:val="0"/>
                      <w:sz w:val="21"/>
                      <w:szCs w:val="21"/>
                      <w:highlight w:val="none"/>
                      <w:lang w:bidi="ar"/>
                    </w:rPr>
                    <w:t>城市污水处理厂（站）的处理后的出水水质必须达到《城镇污水处理厂污染物排放标准》（GB18918-2001）一级A标准。</w:t>
                  </w:r>
                </w:p>
                <w:p w14:paraId="6B560726">
                  <w:pPr>
                    <w:pageBreakBefore w:val="0"/>
                    <w:widowControl/>
                    <w:kinsoku/>
                    <w:wordWrap/>
                    <w:overflowPunct/>
                    <w:topLinePunct w:val="0"/>
                    <w:autoSpaceDE/>
                    <w:autoSpaceDN/>
                    <w:bidi w:val="0"/>
                    <w:adjustRightInd/>
                    <w:snapToGrid/>
                    <w:spacing w:line="320" w:lineRule="exact"/>
                    <w:ind w:firstLine="0" w:firstLineChars="0"/>
                    <w:jc w:val="left"/>
                    <w:textAlignment w:val="auto"/>
                    <w:rPr>
                      <w:color w:val="auto"/>
                      <w:kern w:val="0"/>
                      <w:sz w:val="21"/>
                      <w:szCs w:val="21"/>
                      <w:highlight w:val="none"/>
                      <w:lang w:bidi="ar"/>
                    </w:rPr>
                  </w:pPr>
                  <w:r>
                    <w:rPr>
                      <w:rFonts w:hint="eastAsia"/>
                      <w:color w:val="auto"/>
                      <w:kern w:val="0"/>
                      <w:sz w:val="21"/>
                      <w:szCs w:val="21"/>
                      <w:highlight w:val="none"/>
                      <w:lang w:bidi="ar"/>
                    </w:rPr>
                    <w:t>完善“组保洁、村收集、乡（镇）转运、县区处置”的城乡生活垃圾无害化收运处置四级管理体制。</w:t>
                  </w:r>
                </w:p>
              </w:tc>
              <w:tc>
                <w:tcPr>
                  <w:tcW w:w="3397" w:type="dxa"/>
                  <w:vAlign w:val="center"/>
                </w:tcPr>
                <w:p w14:paraId="5E5D2999">
                  <w:pPr>
                    <w:pageBreakBefore w:val="0"/>
                    <w:kinsoku/>
                    <w:wordWrap/>
                    <w:overflowPunct/>
                    <w:topLinePunct w:val="0"/>
                    <w:autoSpaceDE/>
                    <w:autoSpaceDN/>
                    <w:bidi w:val="0"/>
                    <w:adjustRightInd/>
                    <w:snapToGrid/>
                    <w:spacing w:line="320" w:lineRule="exact"/>
                    <w:ind w:firstLine="0" w:firstLineChars="0"/>
                    <w:textAlignment w:val="auto"/>
                    <w:rPr>
                      <w:color w:val="auto"/>
                      <w:sz w:val="21"/>
                      <w:szCs w:val="21"/>
                      <w:highlight w:val="none"/>
                    </w:rPr>
                  </w:pPr>
                  <w:r>
                    <w:rPr>
                      <w:color w:val="auto"/>
                      <w:sz w:val="21"/>
                      <w:szCs w:val="21"/>
                      <w:highlight w:val="none"/>
                    </w:rPr>
                    <w:t>本项目为</w:t>
                  </w:r>
                  <w:r>
                    <w:rPr>
                      <w:rFonts w:hint="eastAsia"/>
                      <w:color w:val="auto"/>
                      <w:sz w:val="21"/>
                      <w:szCs w:val="21"/>
                      <w:highlight w:val="none"/>
                      <w:lang w:eastAsia="zh-CN"/>
                    </w:rPr>
                    <w:t>复合微生物肥</w:t>
                  </w:r>
                  <w:r>
                    <w:rPr>
                      <w:rFonts w:hint="eastAsia"/>
                      <w:color w:val="auto"/>
                      <w:sz w:val="21"/>
                      <w:szCs w:val="21"/>
                      <w:highlight w:val="none"/>
                    </w:rPr>
                    <w:t>料制造项目，不属于城市污水处理厂项目。</w:t>
                  </w:r>
                </w:p>
              </w:tc>
              <w:tc>
                <w:tcPr>
                  <w:tcW w:w="732" w:type="dxa"/>
                  <w:vAlign w:val="center"/>
                </w:tcPr>
                <w:p w14:paraId="3711C8E5">
                  <w:pPr>
                    <w:pageBreakBefore w:val="0"/>
                    <w:kinsoku/>
                    <w:wordWrap/>
                    <w:overflowPunct/>
                    <w:topLinePunct w:val="0"/>
                    <w:autoSpaceDE/>
                    <w:autoSpaceDN/>
                    <w:bidi w:val="0"/>
                    <w:adjustRightInd/>
                    <w:snapToGrid/>
                    <w:spacing w:line="320" w:lineRule="exact"/>
                    <w:ind w:firstLine="0" w:firstLineChars="0"/>
                    <w:jc w:val="center"/>
                    <w:textAlignment w:val="auto"/>
                    <w:rPr>
                      <w:color w:val="auto"/>
                      <w:sz w:val="21"/>
                      <w:szCs w:val="21"/>
                      <w:highlight w:val="none"/>
                    </w:rPr>
                  </w:pPr>
                  <w:r>
                    <w:rPr>
                      <w:rFonts w:hint="eastAsia"/>
                      <w:color w:val="auto"/>
                      <w:sz w:val="21"/>
                      <w:szCs w:val="21"/>
                      <w:highlight w:val="none"/>
                    </w:rPr>
                    <w:t>符合</w:t>
                  </w:r>
                </w:p>
              </w:tc>
            </w:tr>
            <w:tr w14:paraId="3FE31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550" w:type="dxa"/>
                  <w:vAlign w:val="center"/>
                </w:tcPr>
                <w:p w14:paraId="1019D820">
                  <w:pPr>
                    <w:pageBreakBefore w:val="0"/>
                    <w:widowControl/>
                    <w:kinsoku/>
                    <w:wordWrap/>
                    <w:overflowPunct/>
                    <w:topLinePunct w:val="0"/>
                    <w:autoSpaceDE/>
                    <w:autoSpaceDN/>
                    <w:bidi w:val="0"/>
                    <w:adjustRightInd/>
                    <w:snapToGrid/>
                    <w:spacing w:line="320" w:lineRule="exact"/>
                    <w:ind w:firstLine="0" w:firstLineChars="0"/>
                    <w:jc w:val="left"/>
                    <w:textAlignment w:val="auto"/>
                    <w:rPr>
                      <w:color w:val="auto"/>
                      <w:sz w:val="21"/>
                      <w:szCs w:val="21"/>
                      <w:highlight w:val="none"/>
                    </w:rPr>
                  </w:pPr>
                  <w:r>
                    <w:rPr>
                      <w:rFonts w:hint="eastAsia"/>
                      <w:color w:val="auto"/>
                      <w:sz w:val="21"/>
                      <w:szCs w:val="21"/>
                      <w:highlight w:val="none"/>
                    </w:rPr>
                    <w:t>4）全面控制农村农业面污染</w:t>
                  </w:r>
                </w:p>
                <w:p w14:paraId="4A8506C3">
                  <w:pPr>
                    <w:pageBreakBefore w:val="0"/>
                    <w:widowControl/>
                    <w:kinsoku/>
                    <w:wordWrap/>
                    <w:overflowPunct/>
                    <w:topLinePunct w:val="0"/>
                    <w:autoSpaceDE/>
                    <w:autoSpaceDN/>
                    <w:bidi w:val="0"/>
                    <w:adjustRightInd/>
                    <w:snapToGrid/>
                    <w:spacing w:line="320" w:lineRule="exact"/>
                    <w:ind w:firstLine="0" w:firstLineChars="0"/>
                    <w:jc w:val="left"/>
                    <w:textAlignment w:val="auto"/>
                    <w:rPr>
                      <w:color w:val="auto"/>
                      <w:sz w:val="21"/>
                      <w:szCs w:val="21"/>
                      <w:highlight w:val="none"/>
                    </w:rPr>
                  </w:pPr>
                  <w:r>
                    <w:rPr>
                      <w:rFonts w:hint="eastAsia"/>
                      <w:color w:val="auto"/>
                      <w:sz w:val="21"/>
                      <w:szCs w:val="21"/>
                      <w:highlight w:val="none"/>
                    </w:rPr>
                    <w:t>污染控制区域全面调整种植结构，实行测土配方施肥，推广有机生物肥和化肥施用量少的作物种植，从根本上减少化肥施用量。全面实施重点污染村落生活污水、生活垃圾、畜禽养殖污染、农田固废污染，开展核心区范围外的农村环境综合整治。</w:t>
                  </w:r>
                </w:p>
              </w:tc>
              <w:tc>
                <w:tcPr>
                  <w:tcW w:w="3397" w:type="dxa"/>
                  <w:vAlign w:val="center"/>
                </w:tcPr>
                <w:p w14:paraId="6C613716">
                  <w:pPr>
                    <w:pageBreakBefore w:val="0"/>
                    <w:kinsoku/>
                    <w:wordWrap/>
                    <w:overflowPunct/>
                    <w:topLinePunct w:val="0"/>
                    <w:autoSpaceDE/>
                    <w:autoSpaceDN/>
                    <w:bidi w:val="0"/>
                    <w:adjustRightInd/>
                    <w:snapToGrid/>
                    <w:spacing w:line="320" w:lineRule="exact"/>
                    <w:ind w:firstLine="0" w:firstLineChars="0"/>
                    <w:textAlignment w:val="auto"/>
                    <w:rPr>
                      <w:color w:val="auto"/>
                      <w:sz w:val="21"/>
                      <w:szCs w:val="21"/>
                      <w:highlight w:val="none"/>
                    </w:rPr>
                  </w:pPr>
                  <w:r>
                    <w:rPr>
                      <w:color w:val="auto"/>
                      <w:sz w:val="21"/>
                      <w:szCs w:val="21"/>
                      <w:highlight w:val="none"/>
                    </w:rPr>
                    <w:t>本项目为</w:t>
                  </w:r>
                  <w:r>
                    <w:rPr>
                      <w:rFonts w:hint="eastAsia"/>
                      <w:color w:val="auto"/>
                      <w:sz w:val="21"/>
                      <w:szCs w:val="21"/>
                      <w:highlight w:val="none"/>
                      <w:lang w:eastAsia="zh-CN"/>
                    </w:rPr>
                    <w:t>复合微生物肥</w:t>
                  </w:r>
                  <w:r>
                    <w:rPr>
                      <w:rFonts w:hint="eastAsia"/>
                      <w:color w:val="auto"/>
                      <w:sz w:val="21"/>
                      <w:szCs w:val="21"/>
                      <w:highlight w:val="none"/>
                    </w:rPr>
                    <w:t>料制造项目。有机生物肥的制造与销售，对于从根本上减少化肥施用量具有显著推动作用。</w:t>
                  </w:r>
                </w:p>
                <w:p w14:paraId="688B356F">
                  <w:pPr>
                    <w:pageBreakBefore w:val="0"/>
                    <w:kinsoku/>
                    <w:wordWrap/>
                    <w:overflowPunct/>
                    <w:topLinePunct w:val="0"/>
                    <w:autoSpaceDE/>
                    <w:autoSpaceDN/>
                    <w:bidi w:val="0"/>
                    <w:adjustRightInd/>
                    <w:snapToGrid/>
                    <w:spacing w:line="320" w:lineRule="exact"/>
                    <w:ind w:firstLine="0" w:firstLineChars="0"/>
                    <w:textAlignment w:val="auto"/>
                    <w:rPr>
                      <w:color w:val="auto"/>
                      <w:sz w:val="21"/>
                      <w:szCs w:val="21"/>
                      <w:highlight w:val="none"/>
                    </w:rPr>
                  </w:pPr>
                  <w:r>
                    <w:rPr>
                      <w:rFonts w:hint="eastAsia"/>
                      <w:color w:val="auto"/>
                      <w:sz w:val="21"/>
                      <w:szCs w:val="21"/>
                      <w:highlight w:val="none"/>
                    </w:rPr>
                    <w:t>本项目所有固体废物在实行本环评要求措施之后均能得到妥善处置。</w:t>
                  </w:r>
                </w:p>
              </w:tc>
              <w:tc>
                <w:tcPr>
                  <w:tcW w:w="732" w:type="dxa"/>
                  <w:vAlign w:val="center"/>
                </w:tcPr>
                <w:p w14:paraId="3F8DD9A3">
                  <w:pPr>
                    <w:pageBreakBefore w:val="0"/>
                    <w:kinsoku/>
                    <w:wordWrap/>
                    <w:overflowPunct/>
                    <w:topLinePunct w:val="0"/>
                    <w:autoSpaceDE/>
                    <w:autoSpaceDN/>
                    <w:bidi w:val="0"/>
                    <w:adjustRightInd/>
                    <w:snapToGrid/>
                    <w:spacing w:line="320" w:lineRule="exact"/>
                    <w:ind w:firstLine="0" w:firstLineChars="0"/>
                    <w:jc w:val="center"/>
                    <w:textAlignment w:val="auto"/>
                    <w:rPr>
                      <w:color w:val="auto"/>
                      <w:sz w:val="21"/>
                      <w:szCs w:val="21"/>
                      <w:highlight w:val="none"/>
                    </w:rPr>
                  </w:pPr>
                  <w:r>
                    <w:rPr>
                      <w:rFonts w:hint="eastAsia"/>
                      <w:color w:val="auto"/>
                      <w:sz w:val="21"/>
                      <w:szCs w:val="21"/>
                      <w:highlight w:val="none"/>
                    </w:rPr>
                    <w:t>符合</w:t>
                  </w:r>
                </w:p>
              </w:tc>
            </w:tr>
          </w:tbl>
          <w:p w14:paraId="05A1434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eastAsiaTheme="minorEastAsia"/>
                <w:color w:val="auto"/>
                <w:kern w:val="0"/>
                <w:sz w:val="24"/>
                <w:szCs w:val="24"/>
                <w:highlight w:val="none"/>
                <w:lang w:eastAsia="zh-CN" w:bidi="ar"/>
              </w:rPr>
            </w:pPr>
            <w:r>
              <w:rPr>
                <w:rFonts w:hint="default" w:ascii="Times New Roman" w:hAnsi="Times New Roman" w:cs="Times New Roman" w:eastAsiaTheme="minorEastAsia"/>
                <w:color w:val="auto"/>
                <w:kern w:val="0"/>
                <w:sz w:val="24"/>
                <w:szCs w:val="24"/>
                <w:highlight w:val="none"/>
                <w:lang w:bidi="ar"/>
              </w:rPr>
              <w:t>综上所述</w:t>
            </w:r>
            <w:r>
              <w:rPr>
                <w:rFonts w:hint="default" w:ascii="Times New Roman" w:hAnsi="Times New Roman" w:cs="Times New Roman" w:eastAsiaTheme="minorEastAsia"/>
                <w:color w:val="auto"/>
                <w:sz w:val="24"/>
                <w:szCs w:val="24"/>
                <w:highlight w:val="none"/>
              </w:rPr>
              <w:t>，项目符合《牛栏江流域（寻甸段）水环境保护规划（2009-2030年）》相关要求。</w:t>
            </w:r>
          </w:p>
          <w:p w14:paraId="169FCA79">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10、项目</w:t>
            </w:r>
            <w:r>
              <w:rPr>
                <w:rFonts w:hint="default" w:ascii="Times New Roman" w:hAnsi="Times New Roman" w:cs="Times New Roman" w:eastAsiaTheme="minorEastAsia"/>
                <w:b/>
                <w:color w:val="auto"/>
                <w:sz w:val="24"/>
                <w:szCs w:val="24"/>
                <w:highlight w:val="none"/>
              </w:rPr>
              <w:t>与《云南省牛栏江保护条例》的符合性分析</w:t>
            </w:r>
          </w:p>
          <w:p w14:paraId="69341FD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项目所在地的最近地表水体为项目东侧约2km处的牛栏江。根据《云南省牛栏江保护条例》（2012年09月28日发布），自2012年12月01日起施行。条例共50条，其中与项目密切相关的条例为第四、五、八、二十二、三十、三十二、三十三、三十六条。</w:t>
            </w:r>
          </w:p>
          <w:p w14:paraId="0B27543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b/>
                <w:color w:val="auto"/>
                <w:sz w:val="24"/>
                <w:szCs w:val="24"/>
                <w:highlight w:val="none"/>
              </w:rPr>
            </w:pPr>
            <w:r>
              <w:rPr>
                <w:rFonts w:hint="default" w:ascii="Times New Roman" w:hAnsi="Times New Roman" w:cs="Times New Roman" w:eastAsiaTheme="minorEastAsia"/>
                <w:color w:val="auto"/>
                <w:sz w:val="24"/>
                <w:szCs w:val="24"/>
                <w:highlight w:val="none"/>
              </w:rPr>
              <w:t>项目与《云南省牛栏江保护条例》的符合性分析见表1-</w:t>
            </w:r>
            <w:r>
              <w:rPr>
                <w:rFonts w:hint="eastAsia" w:cs="Times New Roman" w:eastAsiaTheme="minorEastAsia"/>
                <w:color w:val="auto"/>
                <w:sz w:val="24"/>
                <w:szCs w:val="24"/>
                <w:highlight w:val="none"/>
                <w:lang w:val="en-US" w:eastAsia="zh-CN"/>
              </w:rPr>
              <w:t>9</w:t>
            </w:r>
            <w:r>
              <w:rPr>
                <w:rFonts w:hint="default" w:ascii="Times New Roman" w:hAnsi="Times New Roman" w:cs="Times New Roman" w:eastAsiaTheme="minorEastAsia"/>
                <w:color w:val="auto"/>
                <w:sz w:val="24"/>
                <w:szCs w:val="24"/>
                <w:highlight w:val="none"/>
              </w:rPr>
              <w:t>。</w:t>
            </w:r>
          </w:p>
          <w:p w14:paraId="7ED63D55">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b/>
                <w:color w:val="auto"/>
                <w:sz w:val="21"/>
                <w:szCs w:val="21"/>
                <w:highlight w:val="none"/>
              </w:rPr>
            </w:pPr>
            <w:r>
              <w:rPr>
                <w:b/>
                <w:color w:val="auto"/>
                <w:sz w:val="21"/>
                <w:szCs w:val="21"/>
                <w:highlight w:val="none"/>
              </w:rPr>
              <w:t>表1-</w:t>
            </w:r>
            <w:r>
              <w:rPr>
                <w:rFonts w:hint="eastAsia"/>
                <w:b/>
                <w:color w:val="auto"/>
                <w:sz w:val="21"/>
                <w:szCs w:val="21"/>
                <w:highlight w:val="none"/>
                <w:lang w:val="en-US" w:eastAsia="zh-CN"/>
              </w:rPr>
              <w:t>9</w:t>
            </w:r>
            <w:r>
              <w:rPr>
                <w:b/>
                <w:color w:val="auto"/>
                <w:sz w:val="21"/>
                <w:szCs w:val="21"/>
                <w:highlight w:val="none"/>
              </w:rPr>
              <w:t xml:space="preserve">  项目与《</w:t>
            </w:r>
            <w:r>
              <w:rPr>
                <w:rFonts w:hint="eastAsia"/>
                <w:b/>
                <w:color w:val="auto"/>
                <w:sz w:val="21"/>
                <w:szCs w:val="21"/>
                <w:highlight w:val="none"/>
              </w:rPr>
              <w:t>云南省牛栏江保护条例</w:t>
            </w:r>
            <w:r>
              <w:rPr>
                <w:b/>
                <w:color w:val="auto"/>
                <w:sz w:val="21"/>
                <w:szCs w:val="21"/>
                <w:highlight w:val="none"/>
              </w:rPr>
              <w:t>》的符合性分析</w:t>
            </w:r>
            <w:r>
              <w:rPr>
                <w:rFonts w:hint="eastAsia"/>
                <w:b/>
                <w:color w:val="auto"/>
                <w:sz w:val="21"/>
                <w:szCs w:val="21"/>
                <w:highlight w:val="none"/>
              </w:rPr>
              <w:t>情况表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23"/>
              <w:gridCol w:w="3591"/>
              <w:gridCol w:w="2770"/>
              <w:gridCol w:w="617"/>
            </w:tblGrid>
            <w:tr w14:paraId="710F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10" w:type="pct"/>
                  <w:vAlign w:val="center"/>
                </w:tcPr>
                <w:p w14:paraId="7BFBDC0A">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b/>
                      <w:color w:val="auto"/>
                      <w:sz w:val="21"/>
                      <w:szCs w:val="21"/>
                      <w:highlight w:val="none"/>
                      <w:lang w:eastAsia="en-US"/>
                    </w:rPr>
                  </w:pPr>
                  <w:r>
                    <w:rPr>
                      <w:b/>
                      <w:color w:val="auto"/>
                      <w:sz w:val="21"/>
                      <w:szCs w:val="21"/>
                      <w:highlight w:val="none"/>
                      <w:lang w:eastAsia="en-US"/>
                    </w:rPr>
                    <w:t>规定</w:t>
                  </w:r>
                </w:p>
              </w:tc>
              <w:tc>
                <w:tcPr>
                  <w:tcW w:w="2361" w:type="pct"/>
                  <w:vAlign w:val="center"/>
                </w:tcPr>
                <w:p w14:paraId="083556B6">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b/>
                      <w:color w:val="auto"/>
                      <w:sz w:val="21"/>
                      <w:szCs w:val="21"/>
                      <w:highlight w:val="none"/>
                      <w:lang w:eastAsia="en-US"/>
                    </w:rPr>
                  </w:pPr>
                  <w:r>
                    <w:rPr>
                      <w:rFonts w:hint="eastAsia"/>
                      <w:b/>
                      <w:color w:val="auto"/>
                      <w:sz w:val="21"/>
                      <w:szCs w:val="21"/>
                      <w:highlight w:val="none"/>
                    </w:rPr>
                    <w:t>相关</w:t>
                  </w:r>
                  <w:r>
                    <w:rPr>
                      <w:b/>
                      <w:color w:val="auto"/>
                      <w:sz w:val="21"/>
                      <w:szCs w:val="21"/>
                      <w:highlight w:val="none"/>
                      <w:lang w:eastAsia="en-US"/>
                    </w:rPr>
                    <w:t>要求</w:t>
                  </w:r>
                </w:p>
              </w:tc>
              <w:tc>
                <w:tcPr>
                  <w:tcW w:w="1821" w:type="pct"/>
                  <w:vAlign w:val="center"/>
                </w:tcPr>
                <w:p w14:paraId="014C26F7">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b/>
                      <w:color w:val="auto"/>
                      <w:sz w:val="21"/>
                      <w:szCs w:val="21"/>
                      <w:highlight w:val="none"/>
                      <w:lang w:eastAsia="en-US"/>
                    </w:rPr>
                  </w:pPr>
                  <w:r>
                    <w:rPr>
                      <w:b/>
                      <w:color w:val="auto"/>
                      <w:sz w:val="21"/>
                      <w:szCs w:val="21"/>
                      <w:highlight w:val="none"/>
                      <w:lang w:eastAsia="en-US"/>
                    </w:rPr>
                    <w:t>项目情况</w:t>
                  </w:r>
                </w:p>
              </w:tc>
              <w:tc>
                <w:tcPr>
                  <w:tcW w:w="406" w:type="pct"/>
                  <w:vAlign w:val="center"/>
                </w:tcPr>
                <w:p w14:paraId="617F7099">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b/>
                      <w:color w:val="auto"/>
                      <w:sz w:val="21"/>
                      <w:szCs w:val="21"/>
                      <w:highlight w:val="none"/>
                    </w:rPr>
                  </w:pPr>
                  <w:r>
                    <w:rPr>
                      <w:b/>
                      <w:color w:val="auto"/>
                      <w:sz w:val="21"/>
                      <w:szCs w:val="21"/>
                      <w:highlight w:val="none"/>
                      <w:lang w:eastAsia="en-US"/>
                    </w:rPr>
                    <w:t>符合</w:t>
                  </w:r>
                  <w:r>
                    <w:rPr>
                      <w:rFonts w:hint="eastAsia"/>
                      <w:b/>
                      <w:color w:val="auto"/>
                      <w:sz w:val="21"/>
                      <w:szCs w:val="21"/>
                      <w:highlight w:val="none"/>
                    </w:rPr>
                    <w:t>性</w:t>
                  </w:r>
                </w:p>
              </w:tc>
            </w:tr>
            <w:tr w14:paraId="6E742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10" w:type="pct"/>
                  <w:vAlign w:val="center"/>
                </w:tcPr>
                <w:p w14:paraId="7E339004">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color w:val="auto"/>
                      <w:sz w:val="21"/>
                      <w:szCs w:val="21"/>
                      <w:highlight w:val="none"/>
                      <w:lang w:eastAsia="en-US"/>
                    </w:rPr>
                  </w:pPr>
                  <w:r>
                    <w:rPr>
                      <w:color w:val="auto"/>
                      <w:sz w:val="21"/>
                      <w:szCs w:val="21"/>
                      <w:highlight w:val="none"/>
                      <w:lang w:eastAsia="en-US"/>
                    </w:rPr>
                    <w:t>第</w:t>
                  </w:r>
                  <w:r>
                    <w:rPr>
                      <w:rFonts w:hint="eastAsia"/>
                      <w:color w:val="auto"/>
                      <w:sz w:val="21"/>
                      <w:szCs w:val="21"/>
                      <w:highlight w:val="none"/>
                    </w:rPr>
                    <w:t>四</w:t>
                  </w:r>
                  <w:r>
                    <w:rPr>
                      <w:color w:val="auto"/>
                      <w:sz w:val="21"/>
                      <w:szCs w:val="21"/>
                      <w:highlight w:val="none"/>
                      <w:lang w:eastAsia="en-US"/>
                    </w:rPr>
                    <w:t>条</w:t>
                  </w:r>
                </w:p>
              </w:tc>
              <w:tc>
                <w:tcPr>
                  <w:tcW w:w="2361" w:type="pct"/>
                  <w:vAlign w:val="center"/>
                </w:tcPr>
                <w:p w14:paraId="1B28E22A">
                  <w:pPr>
                    <w:keepNext w:val="0"/>
                    <w:keepLines w:val="0"/>
                    <w:pageBreakBefore w:val="0"/>
                    <w:widowControl w:val="0"/>
                    <w:kinsoku/>
                    <w:wordWrap/>
                    <w:overflowPunct/>
                    <w:topLinePunct w:val="0"/>
                    <w:autoSpaceDE/>
                    <w:autoSpaceDN/>
                    <w:bidi w:val="0"/>
                    <w:spacing w:line="320" w:lineRule="exact"/>
                    <w:ind w:firstLine="0" w:firstLineChars="0"/>
                    <w:textAlignment w:val="auto"/>
                    <w:rPr>
                      <w:color w:val="auto"/>
                      <w:sz w:val="21"/>
                      <w:szCs w:val="21"/>
                      <w:highlight w:val="none"/>
                    </w:rPr>
                  </w:pPr>
                  <w:r>
                    <w:rPr>
                      <w:color w:val="auto"/>
                      <w:sz w:val="21"/>
                      <w:szCs w:val="21"/>
                      <w:highlight w:val="none"/>
                    </w:rPr>
                    <w:t>牛栏江流域实行分区保护。牛栏江德泽水库坝址以上集水区域为牛栏江流域上游保护区，牛栏江德泽水库坝址以下集水区域为牛栏江流域下游保护区。</w:t>
                  </w:r>
                </w:p>
              </w:tc>
              <w:tc>
                <w:tcPr>
                  <w:tcW w:w="1821" w:type="pct"/>
                  <w:vAlign w:val="center"/>
                </w:tcPr>
                <w:p w14:paraId="0A7930B7">
                  <w:pPr>
                    <w:keepNext w:val="0"/>
                    <w:keepLines w:val="0"/>
                    <w:pageBreakBefore w:val="0"/>
                    <w:widowControl w:val="0"/>
                    <w:kinsoku/>
                    <w:wordWrap/>
                    <w:overflowPunct/>
                    <w:topLinePunct w:val="0"/>
                    <w:autoSpaceDE/>
                    <w:autoSpaceDN/>
                    <w:bidi w:val="0"/>
                    <w:spacing w:line="320" w:lineRule="exact"/>
                    <w:ind w:firstLine="0" w:firstLineChars="0"/>
                    <w:textAlignment w:val="auto"/>
                    <w:rPr>
                      <w:color w:val="auto"/>
                      <w:sz w:val="21"/>
                      <w:szCs w:val="21"/>
                      <w:highlight w:val="none"/>
                    </w:rPr>
                  </w:pPr>
                  <w:r>
                    <w:rPr>
                      <w:rFonts w:hint="eastAsia"/>
                      <w:color w:val="auto"/>
                      <w:sz w:val="21"/>
                      <w:szCs w:val="21"/>
                      <w:highlight w:val="none"/>
                    </w:rPr>
                    <w:t>本</w:t>
                  </w:r>
                  <w:r>
                    <w:rPr>
                      <w:color w:val="auto"/>
                      <w:sz w:val="21"/>
                      <w:szCs w:val="21"/>
                      <w:highlight w:val="none"/>
                    </w:rPr>
                    <w:t>项目选址位于</w:t>
                  </w:r>
                  <w:r>
                    <w:rPr>
                      <w:rFonts w:hint="eastAsia"/>
                      <w:color w:val="auto"/>
                      <w:sz w:val="21"/>
                      <w:szCs w:val="21"/>
                      <w:highlight w:val="none"/>
                    </w:rPr>
                    <w:t>仁德街道道院社区大法古村</w:t>
                  </w:r>
                  <w:r>
                    <w:rPr>
                      <w:color w:val="auto"/>
                      <w:sz w:val="21"/>
                      <w:szCs w:val="21"/>
                      <w:highlight w:val="none"/>
                    </w:rPr>
                    <w:t>，</w:t>
                  </w:r>
                  <w:r>
                    <w:rPr>
                      <w:rFonts w:hint="eastAsia"/>
                      <w:color w:val="auto"/>
                      <w:sz w:val="21"/>
                      <w:szCs w:val="21"/>
                      <w:highlight w:val="none"/>
                    </w:rPr>
                    <w:t>属于</w:t>
                  </w:r>
                  <w:r>
                    <w:rPr>
                      <w:color w:val="auto"/>
                      <w:sz w:val="21"/>
                      <w:szCs w:val="21"/>
                      <w:highlight w:val="none"/>
                    </w:rPr>
                    <w:t>牛栏江德泽水库坝址以上集水区域为牛栏江流域上游保护区。</w:t>
                  </w:r>
                </w:p>
              </w:tc>
              <w:tc>
                <w:tcPr>
                  <w:tcW w:w="406" w:type="pct"/>
                  <w:vAlign w:val="center"/>
                </w:tcPr>
                <w:p w14:paraId="664E8C95">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w:t>
                  </w:r>
                </w:p>
              </w:tc>
            </w:tr>
            <w:tr w14:paraId="76FE6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10" w:type="pct"/>
                  <w:vAlign w:val="center"/>
                </w:tcPr>
                <w:p w14:paraId="7835D827">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color w:val="auto"/>
                      <w:sz w:val="21"/>
                      <w:szCs w:val="21"/>
                      <w:highlight w:val="none"/>
                      <w:lang w:eastAsia="en-US"/>
                    </w:rPr>
                  </w:pPr>
                  <w:r>
                    <w:rPr>
                      <w:color w:val="auto"/>
                      <w:sz w:val="21"/>
                      <w:szCs w:val="21"/>
                      <w:highlight w:val="none"/>
                      <w:lang w:eastAsia="en-US"/>
                    </w:rPr>
                    <w:t>第</w:t>
                  </w:r>
                  <w:r>
                    <w:rPr>
                      <w:rFonts w:hint="eastAsia"/>
                      <w:color w:val="auto"/>
                      <w:sz w:val="21"/>
                      <w:szCs w:val="21"/>
                      <w:highlight w:val="none"/>
                    </w:rPr>
                    <w:t>五</w:t>
                  </w:r>
                  <w:r>
                    <w:rPr>
                      <w:color w:val="auto"/>
                      <w:sz w:val="21"/>
                      <w:szCs w:val="21"/>
                      <w:highlight w:val="none"/>
                      <w:lang w:eastAsia="en-US"/>
                    </w:rPr>
                    <w:t>条</w:t>
                  </w:r>
                </w:p>
              </w:tc>
              <w:tc>
                <w:tcPr>
                  <w:tcW w:w="2361" w:type="pct"/>
                  <w:vAlign w:val="center"/>
                </w:tcPr>
                <w:p w14:paraId="44B25A43">
                  <w:pPr>
                    <w:keepNext w:val="0"/>
                    <w:keepLines w:val="0"/>
                    <w:pageBreakBefore w:val="0"/>
                    <w:widowControl w:val="0"/>
                    <w:tabs>
                      <w:tab w:val="left" w:pos="3360"/>
                    </w:tabs>
                    <w:kinsoku/>
                    <w:wordWrap/>
                    <w:overflowPunct/>
                    <w:topLinePunct w:val="0"/>
                    <w:autoSpaceDE/>
                    <w:autoSpaceDN/>
                    <w:bidi w:val="0"/>
                    <w:spacing w:line="320" w:lineRule="exact"/>
                    <w:ind w:firstLine="0" w:firstLineChars="0"/>
                    <w:textAlignment w:val="auto"/>
                    <w:rPr>
                      <w:color w:val="auto"/>
                      <w:sz w:val="21"/>
                      <w:szCs w:val="21"/>
                      <w:highlight w:val="none"/>
                    </w:rPr>
                  </w:pPr>
                  <w:r>
                    <w:rPr>
                      <w:color w:val="auto"/>
                      <w:sz w:val="21"/>
                      <w:szCs w:val="21"/>
                      <w:highlight w:val="none"/>
                    </w:rPr>
                    <w:t>牛栏江流域上游保护区划分为水源保护核心区、重点污染控制区和重点水源涵养区</w:t>
                  </w:r>
                </w:p>
                <w:p w14:paraId="093D8D31">
                  <w:pPr>
                    <w:keepNext w:val="0"/>
                    <w:keepLines w:val="0"/>
                    <w:pageBreakBefore w:val="0"/>
                    <w:widowControl w:val="0"/>
                    <w:tabs>
                      <w:tab w:val="left" w:pos="3360"/>
                    </w:tabs>
                    <w:kinsoku/>
                    <w:wordWrap/>
                    <w:overflowPunct/>
                    <w:topLinePunct w:val="0"/>
                    <w:autoSpaceDE/>
                    <w:autoSpaceDN/>
                    <w:bidi w:val="0"/>
                    <w:spacing w:line="320" w:lineRule="exact"/>
                    <w:ind w:firstLine="0" w:firstLineChars="0"/>
                    <w:textAlignment w:val="auto"/>
                    <w:rPr>
                      <w:color w:val="auto"/>
                      <w:sz w:val="21"/>
                      <w:szCs w:val="21"/>
                      <w:highlight w:val="none"/>
                    </w:rPr>
                  </w:pPr>
                  <w:r>
                    <w:rPr>
                      <w:color w:val="auto"/>
                      <w:sz w:val="21"/>
                      <w:szCs w:val="21"/>
                      <w:highlight w:val="none"/>
                    </w:rPr>
                    <w:t>(一)水源保护核心区包括德泽水库库区和德泽水库以上牛栏江干流区。德泽水库库区为德泽水库正常蓄水位1790米水面及沿岸外延2000米的范围，区域范围超过一级山脊线的，按照一级山脊线划定</w:t>
                  </w:r>
                  <w:r>
                    <w:rPr>
                      <w:rFonts w:hint="eastAsia"/>
                      <w:color w:val="auto"/>
                      <w:sz w:val="21"/>
                      <w:szCs w:val="21"/>
                      <w:highlight w:val="none"/>
                    </w:rPr>
                    <w:t>；</w:t>
                  </w:r>
                  <w:r>
                    <w:rPr>
                      <w:color w:val="auto"/>
                      <w:sz w:val="21"/>
                      <w:szCs w:val="21"/>
                      <w:highlight w:val="none"/>
                    </w:rPr>
                    <w:t>德泽水库以上牛栏江干流区指德泽水库以上干流(包括干流源头矣纳岔口至嘉丽泽对龙河河段)水域及两岸外延1000米的范围，区域范围超过一级山脊线的，按照一级山脊线划定。</w:t>
                  </w:r>
                </w:p>
                <w:p w14:paraId="195E43E8">
                  <w:pPr>
                    <w:keepNext w:val="0"/>
                    <w:keepLines w:val="0"/>
                    <w:pageBreakBefore w:val="0"/>
                    <w:widowControl w:val="0"/>
                    <w:tabs>
                      <w:tab w:val="left" w:pos="3360"/>
                    </w:tabs>
                    <w:kinsoku/>
                    <w:wordWrap/>
                    <w:overflowPunct/>
                    <w:topLinePunct w:val="0"/>
                    <w:autoSpaceDE/>
                    <w:autoSpaceDN/>
                    <w:bidi w:val="0"/>
                    <w:spacing w:line="320" w:lineRule="exact"/>
                    <w:ind w:firstLine="0" w:firstLineChars="0"/>
                    <w:textAlignment w:val="auto"/>
                    <w:rPr>
                      <w:color w:val="auto"/>
                      <w:sz w:val="21"/>
                      <w:szCs w:val="21"/>
                      <w:highlight w:val="none"/>
                    </w:rPr>
                  </w:pPr>
                  <w:r>
                    <w:rPr>
                      <w:color w:val="auto"/>
                      <w:sz w:val="21"/>
                      <w:szCs w:val="21"/>
                      <w:highlight w:val="none"/>
                    </w:rPr>
                    <w:t>(二)重点污染控制区为水源保护核心区以外，流域范围内的坝区以及花庄河、果马河、普沙河、弥良河、对龙河、杨林河、匡郎河、前进河、马龙河水域及两岸外延3000米的区域，区域范围超过一级山脊线的，按照一级山脊线划定。</w:t>
                  </w:r>
                </w:p>
                <w:p w14:paraId="505FCA1C">
                  <w:pPr>
                    <w:keepNext w:val="0"/>
                    <w:keepLines w:val="0"/>
                    <w:pageBreakBefore w:val="0"/>
                    <w:widowControl w:val="0"/>
                    <w:tabs>
                      <w:tab w:val="left" w:pos="3360"/>
                    </w:tabs>
                    <w:kinsoku/>
                    <w:wordWrap/>
                    <w:overflowPunct/>
                    <w:topLinePunct w:val="0"/>
                    <w:autoSpaceDE/>
                    <w:autoSpaceDN/>
                    <w:bidi w:val="0"/>
                    <w:spacing w:line="320" w:lineRule="exact"/>
                    <w:ind w:firstLine="0" w:firstLineChars="0"/>
                    <w:textAlignment w:val="auto"/>
                    <w:rPr>
                      <w:color w:val="auto"/>
                      <w:sz w:val="21"/>
                      <w:szCs w:val="21"/>
                      <w:highlight w:val="none"/>
                    </w:rPr>
                  </w:pPr>
                  <w:r>
                    <w:rPr>
                      <w:color w:val="auto"/>
                      <w:sz w:val="21"/>
                      <w:szCs w:val="21"/>
                      <w:highlight w:val="none"/>
                    </w:rPr>
                    <w:t>(三)重点水源涵养区为流域范围内除水源保护核心区、重点</w:t>
                  </w:r>
                  <w:r>
                    <w:rPr>
                      <w:color w:val="auto"/>
                      <w:sz w:val="21"/>
                      <w:szCs w:val="21"/>
                      <w:highlight w:val="none"/>
                    </w:rPr>
                    <w:cr/>
                  </w:r>
                  <w:r>
                    <w:rPr>
                      <w:color w:val="auto"/>
                      <w:sz w:val="21"/>
                      <w:szCs w:val="21"/>
                      <w:highlight w:val="none"/>
                    </w:rPr>
                    <w:t>染控制区以外的集水区域。</w:t>
                  </w:r>
                </w:p>
              </w:tc>
              <w:tc>
                <w:tcPr>
                  <w:tcW w:w="1821" w:type="pct"/>
                  <w:vAlign w:val="center"/>
                </w:tcPr>
                <w:p w14:paraId="05D9822C">
                  <w:pPr>
                    <w:keepNext w:val="0"/>
                    <w:keepLines w:val="0"/>
                    <w:pageBreakBefore w:val="0"/>
                    <w:widowControl w:val="0"/>
                    <w:kinsoku/>
                    <w:wordWrap/>
                    <w:overflowPunct/>
                    <w:topLinePunct w:val="0"/>
                    <w:autoSpaceDE/>
                    <w:autoSpaceDN/>
                    <w:bidi w:val="0"/>
                    <w:spacing w:line="320" w:lineRule="exact"/>
                    <w:ind w:firstLine="0" w:firstLineChars="0"/>
                    <w:textAlignment w:val="auto"/>
                    <w:rPr>
                      <w:color w:val="auto"/>
                      <w:sz w:val="21"/>
                      <w:szCs w:val="21"/>
                      <w:highlight w:val="none"/>
                    </w:rPr>
                  </w:pPr>
                  <w:r>
                    <w:rPr>
                      <w:rFonts w:hint="eastAsia"/>
                      <w:color w:val="auto"/>
                      <w:sz w:val="21"/>
                      <w:szCs w:val="21"/>
                      <w:highlight w:val="none"/>
                    </w:rPr>
                    <w:t>本</w:t>
                  </w:r>
                  <w:r>
                    <w:rPr>
                      <w:color w:val="auto"/>
                      <w:sz w:val="21"/>
                      <w:szCs w:val="21"/>
                      <w:highlight w:val="none"/>
                    </w:rPr>
                    <w:t>项目</w:t>
                  </w:r>
                  <w:r>
                    <w:rPr>
                      <w:rFonts w:hint="eastAsia"/>
                      <w:color w:val="auto"/>
                      <w:sz w:val="21"/>
                      <w:szCs w:val="21"/>
                      <w:highlight w:val="none"/>
                    </w:rPr>
                    <w:t>位于牛栏江西面约2k</w:t>
                  </w:r>
                  <w:r>
                    <w:rPr>
                      <w:color w:val="auto"/>
                      <w:sz w:val="21"/>
                      <w:szCs w:val="21"/>
                      <w:highlight w:val="none"/>
                    </w:rPr>
                    <w:t>m</w:t>
                  </w:r>
                  <w:r>
                    <w:rPr>
                      <w:rFonts w:hint="eastAsia"/>
                      <w:color w:val="auto"/>
                      <w:sz w:val="21"/>
                      <w:szCs w:val="21"/>
                      <w:highlight w:val="none"/>
                    </w:rPr>
                    <w:t>处</w:t>
                  </w:r>
                  <w:r>
                    <w:rPr>
                      <w:color w:val="auto"/>
                      <w:sz w:val="21"/>
                      <w:szCs w:val="21"/>
                      <w:highlight w:val="none"/>
                    </w:rPr>
                    <w:t>，</w:t>
                  </w:r>
                  <w:r>
                    <w:rPr>
                      <w:rFonts w:hint="eastAsia"/>
                      <w:color w:val="auto"/>
                      <w:sz w:val="21"/>
                      <w:szCs w:val="21"/>
                      <w:highlight w:val="none"/>
                    </w:rPr>
                    <w:t>位于</w:t>
                  </w:r>
                  <w:r>
                    <w:rPr>
                      <w:color w:val="auto"/>
                      <w:sz w:val="21"/>
                      <w:szCs w:val="21"/>
                      <w:highlight w:val="none"/>
                    </w:rPr>
                    <w:t>重点污染控制区。</w:t>
                  </w:r>
                  <w:r>
                    <w:rPr>
                      <w:rFonts w:hint="eastAsia"/>
                      <w:color w:val="auto"/>
                      <w:sz w:val="21"/>
                      <w:szCs w:val="21"/>
                      <w:highlight w:val="none"/>
                    </w:rPr>
                    <w:t>项目与牛栏江保护范围关系详见附图4。</w:t>
                  </w:r>
                </w:p>
              </w:tc>
              <w:tc>
                <w:tcPr>
                  <w:tcW w:w="406" w:type="pct"/>
                  <w:vAlign w:val="center"/>
                </w:tcPr>
                <w:p w14:paraId="046377FA">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w:t>
                  </w:r>
                </w:p>
              </w:tc>
            </w:tr>
            <w:tr w14:paraId="4CFE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10" w:type="pct"/>
                  <w:vAlign w:val="center"/>
                </w:tcPr>
                <w:p w14:paraId="19080035">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第八条</w:t>
                  </w:r>
                </w:p>
              </w:tc>
              <w:tc>
                <w:tcPr>
                  <w:tcW w:w="2361" w:type="pct"/>
                  <w:vAlign w:val="center"/>
                </w:tcPr>
                <w:p w14:paraId="62FCA27B">
                  <w:pPr>
                    <w:keepNext w:val="0"/>
                    <w:keepLines w:val="0"/>
                    <w:pageBreakBefore w:val="0"/>
                    <w:widowControl w:val="0"/>
                    <w:tabs>
                      <w:tab w:val="left" w:pos="3360"/>
                    </w:tabs>
                    <w:kinsoku/>
                    <w:wordWrap/>
                    <w:overflowPunct/>
                    <w:topLinePunct w:val="0"/>
                    <w:autoSpaceDE/>
                    <w:autoSpaceDN/>
                    <w:bidi w:val="0"/>
                    <w:adjustRightInd w:val="0"/>
                    <w:snapToGrid w:val="0"/>
                    <w:spacing w:line="320" w:lineRule="exact"/>
                    <w:ind w:firstLine="0" w:firstLineChars="0"/>
                    <w:textAlignment w:val="auto"/>
                    <w:rPr>
                      <w:color w:val="auto"/>
                      <w:sz w:val="21"/>
                      <w:szCs w:val="21"/>
                      <w:highlight w:val="none"/>
                    </w:rPr>
                  </w:pPr>
                  <w:r>
                    <w:rPr>
                      <w:color w:val="auto"/>
                      <w:sz w:val="21"/>
                      <w:szCs w:val="21"/>
                      <w:highlight w:val="none"/>
                    </w:rPr>
                    <w:t>牛栏江流域水体水质按照《地表水环境质量标准》Ⅲ类水质标准进行保护。</w:t>
                  </w:r>
                </w:p>
              </w:tc>
              <w:tc>
                <w:tcPr>
                  <w:tcW w:w="1821" w:type="pct"/>
                  <w:vAlign w:val="center"/>
                </w:tcPr>
                <w:p w14:paraId="10F22F7D">
                  <w:pPr>
                    <w:keepNext w:val="0"/>
                    <w:keepLines w:val="0"/>
                    <w:pageBreakBefore w:val="0"/>
                    <w:widowControl w:val="0"/>
                    <w:tabs>
                      <w:tab w:val="left" w:pos="3360"/>
                    </w:tabs>
                    <w:kinsoku/>
                    <w:wordWrap/>
                    <w:overflowPunct/>
                    <w:topLinePunct w:val="0"/>
                    <w:autoSpaceDE/>
                    <w:autoSpaceDN/>
                    <w:bidi w:val="0"/>
                    <w:adjustRightInd w:val="0"/>
                    <w:snapToGrid w:val="0"/>
                    <w:spacing w:line="320" w:lineRule="exact"/>
                    <w:ind w:firstLine="0" w:firstLineChars="0"/>
                    <w:textAlignment w:val="auto"/>
                    <w:rPr>
                      <w:color w:val="auto"/>
                      <w:sz w:val="21"/>
                      <w:szCs w:val="21"/>
                      <w:highlight w:val="none"/>
                    </w:rPr>
                  </w:pPr>
                  <w:r>
                    <w:rPr>
                      <w:color w:val="auto"/>
                      <w:sz w:val="21"/>
                      <w:szCs w:val="21"/>
                      <w:highlight w:val="none"/>
                    </w:rPr>
                    <w:t>根据《2024年度昆明市生态环境状况公报》，牛栏江七星水文站断面（位于项目区上游，与项目距离约3km）水质能达到《地表水环境质量标准》（GB3838-2002）中Ⅲ类水质标准。且项目</w:t>
                  </w:r>
                  <w:r>
                    <w:rPr>
                      <w:rFonts w:hint="eastAsia"/>
                      <w:color w:val="auto"/>
                      <w:sz w:val="21"/>
                      <w:szCs w:val="21"/>
                      <w:highlight w:val="none"/>
                      <w:lang w:val="en-US" w:eastAsia="zh-CN"/>
                    </w:rPr>
                    <w:t>产生的废</w:t>
                  </w:r>
                  <w:r>
                    <w:rPr>
                      <w:color w:val="auto"/>
                      <w:sz w:val="21"/>
                      <w:szCs w:val="21"/>
                      <w:highlight w:val="none"/>
                    </w:rPr>
                    <w:t>污水</w:t>
                  </w:r>
                  <w:r>
                    <w:rPr>
                      <w:rFonts w:hint="eastAsia"/>
                      <w:color w:val="auto"/>
                      <w:sz w:val="21"/>
                      <w:szCs w:val="21"/>
                      <w:highlight w:val="none"/>
                      <w:lang w:val="en-US" w:eastAsia="zh-CN"/>
                    </w:rPr>
                    <w:t>依托现有</w:t>
                  </w:r>
                  <w:r>
                    <w:rPr>
                      <w:color w:val="auto"/>
                      <w:sz w:val="21"/>
                      <w:szCs w:val="21"/>
                      <w:highlight w:val="none"/>
                    </w:rPr>
                    <w:t>废水处理系统处理后，排入寻甸县污水处理厂，不直接排入牛栏江。</w:t>
                  </w:r>
                </w:p>
              </w:tc>
              <w:tc>
                <w:tcPr>
                  <w:tcW w:w="406" w:type="pct"/>
                  <w:vAlign w:val="center"/>
                </w:tcPr>
                <w:p w14:paraId="361489FB">
                  <w:pPr>
                    <w:keepNext w:val="0"/>
                    <w:keepLines w:val="0"/>
                    <w:pageBreakBefore w:val="0"/>
                    <w:widowControl w:val="0"/>
                    <w:tabs>
                      <w:tab w:val="left" w:pos="3360"/>
                    </w:tabs>
                    <w:kinsoku/>
                    <w:wordWrap/>
                    <w:overflowPunct/>
                    <w:topLinePunct w:val="0"/>
                    <w:autoSpaceDE/>
                    <w:autoSpaceDN/>
                    <w:bidi w:val="0"/>
                    <w:adjustRightInd w:val="0"/>
                    <w:snapToGrid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符合</w:t>
                  </w:r>
                </w:p>
              </w:tc>
            </w:tr>
            <w:tr w14:paraId="690C4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18" w:hRule="atLeast"/>
                <w:jc w:val="center"/>
              </w:trPr>
              <w:tc>
                <w:tcPr>
                  <w:tcW w:w="410" w:type="pct"/>
                  <w:vAlign w:val="center"/>
                </w:tcPr>
                <w:p w14:paraId="4CE4CB4C">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第二十二条</w:t>
                  </w:r>
                </w:p>
              </w:tc>
              <w:tc>
                <w:tcPr>
                  <w:tcW w:w="2361" w:type="pct"/>
                  <w:vAlign w:val="center"/>
                </w:tcPr>
                <w:p w14:paraId="0057F2F0">
                  <w:pPr>
                    <w:keepNext w:val="0"/>
                    <w:keepLines w:val="0"/>
                    <w:pageBreakBefore w:val="0"/>
                    <w:widowControl w:val="0"/>
                    <w:tabs>
                      <w:tab w:val="left" w:pos="3360"/>
                    </w:tabs>
                    <w:kinsoku/>
                    <w:wordWrap/>
                    <w:overflowPunct/>
                    <w:topLinePunct w:val="0"/>
                    <w:autoSpaceDE/>
                    <w:autoSpaceDN/>
                    <w:bidi w:val="0"/>
                    <w:adjustRightInd w:val="0"/>
                    <w:snapToGrid w:val="0"/>
                    <w:spacing w:line="320" w:lineRule="exact"/>
                    <w:ind w:firstLine="0" w:firstLineChars="0"/>
                    <w:textAlignment w:val="auto"/>
                    <w:rPr>
                      <w:color w:val="auto"/>
                      <w:sz w:val="21"/>
                      <w:szCs w:val="21"/>
                      <w:highlight w:val="none"/>
                    </w:rPr>
                  </w:pPr>
                  <w:r>
                    <w:rPr>
                      <w:color w:val="auto"/>
                      <w:sz w:val="21"/>
                      <w:szCs w:val="21"/>
                      <w:highlight w:val="none"/>
                    </w:rPr>
                    <w:t>县级以上人民政府应当合理规划工业布局，淘汰严重污染水环境的落后工艺和设备，禁止新建、改建、扩建不符合国家产业政策或者严重污染水环境的建设项目。</w:t>
                  </w:r>
                </w:p>
              </w:tc>
              <w:tc>
                <w:tcPr>
                  <w:tcW w:w="1821" w:type="pct"/>
                  <w:vAlign w:val="center"/>
                </w:tcPr>
                <w:p w14:paraId="490F89E0">
                  <w:pPr>
                    <w:keepNext w:val="0"/>
                    <w:keepLines w:val="0"/>
                    <w:pageBreakBefore w:val="0"/>
                    <w:widowControl w:val="0"/>
                    <w:kinsoku/>
                    <w:wordWrap/>
                    <w:overflowPunct/>
                    <w:topLinePunct w:val="0"/>
                    <w:autoSpaceDE/>
                    <w:autoSpaceDN/>
                    <w:bidi w:val="0"/>
                    <w:spacing w:line="320" w:lineRule="exact"/>
                    <w:ind w:firstLine="0" w:firstLineChars="0"/>
                    <w:textAlignment w:val="auto"/>
                    <w:rPr>
                      <w:color w:val="auto"/>
                      <w:sz w:val="21"/>
                      <w:szCs w:val="21"/>
                      <w:highlight w:val="none"/>
                    </w:rPr>
                  </w:pPr>
                  <w:r>
                    <w:rPr>
                      <w:rFonts w:hint="eastAsia"/>
                      <w:color w:val="auto"/>
                      <w:sz w:val="21"/>
                      <w:szCs w:val="21"/>
                      <w:highlight w:val="none"/>
                    </w:rPr>
                    <w:t>根据上文分析可知，项目符合国家现行产业政策，且项目</w:t>
                  </w:r>
                  <w:r>
                    <w:rPr>
                      <w:rFonts w:hint="eastAsia"/>
                      <w:color w:val="auto"/>
                      <w:sz w:val="21"/>
                      <w:szCs w:val="21"/>
                      <w:highlight w:val="none"/>
                      <w:lang w:val="en-US" w:eastAsia="zh-CN"/>
                    </w:rPr>
                    <w:t>产生的废污水依托现有</w:t>
                  </w:r>
                  <w:r>
                    <w:rPr>
                      <w:rFonts w:hint="eastAsia"/>
                      <w:color w:val="auto"/>
                      <w:sz w:val="21"/>
                      <w:szCs w:val="21"/>
                      <w:highlight w:val="none"/>
                    </w:rPr>
                    <w:t>废水处理系统处理后，排入寻甸县污水处理厂，不会对水体产生严重污染。</w:t>
                  </w:r>
                </w:p>
              </w:tc>
              <w:tc>
                <w:tcPr>
                  <w:tcW w:w="406" w:type="pct"/>
                  <w:vAlign w:val="center"/>
                </w:tcPr>
                <w:p w14:paraId="7429220D">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color w:val="auto"/>
                      <w:sz w:val="21"/>
                      <w:szCs w:val="21"/>
                      <w:highlight w:val="none"/>
                      <w:lang w:eastAsia="en-US"/>
                    </w:rPr>
                  </w:pPr>
                  <w:r>
                    <w:rPr>
                      <w:color w:val="auto"/>
                      <w:sz w:val="21"/>
                      <w:szCs w:val="21"/>
                      <w:highlight w:val="none"/>
                      <w:lang w:eastAsia="en-US"/>
                    </w:rPr>
                    <w:t>符合</w:t>
                  </w:r>
                </w:p>
              </w:tc>
            </w:tr>
            <w:tr w14:paraId="73032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90" w:hRule="atLeast"/>
                <w:jc w:val="center"/>
              </w:trPr>
              <w:tc>
                <w:tcPr>
                  <w:tcW w:w="410" w:type="pct"/>
                  <w:vAlign w:val="center"/>
                </w:tcPr>
                <w:p w14:paraId="16F8BCF8">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第三十条</w:t>
                  </w:r>
                </w:p>
              </w:tc>
              <w:tc>
                <w:tcPr>
                  <w:tcW w:w="2361" w:type="pct"/>
                  <w:vAlign w:val="center"/>
                </w:tcPr>
                <w:p w14:paraId="5F76393A">
                  <w:pPr>
                    <w:keepNext w:val="0"/>
                    <w:keepLines w:val="0"/>
                    <w:pageBreakBefore w:val="0"/>
                    <w:widowControl w:val="0"/>
                    <w:kinsoku/>
                    <w:wordWrap/>
                    <w:overflowPunct/>
                    <w:topLinePunct w:val="0"/>
                    <w:autoSpaceDE/>
                    <w:autoSpaceDN/>
                    <w:bidi w:val="0"/>
                    <w:spacing w:line="320" w:lineRule="exact"/>
                    <w:ind w:firstLine="0" w:firstLineChars="0"/>
                    <w:textAlignment w:val="auto"/>
                    <w:rPr>
                      <w:color w:val="auto"/>
                      <w:sz w:val="21"/>
                      <w:szCs w:val="21"/>
                      <w:highlight w:val="none"/>
                    </w:rPr>
                  </w:pPr>
                  <w:r>
                    <w:rPr>
                      <w:color w:val="auto"/>
                      <w:sz w:val="21"/>
                      <w:szCs w:val="21"/>
                      <w:highlight w:val="none"/>
                    </w:rPr>
                    <w:t>牛栏江流域上游保护区内的工业园区应当建设污水集中和分散处理设施，工业污水处理达标后，在园区内综合回用，实现工业污水零排放。排污单位在向污水集中处理设施排放污水时，应当符合相应的水污染物排放标准和重点水污染物排放总量控制指标。工业园区的管理机构统一负责园区内污水集中处理设施的监督管理，并确保其正常运行。</w:t>
                  </w:r>
                </w:p>
                <w:p w14:paraId="557E5CAE">
                  <w:pPr>
                    <w:keepNext w:val="0"/>
                    <w:keepLines w:val="0"/>
                    <w:pageBreakBefore w:val="0"/>
                    <w:widowControl w:val="0"/>
                    <w:kinsoku/>
                    <w:wordWrap/>
                    <w:overflowPunct/>
                    <w:topLinePunct w:val="0"/>
                    <w:autoSpaceDE/>
                    <w:autoSpaceDN/>
                    <w:bidi w:val="0"/>
                    <w:spacing w:line="320" w:lineRule="exact"/>
                    <w:ind w:firstLine="0" w:firstLineChars="0"/>
                    <w:textAlignment w:val="auto"/>
                    <w:rPr>
                      <w:color w:val="auto"/>
                      <w:sz w:val="21"/>
                      <w:szCs w:val="21"/>
                      <w:highlight w:val="none"/>
                    </w:rPr>
                  </w:pPr>
                  <w:r>
                    <w:rPr>
                      <w:color w:val="auto"/>
                      <w:sz w:val="21"/>
                      <w:szCs w:val="21"/>
                      <w:highlight w:val="none"/>
                    </w:rPr>
                    <w:t>工业园区外的工业企业应当进行技术改造，采取综合防治措施，提高水的重复利用率，逐年减少废水和污染物排放量。</w:t>
                  </w:r>
                </w:p>
              </w:tc>
              <w:tc>
                <w:tcPr>
                  <w:tcW w:w="1821" w:type="pct"/>
                  <w:vAlign w:val="center"/>
                </w:tcPr>
                <w:p w14:paraId="6BB66DA7">
                  <w:pPr>
                    <w:keepNext w:val="0"/>
                    <w:keepLines w:val="0"/>
                    <w:pageBreakBefore w:val="0"/>
                    <w:widowControl w:val="0"/>
                    <w:kinsoku/>
                    <w:wordWrap/>
                    <w:overflowPunct/>
                    <w:topLinePunct w:val="0"/>
                    <w:autoSpaceDE/>
                    <w:autoSpaceDN/>
                    <w:bidi w:val="0"/>
                    <w:spacing w:line="320" w:lineRule="exact"/>
                    <w:ind w:firstLine="0" w:firstLineChars="0"/>
                    <w:textAlignment w:val="auto"/>
                    <w:rPr>
                      <w:color w:val="auto"/>
                      <w:sz w:val="21"/>
                      <w:szCs w:val="21"/>
                      <w:highlight w:val="none"/>
                    </w:rPr>
                  </w:pPr>
                  <w:r>
                    <w:rPr>
                      <w:rFonts w:hint="eastAsia"/>
                      <w:color w:val="auto"/>
                      <w:sz w:val="21"/>
                      <w:szCs w:val="21"/>
                      <w:highlight w:val="none"/>
                    </w:rPr>
                    <w:t>本项目不在工业园区内，且生活污水经现有化粪池处理，生产废水经生产废水处理系统处理后，排入寻甸县污水处理厂。</w:t>
                  </w:r>
                </w:p>
                <w:p w14:paraId="509995D4">
                  <w:pPr>
                    <w:keepNext w:val="0"/>
                    <w:keepLines w:val="0"/>
                    <w:pageBreakBefore w:val="0"/>
                    <w:widowControl w:val="0"/>
                    <w:kinsoku/>
                    <w:wordWrap/>
                    <w:overflowPunct/>
                    <w:topLinePunct w:val="0"/>
                    <w:autoSpaceDE/>
                    <w:autoSpaceDN/>
                    <w:bidi w:val="0"/>
                    <w:spacing w:line="320" w:lineRule="exact"/>
                    <w:ind w:firstLine="0" w:firstLineChars="0"/>
                    <w:textAlignment w:val="auto"/>
                    <w:rPr>
                      <w:color w:val="auto"/>
                      <w:sz w:val="21"/>
                      <w:szCs w:val="21"/>
                      <w:highlight w:val="none"/>
                    </w:rPr>
                  </w:pPr>
                  <w:r>
                    <w:rPr>
                      <w:rFonts w:hint="eastAsia"/>
                      <w:color w:val="auto"/>
                      <w:sz w:val="21"/>
                      <w:szCs w:val="21"/>
                      <w:highlight w:val="none"/>
                    </w:rPr>
                    <w:t>目前本项目扩建后，利用尾菜废水制作</w:t>
                  </w:r>
                  <w:r>
                    <w:rPr>
                      <w:rFonts w:hint="eastAsia"/>
                      <w:color w:val="auto"/>
                      <w:sz w:val="21"/>
                      <w:szCs w:val="21"/>
                      <w:highlight w:val="none"/>
                      <w:lang w:eastAsia="zh-CN"/>
                    </w:rPr>
                    <w:t>复合微生物肥</w:t>
                  </w:r>
                  <w:r>
                    <w:rPr>
                      <w:rFonts w:hint="eastAsia"/>
                      <w:color w:val="auto"/>
                      <w:sz w:val="21"/>
                      <w:szCs w:val="21"/>
                      <w:highlight w:val="none"/>
                    </w:rPr>
                    <w:t>，降低了废水排放量，且能回用的部分均循环使用，提高中水利用率。</w:t>
                  </w:r>
                </w:p>
              </w:tc>
              <w:tc>
                <w:tcPr>
                  <w:tcW w:w="406" w:type="pct"/>
                  <w:vAlign w:val="center"/>
                </w:tcPr>
                <w:p w14:paraId="2F15D117">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color w:val="auto"/>
                      <w:sz w:val="21"/>
                      <w:szCs w:val="21"/>
                      <w:highlight w:val="none"/>
                      <w:lang w:eastAsia="en-US"/>
                    </w:rPr>
                  </w:pPr>
                  <w:r>
                    <w:rPr>
                      <w:rFonts w:hint="eastAsia"/>
                      <w:color w:val="auto"/>
                      <w:sz w:val="21"/>
                      <w:szCs w:val="21"/>
                      <w:highlight w:val="none"/>
                    </w:rPr>
                    <w:t>符合</w:t>
                  </w:r>
                </w:p>
              </w:tc>
            </w:tr>
            <w:tr w14:paraId="183B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10" w:type="pct"/>
                  <w:vAlign w:val="center"/>
                </w:tcPr>
                <w:p w14:paraId="5B3501AD">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color w:val="auto"/>
                      <w:sz w:val="21"/>
                      <w:szCs w:val="21"/>
                      <w:highlight w:val="none"/>
                      <w:lang w:eastAsia="en-US"/>
                    </w:rPr>
                  </w:pPr>
                  <w:r>
                    <w:rPr>
                      <w:color w:val="auto"/>
                      <w:sz w:val="21"/>
                      <w:szCs w:val="21"/>
                      <w:highlight w:val="none"/>
                      <w:lang w:eastAsia="en-US"/>
                    </w:rPr>
                    <w:t>第</w:t>
                  </w:r>
                  <w:r>
                    <w:rPr>
                      <w:rFonts w:hint="eastAsia"/>
                      <w:color w:val="auto"/>
                      <w:sz w:val="21"/>
                      <w:szCs w:val="21"/>
                      <w:highlight w:val="none"/>
                    </w:rPr>
                    <w:t>三十二</w:t>
                  </w:r>
                  <w:r>
                    <w:rPr>
                      <w:color w:val="auto"/>
                      <w:sz w:val="21"/>
                      <w:szCs w:val="21"/>
                      <w:highlight w:val="none"/>
                      <w:lang w:eastAsia="en-US"/>
                    </w:rPr>
                    <w:t>条</w:t>
                  </w:r>
                </w:p>
              </w:tc>
              <w:tc>
                <w:tcPr>
                  <w:tcW w:w="2361" w:type="pct"/>
                  <w:vAlign w:val="center"/>
                </w:tcPr>
                <w:p w14:paraId="1B8E2197">
                  <w:pPr>
                    <w:keepNext w:val="0"/>
                    <w:keepLines w:val="0"/>
                    <w:pageBreakBefore w:val="0"/>
                    <w:widowControl w:val="0"/>
                    <w:tabs>
                      <w:tab w:val="left" w:pos="3360"/>
                    </w:tabs>
                    <w:kinsoku/>
                    <w:wordWrap/>
                    <w:overflowPunct/>
                    <w:topLinePunct w:val="0"/>
                    <w:autoSpaceDE/>
                    <w:autoSpaceDN/>
                    <w:bidi w:val="0"/>
                    <w:adjustRightInd w:val="0"/>
                    <w:snapToGrid w:val="0"/>
                    <w:spacing w:line="320" w:lineRule="exact"/>
                    <w:ind w:firstLine="0" w:firstLineChars="0"/>
                    <w:textAlignment w:val="auto"/>
                    <w:rPr>
                      <w:color w:val="auto"/>
                      <w:sz w:val="21"/>
                      <w:szCs w:val="21"/>
                      <w:highlight w:val="none"/>
                    </w:rPr>
                  </w:pPr>
                  <w:r>
                    <w:rPr>
                      <w:color w:val="auto"/>
                      <w:sz w:val="21"/>
                      <w:szCs w:val="21"/>
                      <w:highlight w:val="none"/>
                    </w:rPr>
                    <w:t>重点水源涵养区内禁止下列行为</w:t>
                  </w:r>
                  <w:r>
                    <w:rPr>
                      <w:rFonts w:hint="eastAsia"/>
                      <w:color w:val="auto"/>
                      <w:sz w:val="21"/>
                      <w:szCs w:val="21"/>
                      <w:highlight w:val="none"/>
                    </w:rPr>
                    <w:t>：</w:t>
                  </w:r>
                </w:p>
                <w:p w14:paraId="36AB6C3B">
                  <w:pPr>
                    <w:keepNext w:val="0"/>
                    <w:keepLines w:val="0"/>
                    <w:pageBreakBefore w:val="0"/>
                    <w:widowControl w:val="0"/>
                    <w:tabs>
                      <w:tab w:val="left" w:pos="3360"/>
                    </w:tabs>
                    <w:kinsoku/>
                    <w:wordWrap/>
                    <w:overflowPunct/>
                    <w:topLinePunct w:val="0"/>
                    <w:autoSpaceDE/>
                    <w:autoSpaceDN/>
                    <w:bidi w:val="0"/>
                    <w:adjustRightInd w:val="0"/>
                    <w:snapToGrid w:val="0"/>
                    <w:spacing w:line="320" w:lineRule="exact"/>
                    <w:ind w:firstLine="0" w:firstLineChars="0"/>
                    <w:textAlignment w:val="auto"/>
                    <w:rPr>
                      <w:color w:val="auto"/>
                      <w:sz w:val="21"/>
                      <w:szCs w:val="21"/>
                      <w:highlight w:val="none"/>
                    </w:rPr>
                  </w:pPr>
                  <w:r>
                    <w:rPr>
                      <w:color w:val="auto"/>
                      <w:sz w:val="21"/>
                      <w:szCs w:val="21"/>
                      <w:highlight w:val="none"/>
                    </w:rPr>
                    <w:t>(一)盗伐、滥伐林木和破坏草地</w:t>
                  </w:r>
                  <w:r>
                    <w:rPr>
                      <w:rFonts w:hint="eastAsia"/>
                      <w:color w:val="auto"/>
                      <w:sz w:val="21"/>
                      <w:szCs w:val="21"/>
                      <w:highlight w:val="none"/>
                    </w:rPr>
                    <w:t>；</w:t>
                  </w:r>
                </w:p>
                <w:p w14:paraId="6963ED1F">
                  <w:pPr>
                    <w:keepNext w:val="0"/>
                    <w:keepLines w:val="0"/>
                    <w:pageBreakBefore w:val="0"/>
                    <w:widowControl w:val="0"/>
                    <w:tabs>
                      <w:tab w:val="left" w:pos="3360"/>
                    </w:tabs>
                    <w:kinsoku/>
                    <w:wordWrap/>
                    <w:overflowPunct/>
                    <w:topLinePunct w:val="0"/>
                    <w:autoSpaceDE/>
                    <w:autoSpaceDN/>
                    <w:bidi w:val="0"/>
                    <w:adjustRightInd w:val="0"/>
                    <w:snapToGrid w:val="0"/>
                    <w:spacing w:line="320" w:lineRule="exact"/>
                    <w:ind w:firstLine="0" w:firstLineChars="0"/>
                    <w:textAlignment w:val="auto"/>
                    <w:rPr>
                      <w:color w:val="auto"/>
                      <w:sz w:val="21"/>
                      <w:szCs w:val="21"/>
                      <w:highlight w:val="none"/>
                    </w:rPr>
                  </w:pPr>
                  <w:r>
                    <w:rPr>
                      <w:color w:val="auto"/>
                      <w:sz w:val="21"/>
                      <w:szCs w:val="21"/>
                      <w:highlight w:val="none"/>
                    </w:rPr>
                    <w:t>(二)使用高毒、高残留农药</w:t>
                  </w:r>
                  <w:r>
                    <w:rPr>
                      <w:rFonts w:hint="eastAsia"/>
                      <w:color w:val="auto"/>
                      <w:sz w:val="21"/>
                      <w:szCs w:val="21"/>
                      <w:highlight w:val="none"/>
                    </w:rPr>
                    <w:t>；</w:t>
                  </w:r>
                </w:p>
                <w:p w14:paraId="398CA85C">
                  <w:pPr>
                    <w:keepNext w:val="0"/>
                    <w:keepLines w:val="0"/>
                    <w:pageBreakBefore w:val="0"/>
                    <w:widowControl w:val="0"/>
                    <w:tabs>
                      <w:tab w:val="left" w:pos="3360"/>
                    </w:tabs>
                    <w:kinsoku/>
                    <w:wordWrap/>
                    <w:overflowPunct/>
                    <w:topLinePunct w:val="0"/>
                    <w:autoSpaceDE/>
                    <w:autoSpaceDN/>
                    <w:bidi w:val="0"/>
                    <w:adjustRightInd w:val="0"/>
                    <w:snapToGrid w:val="0"/>
                    <w:spacing w:line="320" w:lineRule="exact"/>
                    <w:ind w:firstLine="0" w:firstLineChars="0"/>
                    <w:textAlignment w:val="auto"/>
                    <w:rPr>
                      <w:color w:val="auto"/>
                      <w:sz w:val="21"/>
                      <w:szCs w:val="21"/>
                      <w:highlight w:val="none"/>
                    </w:rPr>
                  </w:pPr>
                  <w:r>
                    <w:rPr>
                      <w:color w:val="auto"/>
                      <w:sz w:val="21"/>
                      <w:szCs w:val="21"/>
                      <w:highlight w:val="none"/>
                    </w:rPr>
                    <w:t>(三)利用溶洞、渗井、渗坑、裂隙排放、倾倒含有毒有害物质的废水、废渣</w:t>
                  </w:r>
                  <w:r>
                    <w:rPr>
                      <w:rFonts w:hint="eastAsia"/>
                      <w:color w:val="auto"/>
                      <w:sz w:val="21"/>
                      <w:szCs w:val="21"/>
                      <w:highlight w:val="none"/>
                    </w:rPr>
                    <w:t>；</w:t>
                  </w:r>
                </w:p>
                <w:p w14:paraId="6423B30D">
                  <w:pPr>
                    <w:keepNext w:val="0"/>
                    <w:keepLines w:val="0"/>
                    <w:pageBreakBefore w:val="0"/>
                    <w:widowControl w:val="0"/>
                    <w:tabs>
                      <w:tab w:val="left" w:pos="3360"/>
                    </w:tabs>
                    <w:kinsoku/>
                    <w:wordWrap/>
                    <w:overflowPunct/>
                    <w:topLinePunct w:val="0"/>
                    <w:autoSpaceDE/>
                    <w:autoSpaceDN/>
                    <w:bidi w:val="0"/>
                    <w:adjustRightInd w:val="0"/>
                    <w:snapToGrid w:val="0"/>
                    <w:spacing w:line="320" w:lineRule="exact"/>
                    <w:ind w:firstLine="0" w:firstLineChars="0"/>
                    <w:textAlignment w:val="auto"/>
                    <w:rPr>
                      <w:color w:val="auto"/>
                      <w:sz w:val="21"/>
                      <w:szCs w:val="21"/>
                      <w:highlight w:val="none"/>
                    </w:rPr>
                  </w:pPr>
                  <w:r>
                    <w:rPr>
                      <w:color w:val="auto"/>
                      <w:sz w:val="21"/>
                      <w:szCs w:val="21"/>
                      <w:highlight w:val="none"/>
                    </w:rPr>
                    <w:t>(四)向水体排放废水、倾倒工业废渣、城镇垃圾或者其他废弃物</w:t>
                  </w:r>
                  <w:r>
                    <w:rPr>
                      <w:rFonts w:hint="eastAsia"/>
                      <w:color w:val="auto"/>
                      <w:sz w:val="21"/>
                      <w:szCs w:val="21"/>
                      <w:highlight w:val="none"/>
                    </w:rPr>
                    <w:t>；</w:t>
                  </w:r>
                </w:p>
                <w:p w14:paraId="4898ED90">
                  <w:pPr>
                    <w:keepNext w:val="0"/>
                    <w:keepLines w:val="0"/>
                    <w:pageBreakBefore w:val="0"/>
                    <w:widowControl w:val="0"/>
                    <w:tabs>
                      <w:tab w:val="left" w:pos="3360"/>
                    </w:tabs>
                    <w:kinsoku/>
                    <w:wordWrap/>
                    <w:overflowPunct/>
                    <w:topLinePunct w:val="0"/>
                    <w:autoSpaceDE/>
                    <w:autoSpaceDN/>
                    <w:bidi w:val="0"/>
                    <w:adjustRightInd w:val="0"/>
                    <w:snapToGrid w:val="0"/>
                    <w:spacing w:line="320" w:lineRule="exact"/>
                    <w:ind w:firstLine="0" w:firstLineChars="0"/>
                    <w:textAlignment w:val="auto"/>
                    <w:rPr>
                      <w:color w:val="auto"/>
                      <w:sz w:val="21"/>
                      <w:szCs w:val="21"/>
                      <w:highlight w:val="none"/>
                    </w:rPr>
                  </w:pPr>
                  <w:r>
                    <w:rPr>
                      <w:color w:val="auto"/>
                      <w:sz w:val="21"/>
                      <w:szCs w:val="21"/>
                      <w:highlight w:val="none"/>
                    </w:rPr>
                    <w:t>(五)在江河、渠道、水库最高水位线以下的滩地、岸坡堆放、存贮固体废弃物或者其他污染物</w:t>
                  </w:r>
                  <w:r>
                    <w:rPr>
                      <w:rFonts w:hint="eastAsia"/>
                      <w:color w:val="auto"/>
                      <w:sz w:val="21"/>
                      <w:szCs w:val="21"/>
                      <w:highlight w:val="none"/>
                    </w:rPr>
                    <w:t>；</w:t>
                  </w:r>
                </w:p>
                <w:p w14:paraId="2DDE801C">
                  <w:pPr>
                    <w:keepNext w:val="0"/>
                    <w:keepLines w:val="0"/>
                    <w:pageBreakBefore w:val="0"/>
                    <w:widowControl w:val="0"/>
                    <w:tabs>
                      <w:tab w:val="left" w:pos="3360"/>
                    </w:tabs>
                    <w:kinsoku/>
                    <w:wordWrap/>
                    <w:overflowPunct/>
                    <w:topLinePunct w:val="0"/>
                    <w:autoSpaceDE/>
                    <w:autoSpaceDN/>
                    <w:bidi w:val="0"/>
                    <w:adjustRightInd w:val="0"/>
                    <w:snapToGrid w:val="0"/>
                    <w:spacing w:line="320" w:lineRule="exact"/>
                    <w:ind w:firstLine="0" w:firstLineChars="0"/>
                    <w:textAlignment w:val="auto"/>
                    <w:rPr>
                      <w:color w:val="auto"/>
                      <w:sz w:val="21"/>
                      <w:szCs w:val="21"/>
                      <w:highlight w:val="none"/>
                    </w:rPr>
                  </w:pPr>
                  <w:r>
                    <w:rPr>
                      <w:color w:val="auto"/>
                      <w:sz w:val="21"/>
                      <w:szCs w:val="21"/>
                      <w:highlight w:val="none"/>
                    </w:rPr>
                    <w:t>(六)利用无防渗漏措施的沟渠、坑塘等输送或者存贮含有毒污染物的废水、含病原体的污水或者其他废弃物。</w:t>
                  </w:r>
                </w:p>
              </w:tc>
              <w:tc>
                <w:tcPr>
                  <w:tcW w:w="1821" w:type="pct"/>
                  <w:vAlign w:val="center"/>
                </w:tcPr>
                <w:p w14:paraId="4BE580FF">
                  <w:pPr>
                    <w:keepNext w:val="0"/>
                    <w:keepLines w:val="0"/>
                    <w:pageBreakBefore w:val="0"/>
                    <w:widowControl w:val="0"/>
                    <w:kinsoku/>
                    <w:wordWrap/>
                    <w:overflowPunct/>
                    <w:topLinePunct w:val="0"/>
                    <w:autoSpaceDE/>
                    <w:autoSpaceDN/>
                    <w:bidi w:val="0"/>
                    <w:spacing w:line="320" w:lineRule="exact"/>
                    <w:ind w:firstLine="0" w:firstLineChars="0"/>
                    <w:textAlignment w:val="auto"/>
                    <w:rPr>
                      <w:color w:val="auto"/>
                      <w:sz w:val="21"/>
                      <w:szCs w:val="21"/>
                      <w:highlight w:val="none"/>
                    </w:rPr>
                  </w:pPr>
                  <w:r>
                    <w:rPr>
                      <w:rFonts w:hint="eastAsia"/>
                      <w:color w:val="auto"/>
                      <w:sz w:val="21"/>
                      <w:szCs w:val="21"/>
                      <w:highlight w:val="none"/>
                    </w:rPr>
                    <w:t>本项目不涉及第三十二条所列禁止行为。</w:t>
                  </w:r>
                </w:p>
              </w:tc>
              <w:tc>
                <w:tcPr>
                  <w:tcW w:w="406" w:type="pct"/>
                  <w:vAlign w:val="center"/>
                </w:tcPr>
                <w:p w14:paraId="3E9293C6">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color w:val="auto"/>
                      <w:sz w:val="21"/>
                      <w:szCs w:val="21"/>
                      <w:highlight w:val="none"/>
                      <w:lang w:eastAsia="en-US"/>
                    </w:rPr>
                  </w:pPr>
                  <w:r>
                    <w:rPr>
                      <w:color w:val="auto"/>
                      <w:sz w:val="21"/>
                      <w:szCs w:val="21"/>
                      <w:highlight w:val="none"/>
                      <w:lang w:eastAsia="en-US"/>
                    </w:rPr>
                    <w:t>符合</w:t>
                  </w:r>
                </w:p>
              </w:tc>
            </w:tr>
            <w:tr w14:paraId="2C9D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94" w:hRule="atLeast"/>
                <w:jc w:val="center"/>
              </w:trPr>
              <w:tc>
                <w:tcPr>
                  <w:tcW w:w="410" w:type="pct"/>
                  <w:vAlign w:val="center"/>
                </w:tcPr>
                <w:p w14:paraId="4CB241DA">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第三十三条</w:t>
                  </w:r>
                </w:p>
              </w:tc>
              <w:tc>
                <w:tcPr>
                  <w:tcW w:w="2361" w:type="pct"/>
                  <w:vAlign w:val="center"/>
                </w:tcPr>
                <w:p w14:paraId="6D9526E7">
                  <w:pPr>
                    <w:keepNext w:val="0"/>
                    <w:keepLines w:val="0"/>
                    <w:pageBreakBefore w:val="0"/>
                    <w:widowControl w:val="0"/>
                    <w:tabs>
                      <w:tab w:val="left" w:pos="3360"/>
                    </w:tabs>
                    <w:kinsoku/>
                    <w:wordWrap/>
                    <w:overflowPunct/>
                    <w:topLinePunct w:val="0"/>
                    <w:autoSpaceDE/>
                    <w:autoSpaceDN/>
                    <w:bidi w:val="0"/>
                    <w:adjustRightInd w:val="0"/>
                    <w:snapToGrid w:val="0"/>
                    <w:spacing w:line="320" w:lineRule="exact"/>
                    <w:ind w:firstLine="0" w:firstLineChars="0"/>
                    <w:textAlignment w:val="auto"/>
                    <w:rPr>
                      <w:color w:val="auto"/>
                      <w:sz w:val="21"/>
                      <w:szCs w:val="21"/>
                      <w:highlight w:val="none"/>
                    </w:rPr>
                  </w:pPr>
                  <w:r>
                    <w:rPr>
                      <w:color w:val="auto"/>
                      <w:sz w:val="21"/>
                      <w:szCs w:val="21"/>
                      <w:highlight w:val="none"/>
                    </w:rPr>
                    <w:t>重点污染控制区内除重点水源涵养区禁止的行为外，还禁止下列行为</w:t>
                  </w:r>
                  <w:r>
                    <w:rPr>
                      <w:rFonts w:hint="eastAsia"/>
                      <w:color w:val="auto"/>
                      <w:sz w:val="21"/>
                      <w:szCs w:val="21"/>
                      <w:highlight w:val="none"/>
                    </w:rPr>
                    <w:t>：</w:t>
                  </w:r>
                </w:p>
                <w:p w14:paraId="0E025C8A">
                  <w:pPr>
                    <w:keepNext w:val="0"/>
                    <w:keepLines w:val="0"/>
                    <w:pageBreakBefore w:val="0"/>
                    <w:widowControl w:val="0"/>
                    <w:tabs>
                      <w:tab w:val="left" w:pos="3360"/>
                    </w:tabs>
                    <w:kinsoku/>
                    <w:wordWrap/>
                    <w:overflowPunct/>
                    <w:topLinePunct w:val="0"/>
                    <w:autoSpaceDE/>
                    <w:autoSpaceDN/>
                    <w:bidi w:val="0"/>
                    <w:adjustRightInd w:val="0"/>
                    <w:snapToGrid w:val="0"/>
                    <w:spacing w:line="320" w:lineRule="exact"/>
                    <w:ind w:firstLine="0" w:firstLineChars="0"/>
                    <w:textAlignment w:val="auto"/>
                    <w:rPr>
                      <w:color w:val="auto"/>
                      <w:sz w:val="21"/>
                      <w:szCs w:val="21"/>
                      <w:highlight w:val="none"/>
                    </w:rPr>
                  </w:pPr>
                  <w:r>
                    <w:rPr>
                      <w:color w:val="auto"/>
                      <w:sz w:val="21"/>
                      <w:szCs w:val="21"/>
                      <w:highlight w:val="none"/>
                    </w:rPr>
                    <w:t>(一)新建、扩建工业园区</w:t>
                  </w:r>
                  <w:r>
                    <w:rPr>
                      <w:rFonts w:hint="eastAsia"/>
                      <w:color w:val="auto"/>
                      <w:sz w:val="21"/>
                      <w:szCs w:val="21"/>
                      <w:highlight w:val="none"/>
                    </w:rPr>
                    <w:t>；</w:t>
                  </w:r>
                </w:p>
                <w:p w14:paraId="0BA4CDE9">
                  <w:pPr>
                    <w:keepNext w:val="0"/>
                    <w:keepLines w:val="0"/>
                    <w:pageBreakBefore w:val="0"/>
                    <w:widowControl w:val="0"/>
                    <w:tabs>
                      <w:tab w:val="left" w:pos="3360"/>
                    </w:tabs>
                    <w:kinsoku/>
                    <w:wordWrap/>
                    <w:overflowPunct/>
                    <w:topLinePunct w:val="0"/>
                    <w:autoSpaceDE/>
                    <w:autoSpaceDN/>
                    <w:bidi w:val="0"/>
                    <w:adjustRightInd w:val="0"/>
                    <w:snapToGrid w:val="0"/>
                    <w:spacing w:line="320" w:lineRule="exact"/>
                    <w:ind w:firstLine="0" w:firstLineChars="0"/>
                    <w:textAlignment w:val="auto"/>
                    <w:rPr>
                      <w:color w:val="auto"/>
                      <w:sz w:val="21"/>
                      <w:szCs w:val="21"/>
                      <w:highlight w:val="none"/>
                    </w:rPr>
                  </w:pPr>
                  <w:r>
                    <w:rPr>
                      <w:color w:val="auto"/>
                      <w:sz w:val="21"/>
                      <w:szCs w:val="21"/>
                      <w:highlight w:val="none"/>
                    </w:rPr>
                    <w:t>(二)新建、扩建重点水污染物排放的工业项目</w:t>
                  </w:r>
                  <w:r>
                    <w:rPr>
                      <w:rFonts w:hint="eastAsia"/>
                      <w:color w:val="auto"/>
                      <w:sz w:val="21"/>
                      <w:szCs w:val="21"/>
                      <w:highlight w:val="none"/>
                    </w:rPr>
                    <w:t>；</w:t>
                  </w:r>
                </w:p>
                <w:p w14:paraId="4C7C2AD3">
                  <w:pPr>
                    <w:keepNext w:val="0"/>
                    <w:keepLines w:val="0"/>
                    <w:pageBreakBefore w:val="0"/>
                    <w:widowControl w:val="0"/>
                    <w:tabs>
                      <w:tab w:val="left" w:pos="3360"/>
                    </w:tabs>
                    <w:kinsoku/>
                    <w:wordWrap/>
                    <w:overflowPunct/>
                    <w:topLinePunct w:val="0"/>
                    <w:autoSpaceDE/>
                    <w:autoSpaceDN/>
                    <w:bidi w:val="0"/>
                    <w:adjustRightInd w:val="0"/>
                    <w:snapToGrid w:val="0"/>
                    <w:spacing w:line="320" w:lineRule="exact"/>
                    <w:ind w:firstLine="0" w:firstLineChars="0"/>
                    <w:textAlignment w:val="auto"/>
                    <w:rPr>
                      <w:color w:val="auto"/>
                      <w:sz w:val="21"/>
                      <w:szCs w:val="21"/>
                      <w:highlight w:val="none"/>
                    </w:rPr>
                  </w:pPr>
                  <w:r>
                    <w:rPr>
                      <w:color w:val="auto"/>
                      <w:sz w:val="21"/>
                      <w:szCs w:val="21"/>
                      <w:highlight w:val="none"/>
                    </w:rPr>
                    <w:t>(三)新建、改建、扩建经营性陵园、公墓。</w:t>
                  </w:r>
                </w:p>
              </w:tc>
              <w:tc>
                <w:tcPr>
                  <w:tcW w:w="1821" w:type="pct"/>
                  <w:vAlign w:val="center"/>
                </w:tcPr>
                <w:p w14:paraId="5283CFEC">
                  <w:pPr>
                    <w:keepNext w:val="0"/>
                    <w:keepLines w:val="0"/>
                    <w:pageBreakBefore w:val="0"/>
                    <w:widowControl w:val="0"/>
                    <w:kinsoku/>
                    <w:wordWrap/>
                    <w:overflowPunct/>
                    <w:topLinePunct w:val="0"/>
                    <w:autoSpaceDE/>
                    <w:autoSpaceDN/>
                    <w:bidi w:val="0"/>
                    <w:spacing w:line="320" w:lineRule="exact"/>
                    <w:ind w:firstLine="0" w:firstLineChars="0"/>
                    <w:textAlignment w:val="auto"/>
                    <w:rPr>
                      <w:color w:val="auto"/>
                      <w:sz w:val="21"/>
                      <w:szCs w:val="21"/>
                      <w:highlight w:val="none"/>
                    </w:rPr>
                  </w:pPr>
                  <w:r>
                    <w:rPr>
                      <w:rFonts w:hint="eastAsia"/>
                      <w:color w:val="auto"/>
                      <w:sz w:val="21"/>
                      <w:szCs w:val="21"/>
                      <w:highlight w:val="none"/>
                    </w:rPr>
                    <w:t>本项目位于重点污染控制区，项目不涉及第三十三条所列禁止行为，本项目不属于重点水污染排放工业项目，项目生活污水经化粪池处理，生产废水经生产废水处理系统处理后，排入寻甸县污水处理厂。</w:t>
                  </w:r>
                </w:p>
              </w:tc>
              <w:tc>
                <w:tcPr>
                  <w:tcW w:w="406" w:type="pct"/>
                  <w:vAlign w:val="center"/>
                </w:tcPr>
                <w:p w14:paraId="25CC6076">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color w:val="auto"/>
                      <w:sz w:val="21"/>
                      <w:szCs w:val="21"/>
                      <w:highlight w:val="none"/>
                      <w:lang w:eastAsia="en-US"/>
                    </w:rPr>
                  </w:pPr>
                  <w:r>
                    <w:rPr>
                      <w:color w:val="auto"/>
                      <w:sz w:val="21"/>
                      <w:szCs w:val="21"/>
                      <w:highlight w:val="none"/>
                      <w:lang w:eastAsia="en-US"/>
                    </w:rPr>
                    <w:t>符合</w:t>
                  </w:r>
                </w:p>
              </w:tc>
            </w:tr>
            <w:tr w14:paraId="0DCE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10" w:type="pct"/>
                  <w:vAlign w:val="center"/>
                </w:tcPr>
                <w:p w14:paraId="298DEA0E">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color w:val="auto"/>
                      <w:sz w:val="21"/>
                      <w:szCs w:val="21"/>
                      <w:highlight w:val="none"/>
                    </w:rPr>
                  </w:pPr>
                  <w:r>
                    <w:rPr>
                      <w:rFonts w:hint="eastAsia"/>
                      <w:color w:val="auto"/>
                      <w:sz w:val="21"/>
                      <w:szCs w:val="21"/>
                      <w:highlight w:val="none"/>
                    </w:rPr>
                    <w:t>第三十六条</w:t>
                  </w:r>
                </w:p>
              </w:tc>
              <w:tc>
                <w:tcPr>
                  <w:tcW w:w="2361" w:type="pct"/>
                  <w:vAlign w:val="center"/>
                </w:tcPr>
                <w:p w14:paraId="4458DD19">
                  <w:pPr>
                    <w:keepNext w:val="0"/>
                    <w:keepLines w:val="0"/>
                    <w:pageBreakBefore w:val="0"/>
                    <w:widowControl w:val="0"/>
                    <w:tabs>
                      <w:tab w:val="left" w:pos="3360"/>
                    </w:tabs>
                    <w:kinsoku/>
                    <w:wordWrap/>
                    <w:overflowPunct/>
                    <w:topLinePunct w:val="0"/>
                    <w:autoSpaceDE/>
                    <w:autoSpaceDN/>
                    <w:bidi w:val="0"/>
                    <w:adjustRightInd w:val="0"/>
                    <w:snapToGrid w:val="0"/>
                    <w:spacing w:line="320" w:lineRule="exact"/>
                    <w:ind w:firstLine="0" w:firstLineChars="0"/>
                    <w:textAlignment w:val="auto"/>
                    <w:rPr>
                      <w:color w:val="auto"/>
                      <w:sz w:val="21"/>
                      <w:szCs w:val="21"/>
                      <w:highlight w:val="none"/>
                    </w:rPr>
                  </w:pPr>
                  <w:r>
                    <w:rPr>
                      <w:color w:val="auto"/>
                      <w:sz w:val="21"/>
                      <w:szCs w:val="21"/>
                      <w:highlight w:val="none"/>
                    </w:rPr>
                    <w:t>污染控制区内禁止新建、改建、扩建对水体污染严重的建设项目。</w:t>
                  </w:r>
                </w:p>
              </w:tc>
              <w:tc>
                <w:tcPr>
                  <w:tcW w:w="1821" w:type="pct"/>
                  <w:vAlign w:val="center"/>
                </w:tcPr>
                <w:p w14:paraId="2026E2E6">
                  <w:pPr>
                    <w:keepNext w:val="0"/>
                    <w:keepLines w:val="0"/>
                    <w:pageBreakBefore w:val="0"/>
                    <w:widowControl w:val="0"/>
                    <w:kinsoku/>
                    <w:wordWrap/>
                    <w:overflowPunct/>
                    <w:topLinePunct w:val="0"/>
                    <w:autoSpaceDE/>
                    <w:autoSpaceDN/>
                    <w:bidi w:val="0"/>
                    <w:spacing w:line="320" w:lineRule="exact"/>
                    <w:ind w:firstLine="0" w:firstLineChars="0"/>
                    <w:textAlignment w:val="auto"/>
                    <w:rPr>
                      <w:color w:val="auto"/>
                      <w:sz w:val="21"/>
                      <w:szCs w:val="21"/>
                      <w:highlight w:val="none"/>
                    </w:rPr>
                  </w:pPr>
                  <w:r>
                    <w:rPr>
                      <w:rFonts w:hint="eastAsia"/>
                      <w:color w:val="auto"/>
                      <w:sz w:val="21"/>
                      <w:szCs w:val="21"/>
                      <w:highlight w:val="none"/>
                    </w:rPr>
                    <w:t>项目位于重点污染控制区，</w:t>
                  </w:r>
                  <w:r>
                    <w:rPr>
                      <w:rFonts w:hint="eastAsia"/>
                      <w:color w:val="auto"/>
                      <w:sz w:val="21"/>
                      <w:szCs w:val="21"/>
                      <w:highlight w:val="none"/>
                      <w:lang w:val="en-US" w:eastAsia="zh-CN"/>
                    </w:rPr>
                    <w:t>项目产生的废污水依托现有</w:t>
                  </w:r>
                  <w:r>
                    <w:rPr>
                      <w:rFonts w:hint="eastAsia"/>
                      <w:color w:val="auto"/>
                      <w:sz w:val="21"/>
                      <w:szCs w:val="21"/>
                      <w:highlight w:val="none"/>
                    </w:rPr>
                    <w:t>废水处理系统处理后，排入寻甸县污水处理厂，不属于</w:t>
                  </w:r>
                  <w:r>
                    <w:rPr>
                      <w:color w:val="auto"/>
                      <w:sz w:val="21"/>
                      <w:szCs w:val="21"/>
                      <w:highlight w:val="none"/>
                    </w:rPr>
                    <w:t>对水体污染严重的建设项目。</w:t>
                  </w:r>
                </w:p>
              </w:tc>
              <w:tc>
                <w:tcPr>
                  <w:tcW w:w="406" w:type="pct"/>
                  <w:vAlign w:val="center"/>
                </w:tcPr>
                <w:p w14:paraId="0EDB4ABA">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color w:val="auto"/>
                      <w:sz w:val="21"/>
                      <w:szCs w:val="21"/>
                      <w:highlight w:val="none"/>
                    </w:rPr>
                  </w:pPr>
                  <w:r>
                    <w:rPr>
                      <w:color w:val="auto"/>
                      <w:sz w:val="21"/>
                      <w:szCs w:val="21"/>
                      <w:highlight w:val="none"/>
                    </w:rPr>
                    <w:t>符合</w:t>
                  </w:r>
                </w:p>
              </w:tc>
            </w:tr>
          </w:tbl>
          <w:p w14:paraId="47D417D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kern w:val="0"/>
                <w:sz w:val="24"/>
                <w:szCs w:val="24"/>
                <w:highlight w:val="none"/>
                <w:lang w:bidi="ar"/>
              </w:rPr>
              <w:t>综上所述</w:t>
            </w:r>
            <w:r>
              <w:rPr>
                <w:rFonts w:hint="default" w:ascii="Times New Roman" w:hAnsi="Times New Roman" w:cs="Times New Roman" w:eastAsiaTheme="minorEastAsia"/>
                <w:color w:val="auto"/>
                <w:sz w:val="24"/>
                <w:szCs w:val="24"/>
                <w:highlight w:val="none"/>
              </w:rPr>
              <w:t xml:space="preserve">，项目符合《云南省牛栏江保护条例》相关要求。 </w:t>
            </w:r>
          </w:p>
          <w:p w14:paraId="11ACB954">
            <w:pPr>
              <w:keepNext w:val="0"/>
              <w:keepLines w:val="0"/>
              <w:pageBreakBefore w:val="0"/>
              <w:widowControl/>
              <w:kinsoku/>
              <w:wordWrap/>
              <w:overflowPunct/>
              <w:topLinePunct w:val="0"/>
              <w:autoSpaceDE/>
              <w:autoSpaceDN/>
              <w:bidi w:val="0"/>
              <w:adjustRightInd/>
              <w:snapToGrid/>
              <w:spacing w:line="440" w:lineRule="exact"/>
              <w:ind w:firstLine="0" w:firstLineChars="0"/>
              <w:jc w:val="left"/>
              <w:textAlignment w:val="auto"/>
              <w:rPr>
                <w:rFonts w:hint="default" w:ascii="Times New Roman" w:hAnsi="Times New Roman" w:cs="Times New Roman" w:eastAsiaTheme="minorEastAsia"/>
                <w:b/>
                <w:bCs/>
                <w:color w:val="auto"/>
                <w:kern w:val="0"/>
                <w:sz w:val="24"/>
                <w:szCs w:val="24"/>
                <w:highlight w:val="none"/>
                <w:lang w:bidi="ar"/>
              </w:rPr>
            </w:pPr>
            <w:r>
              <w:rPr>
                <w:rFonts w:hint="default" w:ascii="Times New Roman" w:hAnsi="Times New Roman" w:cs="Times New Roman" w:eastAsiaTheme="minorEastAsia"/>
                <w:b/>
                <w:bCs/>
                <w:color w:val="auto"/>
                <w:kern w:val="0"/>
                <w:sz w:val="24"/>
                <w:szCs w:val="24"/>
                <w:highlight w:val="none"/>
                <w:lang w:val="en-US" w:eastAsia="zh-CN" w:bidi="ar"/>
              </w:rPr>
              <w:t>11</w:t>
            </w:r>
            <w:r>
              <w:rPr>
                <w:rFonts w:hint="default" w:ascii="Times New Roman" w:hAnsi="Times New Roman" w:cs="Times New Roman" w:eastAsiaTheme="minorEastAsia"/>
                <w:b/>
                <w:bCs/>
                <w:color w:val="auto"/>
                <w:kern w:val="0"/>
                <w:sz w:val="24"/>
                <w:szCs w:val="24"/>
                <w:highlight w:val="none"/>
                <w:lang w:bidi="ar"/>
              </w:rPr>
              <w:t>、与《牛栏江流域（昆明段）水污染防治工作方案》相符性分析</w:t>
            </w:r>
          </w:p>
          <w:p w14:paraId="443EABE6">
            <w:pPr>
              <w:keepNext w:val="0"/>
              <w:keepLines w:val="0"/>
              <w:pageBreakBefore w:val="0"/>
              <w:kinsoku/>
              <w:wordWrap/>
              <w:overflowPunct/>
              <w:topLinePunct w:val="0"/>
              <w:autoSpaceDE/>
              <w:autoSpaceDN/>
              <w:bidi w:val="0"/>
              <w:adjustRightInd/>
              <w:snapToGrid/>
              <w:spacing w:line="440" w:lineRule="exact"/>
              <w:ind w:firstLine="48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本项目与《牛栏江流域（昆明段）水污染防治工作方案》中相关要求的符合性分析详见下表1-1</w:t>
            </w:r>
            <w:r>
              <w:rPr>
                <w:rFonts w:hint="eastAsia" w:cs="Times New Roman" w:eastAsiaTheme="minorEastAsia"/>
                <w:color w:val="auto"/>
                <w:sz w:val="24"/>
                <w:szCs w:val="24"/>
                <w:highlight w:val="none"/>
                <w:lang w:val="en-US" w:eastAsia="zh-CN"/>
              </w:rPr>
              <w:t>0</w:t>
            </w:r>
            <w:r>
              <w:rPr>
                <w:rFonts w:hint="default" w:ascii="Times New Roman" w:hAnsi="Times New Roman" w:cs="Times New Roman" w:eastAsiaTheme="minorEastAsia"/>
                <w:color w:val="auto"/>
                <w:sz w:val="24"/>
                <w:szCs w:val="24"/>
                <w:highlight w:val="none"/>
              </w:rPr>
              <w:t>。</w:t>
            </w:r>
          </w:p>
          <w:p w14:paraId="65C71183">
            <w:pPr>
              <w:widowControl/>
              <w:ind w:firstLine="0" w:firstLineChars="0"/>
              <w:jc w:val="center"/>
              <w:rPr>
                <w:b/>
                <w:bCs/>
                <w:color w:val="auto"/>
                <w:kern w:val="0"/>
                <w:sz w:val="21"/>
                <w:szCs w:val="21"/>
                <w:highlight w:val="none"/>
                <w:lang w:bidi="ar"/>
              </w:rPr>
            </w:pPr>
            <w:r>
              <w:rPr>
                <w:b/>
                <w:bCs/>
                <w:color w:val="auto"/>
                <w:kern w:val="0"/>
                <w:sz w:val="21"/>
                <w:szCs w:val="21"/>
                <w:highlight w:val="none"/>
                <w:lang w:bidi="ar"/>
              </w:rPr>
              <w:t>表1</w:t>
            </w:r>
            <w:r>
              <w:rPr>
                <w:rFonts w:hint="eastAsia"/>
                <w:b/>
                <w:bCs/>
                <w:color w:val="auto"/>
                <w:kern w:val="0"/>
                <w:sz w:val="21"/>
                <w:szCs w:val="21"/>
                <w:highlight w:val="none"/>
                <w:lang w:bidi="ar"/>
              </w:rPr>
              <w:t>-1</w:t>
            </w:r>
            <w:r>
              <w:rPr>
                <w:rFonts w:hint="eastAsia"/>
                <w:b/>
                <w:bCs/>
                <w:color w:val="auto"/>
                <w:kern w:val="0"/>
                <w:sz w:val="21"/>
                <w:szCs w:val="21"/>
                <w:highlight w:val="none"/>
                <w:lang w:val="en-US" w:eastAsia="zh-CN" w:bidi="ar"/>
              </w:rPr>
              <w:t>0</w:t>
            </w:r>
            <w:r>
              <w:rPr>
                <w:rFonts w:hint="eastAsia"/>
                <w:b/>
                <w:bCs/>
                <w:color w:val="auto"/>
                <w:kern w:val="0"/>
                <w:sz w:val="21"/>
                <w:szCs w:val="21"/>
                <w:highlight w:val="none"/>
                <w:lang w:bidi="ar"/>
              </w:rPr>
              <w:t xml:space="preserve">  与《牛栏江流域（昆明段）水污染防治工作方案》符合性分析</w:t>
            </w:r>
          </w:p>
          <w:tbl>
            <w:tblPr>
              <w:tblStyle w:val="27"/>
              <w:tblW w:w="7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4524"/>
              <w:gridCol w:w="2050"/>
              <w:gridCol w:w="698"/>
            </w:tblGrid>
            <w:tr w14:paraId="37A3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5028" w:type="dxa"/>
                  <w:gridSpan w:val="2"/>
                  <w:vAlign w:val="center"/>
                </w:tcPr>
                <w:p w14:paraId="3807FF20">
                  <w:pPr>
                    <w:keepNext w:val="0"/>
                    <w:keepLines w:val="0"/>
                    <w:pageBreakBefore w:val="0"/>
                    <w:widowControl/>
                    <w:kinsoku/>
                    <w:wordWrap/>
                    <w:overflowPunct/>
                    <w:topLinePunct w:val="0"/>
                    <w:autoSpaceDE/>
                    <w:autoSpaceDN/>
                    <w:bidi w:val="0"/>
                    <w:adjustRightInd/>
                    <w:snapToGrid/>
                    <w:spacing w:line="310" w:lineRule="exact"/>
                    <w:ind w:firstLine="0" w:firstLineChars="0"/>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方案内容</w:t>
                  </w:r>
                </w:p>
              </w:tc>
              <w:tc>
                <w:tcPr>
                  <w:tcW w:w="2050" w:type="dxa"/>
                  <w:vAlign w:val="center"/>
                </w:tcPr>
                <w:p w14:paraId="22E476E4">
                  <w:pPr>
                    <w:keepNext w:val="0"/>
                    <w:keepLines w:val="0"/>
                    <w:pageBreakBefore w:val="0"/>
                    <w:widowControl/>
                    <w:kinsoku/>
                    <w:wordWrap/>
                    <w:overflowPunct/>
                    <w:topLinePunct w:val="0"/>
                    <w:autoSpaceDE/>
                    <w:autoSpaceDN/>
                    <w:bidi w:val="0"/>
                    <w:adjustRightInd/>
                    <w:snapToGrid/>
                    <w:spacing w:line="310" w:lineRule="exact"/>
                    <w:ind w:firstLine="0" w:firstLineChars="0"/>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kern w:val="0"/>
                      <w:sz w:val="21"/>
                      <w:szCs w:val="21"/>
                      <w:highlight w:val="none"/>
                      <w:lang w:bidi="ar"/>
                    </w:rPr>
                    <w:t>本项目情况</w:t>
                  </w:r>
                </w:p>
              </w:tc>
              <w:tc>
                <w:tcPr>
                  <w:tcW w:w="698" w:type="dxa"/>
                  <w:vAlign w:val="center"/>
                </w:tcPr>
                <w:p w14:paraId="60785708">
                  <w:pPr>
                    <w:keepNext w:val="0"/>
                    <w:keepLines w:val="0"/>
                    <w:pageBreakBefore w:val="0"/>
                    <w:widowControl/>
                    <w:kinsoku/>
                    <w:wordWrap/>
                    <w:overflowPunct/>
                    <w:topLinePunct w:val="0"/>
                    <w:autoSpaceDE/>
                    <w:autoSpaceDN/>
                    <w:bidi w:val="0"/>
                    <w:adjustRightInd/>
                    <w:snapToGrid/>
                    <w:spacing w:line="310" w:lineRule="exact"/>
                    <w:ind w:firstLine="0" w:firstLineChars="0"/>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kern w:val="0"/>
                      <w:sz w:val="21"/>
                      <w:szCs w:val="21"/>
                      <w:highlight w:val="none"/>
                      <w:lang w:bidi="ar"/>
                    </w:rPr>
                    <w:t>符合性</w:t>
                  </w:r>
                </w:p>
              </w:tc>
            </w:tr>
            <w:tr w14:paraId="0C58E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9" w:hRule="atLeast"/>
                <w:jc w:val="center"/>
              </w:trPr>
              <w:tc>
                <w:tcPr>
                  <w:tcW w:w="5028" w:type="dxa"/>
                  <w:gridSpan w:val="2"/>
                  <w:vAlign w:val="center"/>
                </w:tcPr>
                <w:p w14:paraId="1371B228">
                  <w:pPr>
                    <w:keepNext w:val="0"/>
                    <w:keepLines w:val="0"/>
                    <w:pageBreakBefore w:val="0"/>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lang w:eastAsia="zh-CN"/>
                    </w:rPr>
                    <w:t>1.</w:t>
                  </w:r>
                  <w:r>
                    <w:rPr>
                      <w:rFonts w:hint="default" w:ascii="Times New Roman" w:hAnsi="Times New Roman" w:cs="Times New Roman" w:eastAsiaTheme="minorEastAsia"/>
                      <w:color w:val="auto"/>
                      <w:sz w:val="21"/>
                      <w:szCs w:val="21"/>
                      <w:highlight w:val="none"/>
                    </w:rPr>
                    <w:t>引导产业发展。合理规划布局产业发展方向。禁止新建不符合国家产业政策的工业项目。禁止在牛栏江流域</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rPr>
                    <w:t>昆明段</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rPr>
                    <w:t>新建高污染工业项目，包括污染严重的钢铁、冶炼、基础化工、农药、电镀、造纸制浆、制革、印染、磷化工、石棉制品、土硫磺、土磷肥和染料等企业和项目。对原有的该类企业实施逐步、有计划地搬迁和淘汰。</w:t>
                  </w:r>
                </w:p>
              </w:tc>
              <w:tc>
                <w:tcPr>
                  <w:tcW w:w="2050" w:type="dxa"/>
                  <w:vAlign w:val="center"/>
                </w:tcPr>
                <w:p w14:paraId="1E38D102">
                  <w:pPr>
                    <w:keepNext w:val="0"/>
                    <w:keepLines w:val="0"/>
                    <w:pageBreakBefore w:val="0"/>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本项目为</w:t>
                  </w:r>
                  <w:r>
                    <w:rPr>
                      <w:rFonts w:hint="eastAsia" w:cs="Times New Roman" w:eastAsiaTheme="minorEastAsia"/>
                      <w:color w:val="auto"/>
                      <w:sz w:val="21"/>
                      <w:szCs w:val="21"/>
                      <w:highlight w:val="none"/>
                      <w:lang w:val="en-US" w:eastAsia="zh-CN"/>
                    </w:rPr>
                    <w:t>复合微生物肥生产</w:t>
                  </w:r>
                  <w:r>
                    <w:rPr>
                      <w:rFonts w:hint="default" w:ascii="Times New Roman" w:hAnsi="Times New Roman" w:cs="Times New Roman" w:eastAsiaTheme="minorEastAsia"/>
                      <w:color w:val="auto"/>
                      <w:kern w:val="0"/>
                      <w:sz w:val="21"/>
                      <w:szCs w:val="21"/>
                      <w:highlight w:val="none"/>
                      <w:lang w:bidi="ar"/>
                    </w:rPr>
                    <w:t>项目，为</w:t>
                  </w:r>
                  <w:r>
                    <w:rPr>
                      <w:rFonts w:hint="eastAsia" w:cs="Times New Roman" w:eastAsiaTheme="minorEastAsia"/>
                      <w:color w:val="auto"/>
                      <w:kern w:val="0"/>
                      <w:sz w:val="21"/>
                      <w:szCs w:val="21"/>
                      <w:highlight w:val="none"/>
                      <w:lang w:val="en-US" w:eastAsia="zh-CN" w:bidi="ar"/>
                    </w:rPr>
                    <w:t>鼓励</w:t>
                  </w:r>
                  <w:r>
                    <w:rPr>
                      <w:rFonts w:hint="default" w:ascii="Times New Roman" w:hAnsi="Times New Roman" w:cs="Times New Roman" w:eastAsiaTheme="minorEastAsia"/>
                      <w:color w:val="auto"/>
                      <w:kern w:val="0"/>
                      <w:sz w:val="21"/>
                      <w:szCs w:val="21"/>
                      <w:highlight w:val="none"/>
                      <w:lang w:bidi="ar"/>
                    </w:rPr>
                    <w:t>类</w:t>
                  </w:r>
                  <w:r>
                    <w:rPr>
                      <w:rFonts w:hint="default" w:ascii="Times New Roman" w:hAnsi="Times New Roman" w:cs="Times New Roman" w:eastAsiaTheme="minorEastAsia"/>
                      <w:color w:val="auto"/>
                      <w:sz w:val="21"/>
                      <w:szCs w:val="21"/>
                      <w:highlight w:val="none"/>
                    </w:rPr>
                    <w:t>项</w:t>
                  </w:r>
                  <w:r>
                    <w:rPr>
                      <w:rFonts w:hint="default" w:ascii="Times New Roman" w:hAnsi="Times New Roman" w:cs="Times New Roman" w:eastAsiaTheme="minorEastAsia"/>
                      <w:color w:val="auto"/>
                      <w:kern w:val="0"/>
                      <w:sz w:val="21"/>
                      <w:szCs w:val="21"/>
                      <w:highlight w:val="none"/>
                      <w:lang w:bidi="ar"/>
                    </w:rPr>
                    <w:t>目，不属于</w:t>
                  </w:r>
                  <w:r>
                    <w:rPr>
                      <w:rFonts w:hint="default" w:ascii="Times New Roman" w:hAnsi="Times New Roman" w:cs="Times New Roman" w:eastAsiaTheme="minorEastAsia"/>
                      <w:color w:val="auto"/>
                      <w:sz w:val="21"/>
                      <w:szCs w:val="21"/>
                      <w:highlight w:val="none"/>
                    </w:rPr>
                    <w:t>高污染工业项目。</w:t>
                  </w:r>
                </w:p>
              </w:tc>
              <w:tc>
                <w:tcPr>
                  <w:tcW w:w="698" w:type="dxa"/>
                  <w:vAlign w:val="center"/>
                </w:tcPr>
                <w:p w14:paraId="4CA3BB48">
                  <w:pPr>
                    <w:keepNext w:val="0"/>
                    <w:keepLines w:val="0"/>
                    <w:pageBreakBefore w:val="0"/>
                    <w:kinsoku/>
                    <w:wordWrap/>
                    <w:overflowPunct/>
                    <w:topLinePunct w:val="0"/>
                    <w:autoSpaceDE/>
                    <w:autoSpaceDN/>
                    <w:bidi w:val="0"/>
                    <w:adjustRightInd/>
                    <w:snapToGrid/>
                    <w:spacing w:line="31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39BC6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7" w:hRule="atLeast"/>
                <w:jc w:val="center"/>
              </w:trPr>
              <w:tc>
                <w:tcPr>
                  <w:tcW w:w="5028" w:type="dxa"/>
                  <w:gridSpan w:val="2"/>
                  <w:vAlign w:val="center"/>
                </w:tcPr>
                <w:p w14:paraId="32482A4A">
                  <w:pPr>
                    <w:keepNext w:val="0"/>
                    <w:keepLines w:val="0"/>
                    <w:pageBreakBefore w:val="0"/>
                    <w:widowControl/>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lang w:eastAsia="zh-CN"/>
                    </w:rPr>
                    <w:t>2.</w:t>
                  </w:r>
                  <w:r>
                    <w:rPr>
                      <w:rFonts w:hint="default" w:ascii="Times New Roman" w:hAnsi="Times New Roman" w:cs="Times New Roman" w:eastAsiaTheme="minorEastAsia"/>
                      <w:color w:val="auto"/>
                      <w:sz w:val="21"/>
                      <w:szCs w:val="21"/>
                      <w:highlight w:val="none"/>
                    </w:rPr>
                    <w:t>淘汰落后产能。组织对牛栏江流域</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rPr>
                    <w:t>昆明段</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rPr>
                    <w:t>的工业企业进行全面排查，按照《产业结构调整指导目录》(2005本)和《国务院关于进一步加强淘汰落后产能工作的通知》（国发〔2010〕7号）的要求，坚决取缔淘汰不符合国家产业政策的落后产能和工艺设备。</w:t>
                  </w:r>
                </w:p>
              </w:tc>
              <w:tc>
                <w:tcPr>
                  <w:tcW w:w="2050" w:type="dxa"/>
                  <w:vAlign w:val="center"/>
                </w:tcPr>
                <w:p w14:paraId="1CCCB0B0">
                  <w:pPr>
                    <w:keepNext w:val="0"/>
                    <w:keepLines w:val="0"/>
                    <w:pageBreakBefore w:val="0"/>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本项目为</w:t>
                  </w:r>
                  <w:r>
                    <w:rPr>
                      <w:rFonts w:hint="eastAsia" w:cs="Times New Roman" w:eastAsiaTheme="minorEastAsia"/>
                      <w:color w:val="auto"/>
                      <w:sz w:val="21"/>
                      <w:szCs w:val="21"/>
                      <w:highlight w:val="none"/>
                      <w:lang w:val="en-US" w:eastAsia="zh-CN"/>
                    </w:rPr>
                    <w:t>复合微生物肥生产</w:t>
                  </w:r>
                  <w:r>
                    <w:rPr>
                      <w:rFonts w:hint="default" w:ascii="Times New Roman" w:hAnsi="Times New Roman" w:cs="Times New Roman" w:eastAsiaTheme="minorEastAsia"/>
                      <w:color w:val="auto"/>
                      <w:kern w:val="0"/>
                      <w:sz w:val="21"/>
                      <w:szCs w:val="21"/>
                      <w:highlight w:val="none"/>
                      <w:lang w:bidi="ar"/>
                    </w:rPr>
                    <w:t>项目，为</w:t>
                  </w:r>
                  <w:r>
                    <w:rPr>
                      <w:rFonts w:hint="eastAsia" w:cs="Times New Roman" w:eastAsiaTheme="minorEastAsia"/>
                      <w:color w:val="auto"/>
                      <w:kern w:val="0"/>
                      <w:sz w:val="21"/>
                      <w:szCs w:val="21"/>
                      <w:highlight w:val="none"/>
                      <w:lang w:val="en-US" w:eastAsia="zh-CN" w:bidi="ar"/>
                    </w:rPr>
                    <w:t>鼓励</w:t>
                  </w:r>
                  <w:r>
                    <w:rPr>
                      <w:rFonts w:hint="default" w:ascii="Times New Roman" w:hAnsi="Times New Roman" w:cs="Times New Roman" w:eastAsiaTheme="minorEastAsia"/>
                      <w:color w:val="auto"/>
                      <w:kern w:val="0"/>
                      <w:sz w:val="21"/>
                      <w:szCs w:val="21"/>
                      <w:highlight w:val="none"/>
                      <w:lang w:bidi="ar"/>
                    </w:rPr>
                    <w:t>类</w:t>
                  </w:r>
                  <w:r>
                    <w:rPr>
                      <w:rFonts w:hint="default" w:ascii="Times New Roman" w:hAnsi="Times New Roman" w:cs="Times New Roman" w:eastAsiaTheme="minorEastAsia"/>
                      <w:color w:val="auto"/>
                      <w:sz w:val="21"/>
                      <w:szCs w:val="21"/>
                      <w:highlight w:val="none"/>
                    </w:rPr>
                    <w:t>项</w:t>
                  </w:r>
                  <w:r>
                    <w:rPr>
                      <w:rFonts w:hint="default" w:ascii="Times New Roman" w:hAnsi="Times New Roman" w:cs="Times New Roman" w:eastAsiaTheme="minorEastAsia"/>
                      <w:color w:val="auto"/>
                      <w:kern w:val="0"/>
                      <w:sz w:val="21"/>
                      <w:szCs w:val="21"/>
                      <w:highlight w:val="none"/>
                      <w:lang w:bidi="ar"/>
                    </w:rPr>
                    <w:t>目，</w:t>
                  </w:r>
                  <w:r>
                    <w:rPr>
                      <w:rFonts w:hint="eastAsia" w:ascii="Times New Roman" w:hAnsi="Times New Roman" w:cs="Times New Roman" w:eastAsiaTheme="minorEastAsia"/>
                      <w:color w:val="auto"/>
                      <w:kern w:val="0"/>
                      <w:sz w:val="21"/>
                      <w:szCs w:val="21"/>
                      <w:highlight w:val="none"/>
                      <w:lang w:val="en-US" w:eastAsia="zh-CN" w:bidi="ar"/>
                    </w:rPr>
                    <w:t>不属于</w:t>
                  </w:r>
                  <w:r>
                    <w:rPr>
                      <w:rFonts w:hint="default" w:ascii="Times New Roman" w:hAnsi="Times New Roman" w:cs="Times New Roman" w:eastAsiaTheme="minorEastAsia"/>
                      <w:color w:val="auto"/>
                      <w:sz w:val="21"/>
                      <w:szCs w:val="21"/>
                      <w:highlight w:val="none"/>
                    </w:rPr>
                    <w:t>不符合国家产业政策的落后产能和工艺设备。</w:t>
                  </w:r>
                </w:p>
              </w:tc>
              <w:tc>
                <w:tcPr>
                  <w:tcW w:w="698" w:type="dxa"/>
                  <w:vAlign w:val="center"/>
                </w:tcPr>
                <w:p w14:paraId="54D88989">
                  <w:pPr>
                    <w:keepNext w:val="0"/>
                    <w:keepLines w:val="0"/>
                    <w:pageBreakBefore w:val="0"/>
                    <w:kinsoku/>
                    <w:wordWrap/>
                    <w:overflowPunct/>
                    <w:topLinePunct w:val="0"/>
                    <w:autoSpaceDE/>
                    <w:autoSpaceDN/>
                    <w:bidi w:val="0"/>
                    <w:adjustRightInd/>
                    <w:snapToGrid/>
                    <w:spacing w:line="31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1944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3" w:hRule="atLeast"/>
                <w:jc w:val="center"/>
              </w:trPr>
              <w:tc>
                <w:tcPr>
                  <w:tcW w:w="5028" w:type="dxa"/>
                  <w:gridSpan w:val="2"/>
                  <w:vAlign w:val="center"/>
                </w:tcPr>
                <w:p w14:paraId="44D54D4E">
                  <w:pPr>
                    <w:keepNext w:val="0"/>
                    <w:keepLines w:val="0"/>
                    <w:pageBreakBefore w:val="0"/>
                    <w:widowControl/>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lang w:eastAsia="zh-CN"/>
                    </w:rPr>
                    <w:t>3.</w:t>
                  </w:r>
                  <w:r>
                    <w:rPr>
                      <w:rFonts w:hint="default" w:ascii="Times New Roman" w:hAnsi="Times New Roman" w:cs="Times New Roman" w:eastAsiaTheme="minorEastAsia"/>
                      <w:color w:val="auto"/>
                      <w:sz w:val="21"/>
                      <w:szCs w:val="21"/>
                      <w:highlight w:val="none"/>
                    </w:rPr>
                    <w:t>持续开展清洁生产审核。新、改、扩建工业项目应采用先进的生产工艺和污染防治技术，其清洁生产水平应达到国家清洁生产标准中的国内先进水平；水源区内工业企业应于2012年底前全部实施清洁生产审核，并持续开展清洁生产工作，其清洁生产水平应达到清洁生产评价指标体系中“清洁生产企业”的要求。对牛栏江流域</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rPr>
                    <w:t>昆明段</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rPr>
                    <w:t>现有排放废水和废渣的重点工业企业实施强制性清洁生产审核，根据清洁生产审核结果进行限期整改，并通过验收，对未开展清洁生产审核工作的企业依法进行处罚。</w:t>
                  </w:r>
                </w:p>
              </w:tc>
              <w:tc>
                <w:tcPr>
                  <w:tcW w:w="2050" w:type="dxa"/>
                  <w:vAlign w:val="center"/>
                </w:tcPr>
                <w:p w14:paraId="757C8412">
                  <w:pPr>
                    <w:keepNext w:val="0"/>
                    <w:keepLines w:val="0"/>
                    <w:pageBreakBefore w:val="0"/>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本项目属于改建项目，针对生产过</w:t>
                  </w:r>
                  <w:r>
                    <w:rPr>
                      <w:rFonts w:hint="default" w:ascii="Times New Roman" w:hAnsi="Times New Roman" w:cs="Times New Roman" w:eastAsiaTheme="minorEastAsia"/>
                      <w:color w:val="auto"/>
                      <w:sz w:val="21"/>
                      <w:szCs w:val="21"/>
                      <w:highlight w:val="none"/>
                      <w:lang w:eastAsia="zh-CN"/>
                    </w:rPr>
                    <w:t>程中</w:t>
                  </w:r>
                  <w:r>
                    <w:rPr>
                      <w:rFonts w:hint="default" w:ascii="Times New Roman" w:hAnsi="Times New Roman" w:cs="Times New Roman" w:eastAsiaTheme="minorEastAsia"/>
                      <w:color w:val="auto"/>
                      <w:sz w:val="21"/>
                      <w:szCs w:val="21"/>
                      <w:highlight w:val="none"/>
                    </w:rPr>
                    <w:t>产生的废气均按照相关要求选取废气污染防治可行技术。</w:t>
                  </w:r>
                </w:p>
              </w:tc>
              <w:tc>
                <w:tcPr>
                  <w:tcW w:w="698" w:type="dxa"/>
                  <w:vAlign w:val="center"/>
                </w:tcPr>
                <w:p w14:paraId="39869598">
                  <w:pPr>
                    <w:keepNext w:val="0"/>
                    <w:keepLines w:val="0"/>
                    <w:pageBreakBefore w:val="0"/>
                    <w:kinsoku/>
                    <w:wordWrap/>
                    <w:overflowPunct/>
                    <w:topLinePunct w:val="0"/>
                    <w:autoSpaceDE/>
                    <w:autoSpaceDN/>
                    <w:bidi w:val="0"/>
                    <w:adjustRightInd/>
                    <w:snapToGrid/>
                    <w:spacing w:line="31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29EA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8" w:type="dxa"/>
                  <w:gridSpan w:val="2"/>
                  <w:vAlign w:val="center"/>
                </w:tcPr>
                <w:p w14:paraId="4C008613">
                  <w:pPr>
                    <w:keepNext w:val="0"/>
                    <w:keepLines w:val="0"/>
                    <w:pageBreakBefore w:val="0"/>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lang w:eastAsia="zh-CN"/>
                    </w:rPr>
                    <w:t>4.</w:t>
                  </w:r>
                  <w:r>
                    <w:rPr>
                      <w:rFonts w:hint="default" w:ascii="Times New Roman" w:hAnsi="Times New Roman" w:cs="Times New Roman" w:eastAsiaTheme="minorEastAsia"/>
                      <w:color w:val="auto"/>
                      <w:sz w:val="21"/>
                      <w:szCs w:val="21"/>
                      <w:highlight w:val="none"/>
                    </w:rPr>
                    <w:t>实现工业园区废水零排放。确保杨林工业园区污水处理厂稳定正常运行，建设再生水处理设施、雨污分流管网，2011年6月30日前实现杨林工业园区废水零排放。加快推进寻甸特色工业园区污水处理厂及配套管网建设，建设再生水处理设施、雨污分流管网，2011年6月30日前实现寻甸工业园区废水零排放。</w:t>
                  </w:r>
                </w:p>
              </w:tc>
              <w:tc>
                <w:tcPr>
                  <w:tcW w:w="2050" w:type="dxa"/>
                  <w:vAlign w:val="center"/>
                </w:tcPr>
                <w:p w14:paraId="5F1A827B">
                  <w:pPr>
                    <w:keepNext w:val="0"/>
                    <w:keepLines w:val="0"/>
                    <w:pageBreakBefore w:val="0"/>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项目产生的废污水依托现有废水处理系统处理后，排入寻甸县污水处理厂，不属于对水体污染严重的建设项目。</w:t>
                  </w:r>
                </w:p>
              </w:tc>
              <w:tc>
                <w:tcPr>
                  <w:tcW w:w="698" w:type="dxa"/>
                  <w:vAlign w:val="center"/>
                </w:tcPr>
                <w:p w14:paraId="6FCB7825">
                  <w:pPr>
                    <w:keepNext w:val="0"/>
                    <w:keepLines w:val="0"/>
                    <w:pageBreakBefore w:val="0"/>
                    <w:kinsoku/>
                    <w:wordWrap/>
                    <w:overflowPunct/>
                    <w:topLinePunct w:val="0"/>
                    <w:autoSpaceDE/>
                    <w:autoSpaceDN/>
                    <w:bidi w:val="0"/>
                    <w:adjustRightInd/>
                    <w:snapToGrid/>
                    <w:spacing w:line="31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34C0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5028" w:type="dxa"/>
                  <w:gridSpan w:val="2"/>
                  <w:vAlign w:val="center"/>
                </w:tcPr>
                <w:p w14:paraId="466CD3F2">
                  <w:pPr>
                    <w:keepNext w:val="0"/>
                    <w:keepLines w:val="0"/>
                    <w:pageBreakBefore w:val="0"/>
                    <w:widowControl/>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lang w:eastAsia="zh-CN"/>
                    </w:rPr>
                    <w:t>5.</w:t>
                  </w:r>
                  <w:r>
                    <w:rPr>
                      <w:rFonts w:hint="default" w:ascii="Times New Roman" w:hAnsi="Times New Roman" w:cs="Times New Roman" w:eastAsiaTheme="minorEastAsia"/>
                      <w:color w:val="auto"/>
                      <w:sz w:val="21"/>
                      <w:szCs w:val="21"/>
                      <w:highlight w:val="none"/>
                    </w:rPr>
                    <w:t>实现企业废水零排放。停止审批新增工业废水的项目。已有的合法工业企业应升级改造，于2011年12月31日前全面实现牛栏江流域</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rPr>
                    <w:t>昆明段</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rPr>
                    <w:t>工业废水零排放。</w:t>
                  </w:r>
                </w:p>
              </w:tc>
              <w:tc>
                <w:tcPr>
                  <w:tcW w:w="2050" w:type="dxa"/>
                  <w:vAlign w:val="center"/>
                </w:tcPr>
                <w:p w14:paraId="384A36C2">
                  <w:pPr>
                    <w:keepNext w:val="0"/>
                    <w:keepLines w:val="0"/>
                    <w:pageBreakBefore w:val="0"/>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项目产生的废污水依托现有废水处理系统处理后，排入寻甸县污水处理厂，不属于对水体污染严重的建设项目。</w:t>
                  </w:r>
                </w:p>
              </w:tc>
              <w:tc>
                <w:tcPr>
                  <w:tcW w:w="698" w:type="dxa"/>
                  <w:vAlign w:val="center"/>
                </w:tcPr>
                <w:p w14:paraId="679530CD">
                  <w:pPr>
                    <w:keepNext w:val="0"/>
                    <w:keepLines w:val="0"/>
                    <w:pageBreakBefore w:val="0"/>
                    <w:kinsoku/>
                    <w:wordWrap/>
                    <w:overflowPunct/>
                    <w:topLinePunct w:val="0"/>
                    <w:autoSpaceDE/>
                    <w:autoSpaceDN/>
                    <w:bidi w:val="0"/>
                    <w:adjustRightInd/>
                    <w:snapToGrid/>
                    <w:spacing w:line="31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391BE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jc w:val="center"/>
              </w:trPr>
              <w:tc>
                <w:tcPr>
                  <w:tcW w:w="504" w:type="dxa"/>
                  <w:vMerge w:val="restart"/>
                  <w:vAlign w:val="center"/>
                </w:tcPr>
                <w:p w14:paraId="5D143D91">
                  <w:pPr>
                    <w:keepNext w:val="0"/>
                    <w:keepLines w:val="0"/>
                    <w:pageBreakBefore w:val="0"/>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lang w:eastAsia="zh-CN"/>
                    </w:rPr>
                    <w:t>6.</w:t>
                  </w:r>
                  <w:r>
                    <w:rPr>
                      <w:rFonts w:hint="default" w:ascii="Times New Roman" w:hAnsi="Times New Roman" w:cs="Times New Roman" w:eastAsiaTheme="minorEastAsia"/>
                      <w:color w:val="auto"/>
                      <w:sz w:val="21"/>
                      <w:szCs w:val="21"/>
                      <w:highlight w:val="none"/>
                    </w:rPr>
                    <w:t>严格工业企业环境管理</w:t>
                  </w:r>
                </w:p>
              </w:tc>
              <w:tc>
                <w:tcPr>
                  <w:tcW w:w="4524" w:type="dxa"/>
                  <w:vAlign w:val="center"/>
                </w:tcPr>
                <w:p w14:paraId="1345A185">
                  <w:pPr>
                    <w:keepNext w:val="0"/>
                    <w:keepLines w:val="0"/>
                    <w:pageBreakBefore w:val="0"/>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（1）严格工业固体废弃物和危险废物管理，实现固体废弃物和危险废物安全处置。牛栏江流域</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rPr>
                    <w:t>昆明段</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rPr>
                    <w:t>所有排放固体废弃物和危险废物的企业，应按国家有关固体废弃物和危险废物安全处置的要求，对现有固体废弃物和危险废物堆场进行安全处置，特别是化工企业固体废弃物和危险废物的安全处置。新建固体废弃物和危险废物堆场必须达到国家有关固体废弃物和危险废物安全处置的要求。</w:t>
                  </w:r>
                </w:p>
              </w:tc>
              <w:tc>
                <w:tcPr>
                  <w:tcW w:w="2050" w:type="dxa"/>
                  <w:vAlign w:val="center"/>
                </w:tcPr>
                <w:p w14:paraId="22E17073">
                  <w:pPr>
                    <w:keepNext w:val="0"/>
                    <w:keepLines w:val="0"/>
                    <w:pageBreakBefore w:val="0"/>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本项目产生的工业固体废物均得到</w:t>
                  </w:r>
                  <w:r>
                    <w:rPr>
                      <w:rFonts w:hint="eastAsia" w:cs="Times New Roman" w:eastAsiaTheme="minorEastAsia"/>
                      <w:color w:val="auto"/>
                      <w:sz w:val="21"/>
                      <w:szCs w:val="21"/>
                      <w:highlight w:val="none"/>
                      <w:lang w:val="en-US" w:eastAsia="zh-CN"/>
                    </w:rPr>
                    <w:t>100%</w:t>
                  </w:r>
                  <w:r>
                    <w:rPr>
                      <w:rFonts w:hint="default" w:ascii="Times New Roman" w:hAnsi="Times New Roman" w:cs="Times New Roman" w:eastAsiaTheme="minorEastAsia"/>
                      <w:color w:val="auto"/>
                      <w:sz w:val="21"/>
                      <w:szCs w:val="21"/>
                      <w:highlight w:val="none"/>
                    </w:rPr>
                    <w:t>合理处置。</w:t>
                  </w:r>
                </w:p>
              </w:tc>
              <w:tc>
                <w:tcPr>
                  <w:tcW w:w="698" w:type="dxa"/>
                  <w:vAlign w:val="center"/>
                </w:tcPr>
                <w:p w14:paraId="2EB9A54D">
                  <w:pPr>
                    <w:keepNext w:val="0"/>
                    <w:keepLines w:val="0"/>
                    <w:pageBreakBefore w:val="0"/>
                    <w:kinsoku/>
                    <w:wordWrap/>
                    <w:overflowPunct/>
                    <w:topLinePunct w:val="0"/>
                    <w:autoSpaceDE/>
                    <w:autoSpaceDN/>
                    <w:bidi w:val="0"/>
                    <w:adjustRightInd/>
                    <w:snapToGrid/>
                    <w:spacing w:line="31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4865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jc w:val="center"/>
              </w:trPr>
              <w:tc>
                <w:tcPr>
                  <w:tcW w:w="504" w:type="dxa"/>
                  <w:vMerge w:val="continue"/>
                  <w:vAlign w:val="center"/>
                </w:tcPr>
                <w:p w14:paraId="670C1AA0">
                  <w:pPr>
                    <w:keepNext w:val="0"/>
                    <w:keepLines w:val="0"/>
                    <w:pageBreakBefore w:val="0"/>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p>
              </w:tc>
              <w:tc>
                <w:tcPr>
                  <w:tcW w:w="4524" w:type="dxa"/>
                  <w:vAlign w:val="center"/>
                </w:tcPr>
                <w:p w14:paraId="21A3D6A5">
                  <w:pPr>
                    <w:keepNext w:val="0"/>
                    <w:keepLines w:val="0"/>
                    <w:pageBreakBefore w:val="0"/>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（2）制定不同风险源的应急处理处置方案，形成应对突发污染事故应急处理处置能力。</w:t>
                  </w:r>
                </w:p>
              </w:tc>
              <w:tc>
                <w:tcPr>
                  <w:tcW w:w="2050" w:type="dxa"/>
                  <w:vAlign w:val="center"/>
                </w:tcPr>
                <w:p w14:paraId="30886D1C">
                  <w:pPr>
                    <w:keepNext w:val="0"/>
                    <w:keepLines w:val="0"/>
                    <w:pageBreakBefore w:val="0"/>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eastAsia" w:cs="Times New Roman" w:eastAsiaTheme="minorEastAsia"/>
                      <w:color w:val="auto"/>
                      <w:sz w:val="21"/>
                      <w:szCs w:val="21"/>
                      <w:highlight w:val="none"/>
                      <w:lang w:val="en-US" w:eastAsia="zh-CN"/>
                    </w:rPr>
                    <w:t>本次环评要求项目</w:t>
                  </w:r>
                  <w:r>
                    <w:rPr>
                      <w:rFonts w:hint="default" w:ascii="Times New Roman" w:hAnsi="Times New Roman" w:cs="Times New Roman" w:eastAsiaTheme="minorEastAsia"/>
                      <w:color w:val="auto"/>
                      <w:sz w:val="21"/>
                      <w:szCs w:val="21"/>
                      <w:highlight w:val="none"/>
                      <w:lang w:val="en-US" w:eastAsia="zh-CN"/>
                    </w:rPr>
                    <w:t>修编</w:t>
                  </w:r>
                  <w:r>
                    <w:rPr>
                      <w:rFonts w:hint="default" w:ascii="Times New Roman" w:hAnsi="Times New Roman" w:cs="Times New Roman" w:eastAsiaTheme="minorEastAsia"/>
                      <w:color w:val="auto"/>
                      <w:sz w:val="21"/>
                      <w:szCs w:val="21"/>
                      <w:highlight w:val="none"/>
                    </w:rPr>
                    <w:t>应急预案，以便应对突发环境事件。</w:t>
                  </w:r>
                </w:p>
              </w:tc>
              <w:tc>
                <w:tcPr>
                  <w:tcW w:w="698" w:type="dxa"/>
                  <w:vAlign w:val="center"/>
                </w:tcPr>
                <w:p w14:paraId="23E8E4DA">
                  <w:pPr>
                    <w:keepNext w:val="0"/>
                    <w:keepLines w:val="0"/>
                    <w:pageBreakBefore w:val="0"/>
                    <w:kinsoku/>
                    <w:wordWrap/>
                    <w:overflowPunct/>
                    <w:topLinePunct w:val="0"/>
                    <w:autoSpaceDE/>
                    <w:autoSpaceDN/>
                    <w:bidi w:val="0"/>
                    <w:adjustRightInd/>
                    <w:snapToGrid/>
                    <w:spacing w:line="31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r w14:paraId="3B20C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504" w:type="dxa"/>
                  <w:vMerge w:val="continue"/>
                  <w:vAlign w:val="center"/>
                </w:tcPr>
                <w:p w14:paraId="6EB8EB39">
                  <w:pPr>
                    <w:keepNext w:val="0"/>
                    <w:keepLines w:val="0"/>
                    <w:pageBreakBefore w:val="0"/>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p>
              </w:tc>
              <w:tc>
                <w:tcPr>
                  <w:tcW w:w="4524" w:type="dxa"/>
                  <w:vAlign w:val="center"/>
                </w:tcPr>
                <w:p w14:paraId="1E455373">
                  <w:pPr>
                    <w:keepNext w:val="0"/>
                    <w:keepLines w:val="0"/>
                    <w:pageBreakBefore w:val="0"/>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3）按照《昆明市人大常委会关于整治违法排污建立健全环境监管长效机制的决议》和《昆明市人民政府关于加强整治违法排污行为的实施意见》，持续开展违法排污行为整治，严厉打击违法排污，对违法排污行为依法从重处罚，直至关停、取缔。</w:t>
                  </w:r>
                </w:p>
              </w:tc>
              <w:tc>
                <w:tcPr>
                  <w:tcW w:w="2050" w:type="dxa"/>
                  <w:vAlign w:val="center"/>
                </w:tcPr>
                <w:p w14:paraId="6C46F85B">
                  <w:pPr>
                    <w:keepNext w:val="0"/>
                    <w:keepLines w:val="0"/>
                    <w:pageBreakBefore w:val="0"/>
                    <w:kinsoku/>
                    <w:wordWrap/>
                    <w:overflowPunct/>
                    <w:topLinePunct w:val="0"/>
                    <w:autoSpaceDE/>
                    <w:autoSpaceDN/>
                    <w:bidi w:val="0"/>
                    <w:adjustRightInd/>
                    <w:snapToGrid/>
                    <w:spacing w:line="31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本项目严格按照相关规定合法合规处置污染物，杜绝违法排污行为。</w:t>
                  </w:r>
                </w:p>
              </w:tc>
              <w:tc>
                <w:tcPr>
                  <w:tcW w:w="698" w:type="dxa"/>
                  <w:vAlign w:val="center"/>
                </w:tcPr>
                <w:p w14:paraId="40C4BC76">
                  <w:pPr>
                    <w:keepNext w:val="0"/>
                    <w:keepLines w:val="0"/>
                    <w:pageBreakBefore w:val="0"/>
                    <w:kinsoku/>
                    <w:wordWrap/>
                    <w:overflowPunct/>
                    <w:topLinePunct w:val="0"/>
                    <w:autoSpaceDE/>
                    <w:autoSpaceDN/>
                    <w:bidi w:val="0"/>
                    <w:adjustRightInd/>
                    <w:snapToGrid/>
                    <w:spacing w:line="31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符合</w:t>
                  </w:r>
                </w:p>
              </w:tc>
            </w:tr>
          </w:tbl>
          <w:p w14:paraId="4CBCC645">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color w:val="auto"/>
                <w:kern w:val="0"/>
                <w:sz w:val="24"/>
                <w:szCs w:val="24"/>
                <w:highlight w:val="none"/>
                <w:lang w:bidi="ar"/>
              </w:rPr>
              <w:t>综上分析，本项目符合</w:t>
            </w:r>
            <w:r>
              <w:rPr>
                <w:rFonts w:hint="default" w:ascii="Times New Roman" w:hAnsi="Times New Roman" w:cs="Times New Roman" w:eastAsiaTheme="minorEastAsia"/>
                <w:color w:val="auto"/>
                <w:sz w:val="24"/>
                <w:szCs w:val="24"/>
                <w:highlight w:val="none"/>
              </w:rPr>
              <w:t>《牛栏江流域（昆明段）水污染防治工作方案》的</w:t>
            </w:r>
            <w:r>
              <w:rPr>
                <w:rFonts w:hint="default" w:ascii="Times New Roman" w:hAnsi="Times New Roman" w:cs="Times New Roman" w:eastAsiaTheme="minorEastAsia"/>
                <w:color w:val="auto"/>
                <w:kern w:val="0"/>
                <w:sz w:val="24"/>
                <w:szCs w:val="24"/>
                <w:highlight w:val="none"/>
                <w:lang w:bidi="ar"/>
              </w:rPr>
              <w:t>相关要求。</w:t>
            </w:r>
          </w:p>
          <w:p w14:paraId="2EA3A42B">
            <w:pPr>
              <w:pStyle w:val="84"/>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1</w:t>
            </w:r>
            <w:r>
              <w:rPr>
                <w:rFonts w:hint="eastAsia" w:cs="Times New Roman" w:eastAsiaTheme="minorEastAsia"/>
                <w:b/>
                <w:bCs/>
                <w:color w:val="auto"/>
                <w:sz w:val="24"/>
                <w:szCs w:val="24"/>
                <w:highlight w:val="none"/>
                <w:lang w:val="en-US" w:eastAsia="zh-CN"/>
              </w:rPr>
              <w:t>2</w:t>
            </w:r>
            <w:r>
              <w:rPr>
                <w:rFonts w:hint="default" w:ascii="Times New Roman" w:hAnsi="Times New Roman" w:cs="Times New Roman" w:eastAsiaTheme="minorEastAsia"/>
                <w:b/>
                <w:bCs/>
                <w:color w:val="auto"/>
                <w:sz w:val="24"/>
                <w:szCs w:val="24"/>
                <w:highlight w:val="none"/>
              </w:rPr>
              <w:t>、与《中华人民共和国长江保护法》的相符性分析</w:t>
            </w:r>
          </w:p>
          <w:p w14:paraId="56DDD246">
            <w:pPr>
              <w:pStyle w:val="84"/>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根据《中华人民共和国长江保护法》中：“第二十六条 国家对长江流域河湖岸线实施特殊管制。国家长江流域协调机制统筹协调国务院自然资源、水行政、生态环境、住房和城乡建设、农业农村、交通运输、林业和草原等部门和长江流域省级人民政府划定河湖岸线保护范围，制定河湖岸线保护规划，严格控制岸线开发建设，促进岸线合理高效利用。</w:t>
            </w:r>
          </w:p>
          <w:p w14:paraId="16D89A4E">
            <w:pPr>
              <w:pStyle w:val="84"/>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禁止在长江干支流岸线一公里范围内新建、扩建化工园区和化工项目。禁止在长江干流岸线三公里范围内和重要支流岸线一公里范围内新建、改建、扩建尾矿库；但是以提升安全、生态环境保护水平为目的的改建除外。”</w:t>
            </w:r>
          </w:p>
          <w:p w14:paraId="0EA451C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本项目为</w:t>
            </w:r>
            <w:r>
              <w:rPr>
                <w:rFonts w:hint="eastAsia" w:cs="Times New Roman" w:eastAsiaTheme="minorEastAsia"/>
                <w:color w:val="auto"/>
                <w:kern w:val="0"/>
                <w:sz w:val="24"/>
                <w:szCs w:val="24"/>
                <w:highlight w:val="none"/>
                <w:lang w:eastAsia="zh-CN"/>
              </w:rPr>
              <w:t>复合微生物肥</w:t>
            </w:r>
            <w:r>
              <w:rPr>
                <w:rFonts w:hint="default" w:ascii="Times New Roman" w:hAnsi="Times New Roman" w:cs="Times New Roman" w:eastAsiaTheme="minorEastAsia"/>
                <w:color w:val="auto"/>
                <w:kern w:val="0"/>
                <w:sz w:val="24"/>
                <w:szCs w:val="24"/>
                <w:highlight w:val="none"/>
              </w:rPr>
              <w:t>料制造项目，不属于化工项目（非化工类型认定见附件1</w:t>
            </w:r>
            <w:r>
              <w:rPr>
                <w:rFonts w:hint="eastAsia" w:cs="Times New Roman" w:eastAsiaTheme="minorEastAsia"/>
                <w:color w:val="auto"/>
                <w:kern w:val="0"/>
                <w:sz w:val="24"/>
                <w:szCs w:val="24"/>
                <w:highlight w:val="none"/>
                <w:lang w:val="en-US" w:eastAsia="zh-CN"/>
              </w:rPr>
              <w:t>4</w:t>
            </w:r>
            <w:r>
              <w:rPr>
                <w:rFonts w:hint="default" w:ascii="Times New Roman" w:hAnsi="Times New Roman" w:cs="Times New Roman" w:eastAsiaTheme="minorEastAsia"/>
                <w:color w:val="auto"/>
                <w:kern w:val="0"/>
                <w:sz w:val="24"/>
                <w:szCs w:val="24"/>
                <w:highlight w:val="none"/>
              </w:rPr>
              <w:t>工信局关于项目类型认定情况说明）；不属于新建、改建、扩建尾矿库，不在长江干支流岸线1公里范围内，与《中华人民共和国长江保护法》相符。</w:t>
            </w:r>
          </w:p>
          <w:p w14:paraId="50E1A53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cs="Times New Roman" w:eastAsiaTheme="minorEastAsia"/>
                <w:b/>
                <w:bCs/>
                <w:color w:val="auto"/>
                <w:kern w:val="0"/>
                <w:sz w:val="24"/>
                <w:szCs w:val="24"/>
                <w:highlight w:val="none"/>
              </w:rPr>
            </w:pPr>
            <w:r>
              <w:rPr>
                <w:rFonts w:hint="default" w:ascii="Times New Roman" w:hAnsi="Times New Roman" w:cs="Times New Roman" w:eastAsiaTheme="minorEastAsia"/>
                <w:b/>
                <w:bCs/>
                <w:color w:val="auto"/>
                <w:kern w:val="0"/>
                <w:sz w:val="24"/>
                <w:szCs w:val="24"/>
                <w:highlight w:val="none"/>
              </w:rPr>
              <w:t>1</w:t>
            </w:r>
            <w:r>
              <w:rPr>
                <w:rFonts w:hint="eastAsia" w:cs="Times New Roman" w:eastAsiaTheme="minorEastAsia"/>
                <w:b/>
                <w:bCs/>
                <w:color w:val="auto"/>
                <w:kern w:val="0"/>
                <w:sz w:val="24"/>
                <w:szCs w:val="24"/>
                <w:highlight w:val="none"/>
                <w:lang w:val="en-US" w:eastAsia="zh-CN"/>
              </w:rPr>
              <w:t>3</w:t>
            </w:r>
            <w:r>
              <w:rPr>
                <w:rFonts w:hint="default" w:ascii="Times New Roman" w:hAnsi="Times New Roman" w:cs="Times New Roman" w:eastAsiaTheme="minorEastAsia"/>
                <w:b/>
                <w:bCs/>
                <w:color w:val="auto"/>
                <w:kern w:val="0"/>
                <w:sz w:val="24"/>
                <w:szCs w:val="24"/>
                <w:highlight w:val="none"/>
              </w:rPr>
              <w:t>、项目平面布置合理性分析</w:t>
            </w:r>
          </w:p>
          <w:p w14:paraId="7B8C2716">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本项目新增用地租用大法古村土地3.6亩，进行</w:t>
            </w:r>
            <w:r>
              <w:rPr>
                <w:rFonts w:hint="eastAsia" w:cs="Times New Roman" w:eastAsiaTheme="minorEastAsia"/>
                <w:color w:val="auto"/>
                <w:kern w:val="0"/>
                <w:sz w:val="24"/>
                <w:szCs w:val="24"/>
                <w:highlight w:val="none"/>
                <w:lang w:val="en-US" w:eastAsia="zh-CN"/>
              </w:rPr>
              <w:t>固体复合微生物肥料</w:t>
            </w:r>
            <w:r>
              <w:rPr>
                <w:rFonts w:hint="default" w:ascii="Times New Roman" w:hAnsi="Times New Roman" w:cs="Times New Roman" w:eastAsiaTheme="minorEastAsia"/>
                <w:color w:val="auto"/>
                <w:kern w:val="0"/>
                <w:sz w:val="24"/>
                <w:szCs w:val="24"/>
                <w:highlight w:val="none"/>
              </w:rPr>
              <w:t>生产车间的建设。</w:t>
            </w:r>
            <w:r>
              <w:rPr>
                <w:rFonts w:hint="eastAsia" w:cs="Times New Roman" w:eastAsiaTheme="minorEastAsia"/>
                <w:color w:val="auto"/>
                <w:kern w:val="0"/>
                <w:sz w:val="24"/>
                <w:szCs w:val="24"/>
                <w:highlight w:val="none"/>
                <w:lang w:val="en-US" w:eastAsia="zh-CN"/>
              </w:rPr>
              <w:t>液体复合微生物肥料</w:t>
            </w:r>
            <w:r>
              <w:rPr>
                <w:rFonts w:hint="default" w:ascii="Times New Roman" w:hAnsi="Times New Roman" w:cs="Times New Roman" w:eastAsiaTheme="minorEastAsia"/>
                <w:color w:val="auto"/>
                <w:kern w:val="0"/>
                <w:sz w:val="24"/>
                <w:szCs w:val="24"/>
                <w:highlight w:val="none"/>
              </w:rPr>
              <w:t>生产区域依托现云南锦创环境科技有限公司果蔬废弃物处理项目厂房内闲置区域，污水处理站旁空地，目前地面已硬化，租用自寻甸回族彝族自治县仁德街道办事处。</w:t>
            </w:r>
          </w:p>
          <w:p w14:paraId="1A59135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eastAsiaTheme="minorEastAsia"/>
                <w:color w:val="auto"/>
                <w:kern w:val="0"/>
                <w:sz w:val="24"/>
                <w:szCs w:val="24"/>
                <w:highlight w:val="none"/>
              </w:rPr>
            </w:pPr>
            <w:r>
              <w:rPr>
                <w:rFonts w:hint="eastAsia" w:cs="Times New Roman" w:eastAsiaTheme="minorEastAsia"/>
                <w:color w:val="auto"/>
                <w:kern w:val="0"/>
                <w:sz w:val="24"/>
                <w:szCs w:val="24"/>
                <w:highlight w:val="none"/>
                <w:lang w:val="en-US" w:eastAsia="zh-CN"/>
              </w:rPr>
              <w:t>固体复合微生物肥料</w:t>
            </w:r>
            <w:r>
              <w:rPr>
                <w:rFonts w:hint="default" w:ascii="Times New Roman" w:hAnsi="Times New Roman" w:cs="Times New Roman" w:eastAsiaTheme="minorEastAsia"/>
                <w:color w:val="auto"/>
                <w:kern w:val="0"/>
                <w:sz w:val="24"/>
                <w:szCs w:val="24"/>
                <w:highlight w:val="none"/>
              </w:rPr>
              <w:t>生产车间项目区内由北至南分别为原料区、生产线、产品区，分区简单合理，满足生产需要。</w:t>
            </w:r>
            <w:r>
              <w:rPr>
                <w:rFonts w:hint="eastAsia" w:cs="Times New Roman" w:eastAsiaTheme="minorEastAsia"/>
                <w:color w:val="auto"/>
                <w:kern w:val="0"/>
                <w:sz w:val="24"/>
                <w:szCs w:val="24"/>
                <w:highlight w:val="none"/>
                <w:lang w:val="en-US" w:eastAsia="zh-CN"/>
              </w:rPr>
              <w:t>液体复合微生物肥料</w:t>
            </w:r>
            <w:r>
              <w:rPr>
                <w:rFonts w:hint="default" w:ascii="Times New Roman" w:hAnsi="Times New Roman" w:cs="Times New Roman" w:eastAsiaTheme="minorEastAsia"/>
                <w:color w:val="auto"/>
                <w:kern w:val="0"/>
                <w:sz w:val="24"/>
                <w:szCs w:val="24"/>
                <w:highlight w:val="none"/>
              </w:rPr>
              <w:t>生产区域由北至南分别为操作平台（包含罐装区、储存罐、搅拌罐、发酵罐）、原料区及成品区，分区简单合理，满足生产需要。宿舍楼依托位于</w:t>
            </w:r>
            <w:r>
              <w:rPr>
                <w:rFonts w:hint="eastAsia" w:cs="Times New Roman" w:eastAsiaTheme="minorEastAsia"/>
                <w:color w:val="auto"/>
                <w:kern w:val="0"/>
                <w:sz w:val="24"/>
                <w:szCs w:val="24"/>
                <w:highlight w:val="none"/>
                <w:lang w:val="en-US" w:eastAsia="zh-CN"/>
              </w:rPr>
              <w:t>固体</w:t>
            </w:r>
            <w:r>
              <w:rPr>
                <w:rFonts w:hint="eastAsia" w:cs="Times New Roman" w:eastAsiaTheme="minorEastAsia"/>
                <w:color w:val="auto"/>
                <w:kern w:val="0"/>
                <w:sz w:val="24"/>
                <w:szCs w:val="24"/>
                <w:highlight w:val="none"/>
                <w:lang w:eastAsia="zh-CN"/>
              </w:rPr>
              <w:t>复合微生物肥</w:t>
            </w:r>
            <w:r>
              <w:rPr>
                <w:rFonts w:hint="default" w:ascii="Times New Roman" w:hAnsi="Times New Roman" w:cs="Times New Roman" w:eastAsiaTheme="minorEastAsia"/>
                <w:color w:val="auto"/>
                <w:kern w:val="0"/>
                <w:sz w:val="24"/>
                <w:szCs w:val="24"/>
                <w:highlight w:val="none"/>
              </w:rPr>
              <w:t>生产车间东北侧，项目废气排放对厂内员工影响不大，</w:t>
            </w:r>
            <w:r>
              <w:rPr>
                <w:rFonts w:hint="eastAsia" w:cs="Times New Roman" w:eastAsiaTheme="minorEastAsia"/>
                <w:color w:val="auto"/>
                <w:kern w:val="0"/>
                <w:sz w:val="24"/>
                <w:szCs w:val="24"/>
                <w:highlight w:val="none"/>
                <w:lang w:val="en-US" w:eastAsia="zh-CN"/>
              </w:rPr>
              <w:t>本项目敏感点集中分布于</w:t>
            </w:r>
            <w:r>
              <w:rPr>
                <w:rFonts w:hint="default" w:ascii="Times New Roman" w:hAnsi="Times New Roman" w:cs="Times New Roman" w:eastAsiaTheme="minorEastAsia"/>
                <w:color w:val="auto"/>
                <w:kern w:val="0"/>
                <w:sz w:val="24"/>
                <w:szCs w:val="24"/>
                <w:highlight w:val="none"/>
              </w:rPr>
              <w:t>项目</w:t>
            </w:r>
            <w:r>
              <w:rPr>
                <w:rFonts w:hint="eastAsia" w:cs="Times New Roman" w:eastAsiaTheme="minorEastAsia"/>
                <w:color w:val="auto"/>
                <w:kern w:val="0"/>
                <w:sz w:val="24"/>
                <w:szCs w:val="24"/>
                <w:highlight w:val="none"/>
                <w:lang w:val="en-US" w:eastAsia="zh-CN"/>
              </w:rPr>
              <w:t>上风向，</w:t>
            </w:r>
            <w:r>
              <w:rPr>
                <w:rFonts w:hint="default" w:ascii="Times New Roman" w:hAnsi="Times New Roman" w:cs="Times New Roman" w:eastAsiaTheme="minorEastAsia"/>
                <w:color w:val="auto"/>
                <w:kern w:val="0"/>
                <w:sz w:val="24"/>
                <w:szCs w:val="24"/>
                <w:highlight w:val="none"/>
              </w:rPr>
              <w:t>项目废气经大气扩散后对周边环境影响较小。</w:t>
            </w:r>
          </w:p>
          <w:p w14:paraId="430B7147">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综上，项目总平面布置合理。</w:t>
            </w:r>
          </w:p>
          <w:p w14:paraId="4AC47DB7">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color w:val="auto"/>
                <w:kern w:val="0"/>
                <w:sz w:val="21"/>
                <w:szCs w:val="21"/>
                <w:highlight w:val="none"/>
              </w:rPr>
            </w:pPr>
            <w:r>
              <w:rPr>
                <w:rFonts w:hint="default" w:ascii="Times New Roman" w:hAnsi="Times New Roman" w:cs="Times New Roman" w:eastAsiaTheme="minorEastAsia"/>
                <w:color w:val="auto"/>
                <w:sz w:val="24"/>
                <w:szCs w:val="24"/>
                <w:highlight w:val="none"/>
              </w:rPr>
              <w:t>项目区平面布置图详见附图5、附图6。</w:t>
            </w:r>
          </w:p>
        </w:tc>
      </w:tr>
    </w:tbl>
    <w:p w14:paraId="7857C95C">
      <w:pPr>
        <w:rPr>
          <w:rFonts w:hint="eastAsia" w:ascii="黑体" w:hAnsi="黑体" w:eastAsia="黑体"/>
          <w:color w:val="auto"/>
          <w:kern w:val="0"/>
          <w:sz w:val="30"/>
          <w:szCs w:val="30"/>
          <w:highlight w:val="none"/>
        </w:rPr>
      </w:pPr>
      <w:bookmarkStart w:id="24" w:name="_Toc22797"/>
      <w:bookmarkStart w:id="25" w:name="_Toc2635"/>
      <w:r>
        <w:rPr>
          <w:rFonts w:hint="eastAsia" w:ascii="黑体" w:hAnsi="黑体" w:eastAsia="黑体"/>
          <w:color w:val="auto"/>
          <w:kern w:val="0"/>
          <w:sz w:val="30"/>
          <w:szCs w:val="30"/>
          <w:highlight w:val="none"/>
        </w:rPr>
        <w:br w:type="page"/>
      </w:r>
    </w:p>
    <w:p w14:paraId="5AD4B526">
      <w:pPr>
        <w:pStyle w:val="44"/>
        <w:widowControl w:val="0"/>
        <w:jc w:val="center"/>
        <w:outlineLvl w:val="0"/>
        <w:rPr>
          <w:rFonts w:hint="eastAsia" w:ascii="黑体" w:hAnsi="黑体" w:eastAsia="黑体"/>
          <w:color w:val="auto"/>
          <w:kern w:val="0"/>
          <w:sz w:val="30"/>
          <w:szCs w:val="30"/>
          <w:highlight w:val="none"/>
        </w:rPr>
      </w:pPr>
      <w:bookmarkStart w:id="26" w:name="_Toc30114"/>
      <w:bookmarkStart w:id="27" w:name="_Toc416"/>
      <w:r>
        <w:rPr>
          <w:rFonts w:hint="eastAsia" w:ascii="黑体" w:hAnsi="黑体" w:eastAsia="黑体"/>
          <w:color w:val="auto"/>
          <w:kern w:val="0"/>
          <w:sz w:val="30"/>
          <w:szCs w:val="30"/>
          <w:highlight w:val="none"/>
        </w:rPr>
        <w:t>二、建设项目工程分析</w:t>
      </w:r>
      <w:bookmarkEnd w:id="24"/>
      <w:bookmarkEnd w:id="25"/>
      <w:bookmarkEnd w:id="26"/>
      <w:bookmarkEnd w:id="27"/>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1"/>
        <w:gridCol w:w="8837"/>
      </w:tblGrid>
      <w:tr w14:paraId="4AA85C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90" w:hRule="atLeast"/>
          <w:jc w:val="center"/>
        </w:trPr>
        <w:tc>
          <w:tcPr>
            <w:tcW w:w="741" w:type="dxa"/>
            <w:vAlign w:val="center"/>
          </w:tcPr>
          <w:p w14:paraId="2D364DD8">
            <w:pPr>
              <w:pStyle w:val="44"/>
              <w:widowControl w:val="0"/>
              <w:spacing w:before="0" w:beforeAutospacing="0" w:after="0" w:afterAutospacing="0"/>
              <w:jc w:val="center"/>
              <w:rPr>
                <w:rFonts w:ascii="Times New Roman" w:hAnsi="Times New Roman"/>
                <w:color w:val="auto"/>
                <w:kern w:val="0"/>
                <w:sz w:val="21"/>
                <w:szCs w:val="21"/>
                <w:highlight w:val="none"/>
              </w:rPr>
            </w:pPr>
            <w:r>
              <w:rPr>
                <w:rFonts w:ascii="Times New Roman" w:hAnsi="Times New Roman"/>
                <w:color w:val="auto"/>
                <w:kern w:val="0"/>
                <w:highlight w:val="none"/>
              </w:rPr>
              <w:t>建设内容</w:t>
            </w:r>
          </w:p>
        </w:tc>
        <w:tc>
          <w:tcPr>
            <w:tcW w:w="8547" w:type="dxa"/>
          </w:tcPr>
          <w:p w14:paraId="24EB0E0C">
            <w:pPr>
              <w:keepNext w:val="0"/>
              <w:keepLines w:val="0"/>
              <w:pageBreakBefore w:val="0"/>
              <w:widowControl w:val="0"/>
              <w:kinsoku/>
              <w:wordWrap/>
              <w:overflowPunct/>
              <w:topLinePunct w:val="0"/>
              <w:autoSpaceDE/>
              <w:autoSpaceDN/>
              <w:bidi w:val="0"/>
              <w:spacing w:line="440" w:lineRule="exact"/>
              <w:textAlignment w:val="auto"/>
              <w:rPr>
                <w:rFonts w:hint="default" w:ascii="Times New Roman" w:hAnsi="Times New Roman" w:cs="Times New Roman" w:eastAsiaTheme="minorEastAsia"/>
                <w:b/>
                <w:color w:val="auto"/>
                <w:kern w:val="0"/>
                <w:sz w:val="24"/>
                <w:szCs w:val="24"/>
                <w:highlight w:val="none"/>
              </w:rPr>
            </w:pPr>
            <w:r>
              <w:rPr>
                <w:rFonts w:hint="default" w:ascii="Times New Roman" w:hAnsi="Times New Roman" w:cs="Times New Roman" w:eastAsiaTheme="minorEastAsia"/>
                <w:b/>
                <w:color w:val="auto"/>
                <w:kern w:val="0"/>
                <w:sz w:val="24"/>
                <w:szCs w:val="24"/>
                <w:highlight w:val="none"/>
                <w:lang w:val="en-US" w:eastAsia="zh-CN"/>
              </w:rPr>
              <w:t>1</w:t>
            </w:r>
            <w:r>
              <w:rPr>
                <w:rFonts w:hint="default" w:ascii="Times New Roman" w:hAnsi="Times New Roman" w:cs="Times New Roman" w:eastAsiaTheme="minorEastAsia"/>
                <w:b/>
                <w:color w:val="auto"/>
                <w:kern w:val="0"/>
                <w:sz w:val="24"/>
                <w:szCs w:val="24"/>
                <w:highlight w:val="none"/>
              </w:rPr>
              <w:t>、建设项目内容及项目组成</w:t>
            </w:r>
          </w:p>
          <w:p w14:paraId="6886B2AE">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eastAsia" w:ascii="Times New Roman" w:hAnsi="Times New Roman" w:cs="Times New Roman" w:eastAsiaTheme="minorEastAsia"/>
                <w:color w:val="auto"/>
                <w:sz w:val="24"/>
                <w:szCs w:val="24"/>
                <w:highlight w:val="none"/>
                <w:lang w:eastAsia="zh-CN"/>
              </w:rPr>
            </w:pPr>
            <w:r>
              <w:rPr>
                <w:rFonts w:hint="default" w:ascii="Times New Roman" w:hAnsi="Times New Roman" w:cs="Times New Roman" w:eastAsiaTheme="minorEastAsia"/>
                <w:b/>
                <w:color w:val="auto"/>
                <w:sz w:val="24"/>
                <w:szCs w:val="24"/>
                <w:highlight w:val="none"/>
              </w:rPr>
              <w:t>项目名称：</w:t>
            </w:r>
            <w:r>
              <w:rPr>
                <w:rFonts w:hint="default" w:ascii="Times New Roman" w:hAnsi="Times New Roman" w:cs="Times New Roman" w:eastAsiaTheme="minorEastAsia"/>
                <w:color w:val="auto"/>
                <w:sz w:val="24"/>
                <w:szCs w:val="24"/>
                <w:highlight w:val="none"/>
              </w:rPr>
              <w:t>云南錦创环境科技有限公司改扩建</w:t>
            </w:r>
            <w:r>
              <w:rPr>
                <w:rFonts w:hint="eastAsia" w:cs="Times New Roman" w:eastAsiaTheme="minorEastAsia"/>
                <w:color w:val="auto"/>
                <w:sz w:val="24"/>
                <w:szCs w:val="24"/>
                <w:highlight w:val="none"/>
                <w:lang w:eastAsia="zh-CN"/>
              </w:rPr>
              <w:t>；</w:t>
            </w:r>
          </w:p>
          <w:p w14:paraId="1281B2A0">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eastAsia" w:ascii="Times New Roman" w:hAnsi="Times New Roman" w:cs="Times New Roman" w:eastAsiaTheme="minorEastAsia"/>
                <w:bCs/>
                <w:color w:val="auto"/>
                <w:sz w:val="24"/>
                <w:szCs w:val="24"/>
                <w:highlight w:val="none"/>
                <w:lang w:eastAsia="zh-CN"/>
              </w:rPr>
            </w:pPr>
            <w:r>
              <w:rPr>
                <w:rFonts w:hint="default" w:ascii="Times New Roman" w:hAnsi="Times New Roman" w:cs="Times New Roman" w:eastAsiaTheme="minorEastAsia"/>
                <w:b/>
                <w:color w:val="auto"/>
                <w:sz w:val="24"/>
                <w:szCs w:val="24"/>
                <w:highlight w:val="none"/>
              </w:rPr>
              <w:t>项目性质：</w:t>
            </w:r>
            <w:r>
              <w:rPr>
                <w:rFonts w:hint="default" w:ascii="Times New Roman" w:hAnsi="Times New Roman" w:cs="Times New Roman" w:eastAsiaTheme="minorEastAsia"/>
                <w:bCs/>
                <w:color w:val="auto"/>
                <w:sz w:val="24"/>
                <w:szCs w:val="24"/>
                <w:highlight w:val="none"/>
              </w:rPr>
              <w:t>扩建</w:t>
            </w:r>
            <w:r>
              <w:rPr>
                <w:rFonts w:hint="eastAsia" w:cs="Times New Roman" w:eastAsiaTheme="minorEastAsia"/>
                <w:bCs/>
                <w:color w:val="auto"/>
                <w:sz w:val="24"/>
                <w:szCs w:val="24"/>
                <w:highlight w:val="none"/>
                <w:lang w:eastAsia="zh-CN"/>
              </w:rPr>
              <w:t>；</w:t>
            </w:r>
          </w:p>
          <w:p w14:paraId="14AE6FCE">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eastAsia" w:ascii="Times New Roman" w:hAnsi="Times New Roman" w:cs="Times New Roman" w:eastAsiaTheme="minorEastAsia"/>
                <w:bCs/>
                <w:color w:val="auto"/>
                <w:sz w:val="24"/>
                <w:szCs w:val="24"/>
                <w:highlight w:val="none"/>
                <w:lang w:eastAsia="zh-CN"/>
              </w:rPr>
            </w:pPr>
            <w:r>
              <w:rPr>
                <w:rFonts w:hint="default" w:ascii="Times New Roman" w:hAnsi="Times New Roman" w:cs="Times New Roman" w:eastAsiaTheme="minorEastAsia"/>
                <w:b/>
                <w:color w:val="auto"/>
                <w:sz w:val="24"/>
                <w:szCs w:val="24"/>
                <w:highlight w:val="none"/>
              </w:rPr>
              <w:t>建设单位：</w:t>
            </w:r>
            <w:r>
              <w:rPr>
                <w:rFonts w:hint="default" w:ascii="Times New Roman" w:hAnsi="Times New Roman" w:cs="Times New Roman" w:eastAsiaTheme="minorEastAsia"/>
                <w:color w:val="auto"/>
                <w:sz w:val="24"/>
                <w:szCs w:val="24"/>
                <w:highlight w:val="none"/>
              </w:rPr>
              <w:t>云南錦创环境科技有限公司</w:t>
            </w:r>
            <w:r>
              <w:rPr>
                <w:rFonts w:hint="eastAsia" w:cs="Times New Roman" w:eastAsiaTheme="minorEastAsia"/>
                <w:color w:val="auto"/>
                <w:sz w:val="24"/>
                <w:szCs w:val="24"/>
                <w:highlight w:val="none"/>
                <w:lang w:eastAsia="zh-CN"/>
              </w:rPr>
              <w:t>；</w:t>
            </w:r>
          </w:p>
          <w:p w14:paraId="0303F6D9">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eastAsia" w:ascii="Times New Roman" w:hAnsi="Times New Roman" w:cs="Times New Roman" w:eastAsiaTheme="minorEastAsia"/>
                <w:bCs/>
                <w:color w:val="auto"/>
                <w:sz w:val="24"/>
                <w:szCs w:val="24"/>
                <w:highlight w:val="none"/>
                <w:lang w:eastAsia="zh-CN"/>
              </w:rPr>
            </w:pPr>
            <w:r>
              <w:rPr>
                <w:rFonts w:hint="default" w:ascii="Times New Roman" w:hAnsi="Times New Roman" w:cs="Times New Roman" w:eastAsiaTheme="minorEastAsia"/>
                <w:b/>
                <w:color w:val="auto"/>
                <w:sz w:val="24"/>
                <w:szCs w:val="24"/>
                <w:highlight w:val="none"/>
              </w:rPr>
              <w:t>建设地点：</w:t>
            </w:r>
            <w:r>
              <w:rPr>
                <w:rFonts w:hint="default" w:ascii="Times New Roman" w:hAnsi="Times New Roman" w:cs="Times New Roman" w:eastAsiaTheme="minorEastAsia"/>
                <w:bCs/>
                <w:color w:val="auto"/>
                <w:sz w:val="24"/>
                <w:szCs w:val="24"/>
                <w:highlight w:val="none"/>
              </w:rPr>
              <w:t>仁德街道道院社区大法古村</w:t>
            </w:r>
            <w:r>
              <w:rPr>
                <w:rFonts w:hint="eastAsia" w:cs="Times New Roman" w:eastAsiaTheme="minorEastAsia"/>
                <w:bCs/>
                <w:color w:val="auto"/>
                <w:sz w:val="24"/>
                <w:szCs w:val="24"/>
                <w:highlight w:val="none"/>
                <w:lang w:eastAsia="zh-CN"/>
              </w:rPr>
              <w:t>；</w:t>
            </w:r>
          </w:p>
          <w:p w14:paraId="5627E8D5">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eastAsia" w:cs="Times New Roman" w:eastAsiaTheme="minorEastAsia"/>
                <w:bCs/>
                <w:color w:val="auto"/>
                <w:sz w:val="24"/>
                <w:szCs w:val="24"/>
                <w:highlight w:val="none"/>
                <w:lang w:eastAsia="zh-CN"/>
              </w:rPr>
            </w:pPr>
            <w:r>
              <w:rPr>
                <w:rFonts w:hint="default" w:ascii="Times New Roman" w:hAnsi="Times New Roman" w:cs="Times New Roman" w:eastAsiaTheme="minorEastAsia"/>
                <w:b/>
                <w:color w:val="auto"/>
                <w:sz w:val="24"/>
                <w:szCs w:val="24"/>
                <w:highlight w:val="none"/>
              </w:rPr>
              <w:t>项目投资：</w:t>
            </w:r>
            <w:r>
              <w:rPr>
                <w:rFonts w:hint="default" w:ascii="Times New Roman" w:hAnsi="Times New Roman" w:cs="Times New Roman" w:eastAsiaTheme="minorEastAsia"/>
                <w:bCs/>
                <w:color w:val="auto"/>
                <w:sz w:val="24"/>
                <w:szCs w:val="24"/>
                <w:highlight w:val="none"/>
              </w:rPr>
              <w:t>520万元，其中环保投资</w:t>
            </w:r>
            <w:r>
              <w:rPr>
                <w:rFonts w:hint="eastAsia" w:cs="Times New Roman" w:eastAsiaTheme="minorEastAsia"/>
                <w:color w:val="auto"/>
                <w:sz w:val="24"/>
                <w:szCs w:val="24"/>
                <w:highlight w:val="none"/>
                <w:lang w:val="en-US" w:eastAsia="zh-CN"/>
              </w:rPr>
              <w:t>59.9</w:t>
            </w:r>
            <w:r>
              <w:rPr>
                <w:rFonts w:hint="default" w:ascii="Times New Roman" w:hAnsi="Times New Roman" w:cs="Times New Roman" w:eastAsiaTheme="minorEastAsia"/>
                <w:bCs/>
                <w:color w:val="auto"/>
                <w:sz w:val="24"/>
                <w:szCs w:val="24"/>
                <w:highlight w:val="none"/>
              </w:rPr>
              <w:t>万元，占总投资</w:t>
            </w:r>
            <w:r>
              <w:rPr>
                <w:rFonts w:hint="eastAsia" w:cs="Times New Roman" w:eastAsiaTheme="minorEastAsia"/>
                <w:bCs/>
                <w:color w:val="auto"/>
                <w:sz w:val="24"/>
                <w:szCs w:val="24"/>
                <w:highlight w:val="none"/>
                <w:lang w:val="en-US" w:eastAsia="zh-CN"/>
              </w:rPr>
              <w:t>11.5</w:t>
            </w:r>
            <w:r>
              <w:rPr>
                <w:rFonts w:hint="default" w:ascii="Times New Roman" w:hAnsi="Times New Roman" w:cs="Times New Roman" w:eastAsiaTheme="minorEastAsia"/>
                <w:bCs/>
                <w:color w:val="auto"/>
                <w:sz w:val="24"/>
                <w:szCs w:val="24"/>
                <w:highlight w:val="none"/>
              </w:rPr>
              <w:t>%</w:t>
            </w:r>
            <w:r>
              <w:rPr>
                <w:rFonts w:hint="eastAsia" w:cs="Times New Roman" w:eastAsiaTheme="minorEastAsia"/>
                <w:bCs/>
                <w:color w:val="auto"/>
                <w:sz w:val="24"/>
                <w:szCs w:val="24"/>
                <w:highlight w:val="none"/>
                <w:lang w:eastAsia="zh-CN"/>
              </w:rPr>
              <w:t>；</w:t>
            </w:r>
          </w:p>
          <w:p w14:paraId="4A555FB6">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cs="Times New Roman" w:eastAsiaTheme="minorEastAsia"/>
                <w:b w:val="0"/>
                <w:bCs/>
                <w:color w:val="auto"/>
                <w:kern w:val="0"/>
                <w:sz w:val="24"/>
                <w:szCs w:val="24"/>
                <w:highlight w:val="none"/>
                <w:lang w:val="en-US" w:eastAsia="zh-CN"/>
              </w:rPr>
            </w:pPr>
            <w:r>
              <w:rPr>
                <w:rFonts w:hint="eastAsia" w:cs="Times New Roman" w:eastAsiaTheme="minorEastAsia"/>
                <w:b/>
                <w:color w:val="auto"/>
                <w:kern w:val="0"/>
                <w:sz w:val="24"/>
                <w:szCs w:val="24"/>
                <w:highlight w:val="none"/>
                <w:lang w:val="en-US" w:eastAsia="zh-CN"/>
              </w:rPr>
              <w:t>占地面积：</w:t>
            </w:r>
            <w:r>
              <w:rPr>
                <w:rFonts w:hint="eastAsia" w:cs="Times New Roman" w:eastAsiaTheme="minorEastAsia"/>
                <w:b w:val="0"/>
                <w:bCs/>
                <w:color w:val="auto"/>
                <w:kern w:val="0"/>
                <w:sz w:val="24"/>
                <w:szCs w:val="24"/>
                <w:highlight w:val="none"/>
                <w:lang w:val="en-US" w:eastAsia="zh-CN"/>
              </w:rPr>
              <w:t>本项目扩建固体复合微生物肥料生产线和液体复合微生物肥料生产线各1条；其中液体复合微生物肥料生产车间占地500m</w:t>
            </w:r>
            <w:r>
              <w:rPr>
                <w:rFonts w:hint="eastAsia" w:cs="Times New Roman" w:eastAsiaTheme="minorEastAsia"/>
                <w:b w:val="0"/>
                <w:bCs/>
                <w:color w:val="auto"/>
                <w:kern w:val="0"/>
                <w:sz w:val="24"/>
                <w:szCs w:val="24"/>
                <w:highlight w:val="none"/>
                <w:vertAlign w:val="superscript"/>
                <w:lang w:val="en-US" w:eastAsia="zh-CN"/>
              </w:rPr>
              <w:t>2</w:t>
            </w:r>
            <w:r>
              <w:rPr>
                <w:rFonts w:hint="eastAsia" w:cs="Times New Roman" w:eastAsiaTheme="minorEastAsia"/>
                <w:b w:val="0"/>
                <w:bCs/>
                <w:color w:val="auto"/>
                <w:kern w:val="0"/>
                <w:sz w:val="24"/>
                <w:szCs w:val="24"/>
                <w:highlight w:val="none"/>
                <w:vertAlign w:val="baseline"/>
                <w:lang w:val="en-US" w:eastAsia="zh-CN"/>
              </w:rPr>
              <w:t>，</w:t>
            </w:r>
            <w:r>
              <w:rPr>
                <w:rFonts w:hint="eastAsia" w:cs="Times New Roman" w:eastAsiaTheme="minorEastAsia"/>
                <w:b w:val="0"/>
                <w:bCs/>
                <w:color w:val="auto"/>
                <w:kern w:val="0"/>
                <w:sz w:val="24"/>
                <w:szCs w:val="24"/>
                <w:highlight w:val="none"/>
                <w:lang w:val="en-US" w:eastAsia="zh-CN"/>
              </w:rPr>
              <w:t>依托现有项目二级烘干粉碎车间部分生产厂房建设；固体复合微生物肥料生产车间租用现有项目西南侧3.6亩（2400m</w:t>
            </w:r>
            <w:r>
              <w:rPr>
                <w:rFonts w:hint="eastAsia" w:cs="Times New Roman" w:eastAsiaTheme="minorEastAsia"/>
                <w:b w:val="0"/>
                <w:bCs/>
                <w:color w:val="auto"/>
                <w:kern w:val="0"/>
                <w:sz w:val="24"/>
                <w:szCs w:val="24"/>
                <w:highlight w:val="none"/>
                <w:vertAlign w:val="superscript"/>
                <w:lang w:val="en-US" w:eastAsia="zh-CN"/>
              </w:rPr>
              <w:t>2</w:t>
            </w:r>
            <w:r>
              <w:rPr>
                <w:rFonts w:hint="eastAsia" w:cs="Times New Roman" w:eastAsiaTheme="minorEastAsia"/>
                <w:b w:val="0"/>
                <w:bCs/>
                <w:color w:val="auto"/>
                <w:kern w:val="0"/>
                <w:sz w:val="24"/>
                <w:szCs w:val="24"/>
                <w:highlight w:val="none"/>
                <w:lang w:val="en-US" w:eastAsia="zh-CN"/>
              </w:rPr>
              <w:t>）工业用地建设。</w:t>
            </w:r>
          </w:p>
          <w:p w14:paraId="1D078404">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cs="Times New Roman" w:eastAsiaTheme="minorEastAsia"/>
                <w:b w:val="0"/>
                <w:bCs/>
                <w:color w:val="auto"/>
                <w:kern w:val="0"/>
                <w:sz w:val="24"/>
                <w:szCs w:val="24"/>
                <w:highlight w:val="none"/>
                <w:lang w:val="en-US" w:eastAsia="zh-CN"/>
              </w:rPr>
            </w:pPr>
            <w:r>
              <w:rPr>
                <w:rFonts w:hint="eastAsia" w:cs="Times New Roman" w:eastAsiaTheme="minorEastAsia"/>
                <w:b/>
                <w:color w:val="auto"/>
                <w:kern w:val="0"/>
                <w:sz w:val="24"/>
                <w:szCs w:val="24"/>
                <w:highlight w:val="none"/>
                <w:lang w:val="en-US" w:eastAsia="zh-CN"/>
              </w:rPr>
              <w:t>劳动定员：</w:t>
            </w:r>
            <w:r>
              <w:rPr>
                <w:rFonts w:hint="eastAsia" w:cs="Times New Roman" w:eastAsiaTheme="minorEastAsia"/>
                <w:b w:val="0"/>
                <w:bCs/>
                <w:color w:val="auto"/>
                <w:kern w:val="0"/>
                <w:sz w:val="24"/>
                <w:szCs w:val="24"/>
                <w:highlight w:val="none"/>
                <w:lang w:val="en-US" w:eastAsia="zh-CN"/>
              </w:rPr>
              <w:t>本项目不新增工作人员，人员由现有项目烘干系统调配。</w:t>
            </w:r>
          </w:p>
          <w:p w14:paraId="35189C9D">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cs="Times New Roman" w:eastAsiaTheme="minorEastAsia"/>
                <w:bCs/>
                <w:color w:val="auto"/>
                <w:kern w:val="0"/>
                <w:sz w:val="24"/>
                <w:szCs w:val="24"/>
                <w:highlight w:val="none"/>
              </w:rPr>
            </w:pPr>
            <w:r>
              <w:rPr>
                <w:rFonts w:hint="default" w:ascii="Times New Roman" w:hAnsi="Times New Roman" w:cs="Times New Roman" w:eastAsiaTheme="minorEastAsia"/>
                <w:b/>
                <w:color w:val="auto"/>
                <w:kern w:val="0"/>
                <w:sz w:val="24"/>
                <w:szCs w:val="24"/>
                <w:highlight w:val="none"/>
              </w:rPr>
              <w:t>建设规模：</w:t>
            </w:r>
            <w:bookmarkStart w:id="28" w:name="OLE_LINK4"/>
            <w:r>
              <w:rPr>
                <w:rFonts w:hint="eastAsia" w:cs="Times New Roman" w:eastAsiaTheme="minorEastAsia"/>
                <w:b w:val="0"/>
                <w:bCs/>
                <w:color w:val="auto"/>
                <w:kern w:val="0"/>
                <w:sz w:val="24"/>
                <w:szCs w:val="24"/>
                <w:highlight w:val="none"/>
                <w:lang w:val="en-US" w:eastAsia="zh-CN"/>
              </w:rPr>
              <w:t>本项目建设完成后全厂可形成生产蔬菜干饲料3600t/a、</w:t>
            </w:r>
            <w:r>
              <w:rPr>
                <w:rFonts w:hint="eastAsia" w:cs="Times New Roman" w:eastAsiaTheme="minorEastAsia"/>
                <w:b w:val="0"/>
                <w:bCs/>
                <w:color w:val="auto"/>
                <w:kern w:val="0"/>
                <w:sz w:val="24"/>
                <w:szCs w:val="24"/>
                <w:highlight w:val="none"/>
                <w:lang w:eastAsia="zh-CN"/>
              </w:rPr>
              <w:t>液体复合微生物肥料</w:t>
            </w:r>
            <w:r>
              <w:rPr>
                <w:rFonts w:hint="default" w:ascii="Times New Roman" w:hAnsi="Times New Roman" w:cs="Times New Roman" w:eastAsiaTheme="minorEastAsia"/>
                <w:b w:val="0"/>
                <w:bCs/>
                <w:color w:val="auto"/>
                <w:kern w:val="0"/>
                <w:sz w:val="24"/>
                <w:szCs w:val="24"/>
                <w:highlight w:val="none"/>
              </w:rPr>
              <w:t>16000t/a、</w:t>
            </w:r>
            <w:r>
              <w:rPr>
                <w:rFonts w:hint="eastAsia" w:cs="Times New Roman" w:eastAsiaTheme="minorEastAsia"/>
                <w:b w:val="0"/>
                <w:bCs/>
                <w:color w:val="auto"/>
                <w:kern w:val="0"/>
                <w:sz w:val="24"/>
                <w:szCs w:val="24"/>
                <w:highlight w:val="none"/>
                <w:lang w:val="en-US" w:eastAsia="zh-CN"/>
              </w:rPr>
              <w:t>固体复合微生物肥料86000</w:t>
            </w:r>
            <w:r>
              <w:rPr>
                <w:rFonts w:hint="default" w:ascii="Times New Roman" w:hAnsi="Times New Roman" w:cs="Times New Roman" w:eastAsiaTheme="minorEastAsia"/>
                <w:b w:val="0"/>
                <w:bCs/>
                <w:color w:val="auto"/>
                <w:kern w:val="0"/>
                <w:sz w:val="24"/>
                <w:szCs w:val="24"/>
                <w:highlight w:val="none"/>
              </w:rPr>
              <w:t>t/a</w:t>
            </w:r>
            <w:r>
              <w:rPr>
                <w:rFonts w:hint="eastAsia" w:ascii="Times New Roman" w:hAnsi="Times New Roman" w:cs="Times New Roman" w:eastAsiaTheme="minorEastAsia"/>
                <w:b w:val="0"/>
                <w:bCs/>
                <w:color w:val="auto"/>
                <w:kern w:val="0"/>
                <w:sz w:val="24"/>
                <w:szCs w:val="24"/>
                <w:highlight w:val="none"/>
                <w:lang w:val="en-US" w:eastAsia="zh-CN"/>
              </w:rPr>
              <w:t>的生产规模。</w:t>
            </w:r>
            <w:bookmarkEnd w:id="28"/>
            <w:r>
              <w:rPr>
                <w:rFonts w:hint="default" w:ascii="Times New Roman" w:hAnsi="Times New Roman" w:cs="Times New Roman" w:eastAsiaTheme="minorEastAsia"/>
                <w:bCs/>
                <w:color w:val="auto"/>
                <w:kern w:val="0"/>
                <w:sz w:val="24"/>
                <w:szCs w:val="24"/>
                <w:highlight w:val="none"/>
              </w:rPr>
              <w:t>项目组成见表2-1。</w:t>
            </w:r>
          </w:p>
          <w:p w14:paraId="0C3D09A8">
            <w:pPr>
              <w:jc w:val="center"/>
              <w:rPr>
                <w:b/>
                <w:bCs/>
                <w:color w:val="auto"/>
                <w:kern w:val="0"/>
                <w:highlight w:val="none"/>
              </w:rPr>
            </w:pPr>
            <w:r>
              <w:rPr>
                <w:b/>
                <w:bCs/>
                <w:color w:val="auto"/>
                <w:kern w:val="0"/>
                <w:highlight w:val="none"/>
              </w:rPr>
              <w:t>表2-1  建设项目主要工程内容</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1"/>
              <w:gridCol w:w="436"/>
              <w:gridCol w:w="226"/>
              <w:gridCol w:w="527"/>
              <w:gridCol w:w="780"/>
              <w:gridCol w:w="4953"/>
              <w:gridCol w:w="1085"/>
            </w:tblGrid>
            <w:tr w14:paraId="7E6B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Align w:val="center"/>
                </w:tcPr>
                <w:p w14:paraId="1CA8249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b/>
                      <w:bCs/>
                      <w:color w:val="auto"/>
                      <w:kern w:val="0"/>
                      <w:sz w:val="21"/>
                      <w:szCs w:val="21"/>
                      <w:highlight w:val="none"/>
                    </w:rPr>
                  </w:pPr>
                  <w:r>
                    <w:rPr>
                      <w:rFonts w:hint="default" w:ascii="Times New Roman" w:hAnsi="Times New Roman" w:cs="Times New Roman" w:eastAsiaTheme="minorEastAsia"/>
                      <w:b/>
                      <w:bCs/>
                      <w:color w:val="auto"/>
                      <w:kern w:val="0"/>
                      <w:sz w:val="21"/>
                      <w:szCs w:val="21"/>
                      <w:highlight w:val="none"/>
                    </w:rPr>
                    <w:t>类别</w:t>
                  </w:r>
                </w:p>
              </w:tc>
              <w:tc>
                <w:tcPr>
                  <w:tcW w:w="690" w:type="pct"/>
                  <w:gridSpan w:val="3"/>
                  <w:vAlign w:val="center"/>
                </w:tcPr>
                <w:p w14:paraId="79913F7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b/>
                      <w:bCs/>
                      <w:color w:val="auto"/>
                      <w:kern w:val="0"/>
                      <w:sz w:val="21"/>
                      <w:szCs w:val="21"/>
                      <w:highlight w:val="none"/>
                    </w:rPr>
                  </w:pPr>
                  <w:r>
                    <w:rPr>
                      <w:rFonts w:hint="default" w:ascii="Times New Roman" w:hAnsi="Times New Roman" w:cs="Times New Roman" w:eastAsiaTheme="minorEastAsia"/>
                      <w:b/>
                      <w:bCs/>
                      <w:color w:val="auto"/>
                      <w:kern w:val="0"/>
                      <w:sz w:val="21"/>
                      <w:szCs w:val="21"/>
                      <w:highlight w:val="none"/>
                    </w:rPr>
                    <w:t>工程名称</w:t>
                  </w:r>
                </w:p>
              </w:tc>
              <w:tc>
                <w:tcPr>
                  <w:tcW w:w="3329" w:type="pct"/>
                  <w:gridSpan w:val="2"/>
                  <w:vAlign w:val="center"/>
                </w:tcPr>
                <w:p w14:paraId="543C034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b/>
                      <w:bCs/>
                      <w:color w:val="auto"/>
                      <w:kern w:val="0"/>
                      <w:sz w:val="21"/>
                      <w:szCs w:val="21"/>
                      <w:highlight w:val="none"/>
                    </w:rPr>
                  </w:pPr>
                  <w:r>
                    <w:rPr>
                      <w:rFonts w:hint="default" w:ascii="Times New Roman" w:hAnsi="Times New Roman" w:cs="Times New Roman" w:eastAsiaTheme="minorEastAsia"/>
                      <w:b/>
                      <w:bCs/>
                      <w:color w:val="auto"/>
                      <w:kern w:val="0"/>
                      <w:sz w:val="21"/>
                      <w:szCs w:val="21"/>
                      <w:highlight w:val="none"/>
                    </w:rPr>
                    <w:t>主要建设内容及规模</w:t>
                  </w:r>
                </w:p>
              </w:tc>
              <w:tc>
                <w:tcPr>
                  <w:tcW w:w="630" w:type="pct"/>
                  <w:vAlign w:val="center"/>
                </w:tcPr>
                <w:p w14:paraId="1D55C4C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b/>
                      <w:bCs/>
                      <w:color w:val="auto"/>
                      <w:kern w:val="0"/>
                      <w:sz w:val="21"/>
                      <w:szCs w:val="21"/>
                      <w:highlight w:val="none"/>
                    </w:rPr>
                  </w:pPr>
                  <w:r>
                    <w:rPr>
                      <w:rFonts w:hint="default" w:ascii="Times New Roman" w:hAnsi="Times New Roman" w:cs="Times New Roman" w:eastAsiaTheme="minorEastAsia"/>
                      <w:b/>
                      <w:bCs/>
                      <w:color w:val="auto"/>
                      <w:kern w:val="0"/>
                      <w:sz w:val="21"/>
                      <w:szCs w:val="21"/>
                      <w:highlight w:val="none"/>
                    </w:rPr>
                    <w:t>备注</w:t>
                  </w:r>
                </w:p>
              </w:tc>
            </w:tr>
            <w:tr w14:paraId="18AD7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restart"/>
                  <w:shd w:val="clear" w:color="auto" w:fill="auto"/>
                  <w:vAlign w:val="center"/>
                </w:tcPr>
                <w:p w14:paraId="711C38A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rPr>
                    <w:t>主体工程</w:t>
                  </w:r>
                </w:p>
              </w:tc>
              <w:tc>
                <w:tcPr>
                  <w:tcW w:w="384" w:type="pct"/>
                  <w:gridSpan w:val="2"/>
                  <w:vMerge w:val="restart"/>
                  <w:shd w:val="clear" w:color="auto" w:fill="auto"/>
                  <w:vAlign w:val="center"/>
                </w:tcPr>
                <w:p w14:paraId="62B7346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rPr>
                    <w:t>生产厂房</w:t>
                  </w:r>
                </w:p>
              </w:tc>
              <w:tc>
                <w:tcPr>
                  <w:tcW w:w="306" w:type="pct"/>
                  <w:vMerge w:val="restart"/>
                  <w:vAlign w:val="center"/>
                </w:tcPr>
                <w:p w14:paraId="2962B22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rPr>
                  </w:pPr>
                  <w:r>
                    <w:rPr>
                      <w:rFonts w:hint="eastAsia" w:cs="Times New Roman" w:eastAsiaTheme="minorEastAsia"/>
                      <w:color w:val="auto"/>
                      <w:kern w:val="0"/>
                      <w:sz w:val="21"/>
                      <w:szCs w:val="21"/>
                      <w:highlight w:val="none"/>
                      <w:lang w:val="en-US" w:eastAsia="zh-CN"/>
                    </w:rPr>
                    <w:t>固体复合微生物肥生产区</w:t>
                  </w:r>
                </w:p>
              </w:tc>
              <w:tc>
                <w:tcPr>
                  <w:tcW w:w="3329" w:type="pct"/>
                  <w:gridSpan w:val="2"/>
                  <w:vAlign w:val="center"/>
                </w:tcPr>
                <w:p w14:paraId="4A5A6939">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kern w:val="0"/>
                      <w:sz w:val="21"/>
                      <w:szCs w:val="21"/>
                      <w:highlight w:val="none"/>
                    </w:rPr>
                  </w:pPr>
                  <w:r>
                    <w:rPr>
                      <w:rFonts w:hint="eastAsia" w:cs="Times New Roman" w:eastAsiaTheme="minorEastAsia"/>
                      <w:color w:val="auto"/>
                      <w:kern w:val="0"/>
                      <w:sz w:val="21"/>
                      <w:szCs w:val="21"/>
                      <w:highlight w:val="none"/>
                      <w:lang w:val="en-US" w:eastAsia="zh-CN"/>
                    </w:rPr>
                    <w:t>占地240</w:t>
                  </w:r>
                  <w:r>
                    <w:rPr>
                      <w:rFonts w:hint="default" w:ascii="Times New Roman" w:hAnsi="Times New Roman" w:cs="Times New Roman" w:eastAsiaTheme="minorEastAsia"/>
                      <w:color w:val="auto"/>
                      <w:kern w:val="0"/>
                      <w:sz w:val="21"/>
                      <w:szCs w:val="21"/>
                      <w:highlight w:val="none"/>
                    </w:rPr>
                    <w:t>0m</w:t>
                  </w:r>
                  <w:r>
                    <w:rPr>
                      <w:rFonts w:hint="default" w:ascii="Times New Roman" w:hAnsi="Times New Roman" w:cs="Times New Roman" w:eastAsiaTheme="minorEastAsia"/>
                      <w:color w:val="auto"/>
                      <w:kern w:val="0"/>
                      <w:sz w:val="21"/>
                      <w:szCs w:val="21"/>
                      <w:highlight w:val="none"/>
                      <w:vertAlign w:val="superscript"/>
                    </w:rPr>
                    <w:t>2</w:t>
                  </w:r>
                  <w:r>
                    <w:rPr>
                      <w:rFonts w:hint="default" w:ascii="Times New Roman" w:hAnsi="Times New Roman" w:cs="Times New Roman" w:eastAsiaTheme="minorEastAsia"/>
                      <w:color w:val="auto"/>
                      <w:kern w:val="0"/>
                      <w:sz w:val="21"/>
                      <w:szCs w:val="21"/>
                      <w:highlight w:val="none"/>
                    </w:rPr>
                    <w:t>，位于整个厂区西南角，</w:t>
                  </w:r>
                  <w:r>
                    <w:rPr>
                      <w:rFonts w:hint="eastAsia" w:cs="Times New Roman" w:eastAsiaTheme="minorEastAsia"/>
                      <w:color w:val="auto"/>
                      <w:kern w:val="0"/>
                      <w:sz w:val="21"/>
                      <w:szCs w:val="21"/>
                      <w:highlight w:val="none"/>
                      <w:lang w:val="en-US" w:eastAsia="zh-CN"/>
                    </w:rPr>
                    <w:t>根据功能</w:t>
                  </w:r>
                  <w:r>
                    <w:rPr>
                      <w:rFonts w:hint="default" w:ascii="Times New Roman" w:hAnsi="Times New Roman" w:cs="Times New Roman" w:eastAsiaTheme="minorEastAsia"/>
                      <w:color w:val="auto"/>
                      <w:kern w:val="0"/>
                      <w:sz w:val="21"/>
                      <w:szCs w:val="21"/>
                      <w:highlight w:val="none"/>
                    </w:rPr>
                    <w:t>划分</w:t>
                  </w:r>
                  <w:r>
                    <w:rPr>
                      <w:rFonts w:hint="eastAsia" w:cs="Times New Roman" w:eastAsiaTheme="minorEastAsia"/>
                      <w:color w:val="auto"/>
                      <w:kern w:val="0"/>
                      <w:sz w:val="21"/>
                      <w:szCs w:val="21"/>
                      <w:highlight w:val="none"/>
                      <w:lang w:val="en-US" w:eastAsia="zh-CN"/>
                    </w:rPr>
                    <w:t>为</w:t>
                  </w:r>
                  <w:r>
                    <w:rPr>
                      <w:rFonts w:hint="default" w:ascii="Times New Roman" w:hAnsi="Times New Roman" w:cs="Times New Roman" w:eastAsiaTheme="minorEastAsia"/>
                      <w:color w:val="auto"/>
                      <w:kern w:val="0"/>
                      <w:sz w:val="21"/>
                      <w:szCs w:val="21"/>
                      <w:highlight w:val="none"/>
                    </w:rPr>
                    <w:t>生产</w:t>
                  </w:r>
                  <w:r>
                    <w:rPr>
                      <w:rFonts w:hint="eastAsia" w:cs="Times New Roman" w:eastAsiaTheme="minorEastAsia"/>
                      <w:color w:val="auto"/>
                      <w:kern w:val="0"/>
                      <w:sz w:val="21"/>
                      <w:szCs w:val="21"/>
                      <w:highlight w:val="none"/>
                      <w:lang w:val="en-US" w:eastAsia="zh-CN"/>
                    </w:rPr>
                    <w:t>车间</w:t>
                  </w:r>
                  <w:r>
                    <w:rPr>
                      <w:rFonts w:hint="default" w:ascii="Times New Roman" w:hAnsi="Times New Roman" w:cs="Times New Roman" w:eastAsiaTheme="minorEastAsia"/>
                      <w:color w:val="auto"/>
                      <w:kern w:val="0"/>
                      <w:sz w:val="21"/>
                      <w:szCs w:val="21"/>
                      <w:highlight w:val="none"/>
                    </w:rPr>
                    <w:t>、原料库、成品库</w:t>
                  </w:r>
                  <w:r>
                    <w:rPr>
                      <w:rFonts w:hint="eastAsia" w:cs="Times New Roman" w:eastAsiaTheme="minorEastAsia"/>
                      <w:color w:val="auto"/>
                      <w:kern w:val="0"/>
                      <w:sz w:val="21"/>
                      <w:szCs w:val="21"/>
                      <w:highlight w:val="none"/>
                      <w:lang w:val="en-US" w:eastAsia="zh-CN"/>
                    </w:rPr>
                    <w:t>和辅料库4</w:t>
                  </w:r>
                  <w:r>
                    <w:rPr>
                      <w:rFonts w:hint="default" w:ascii="Times New Roman" w:hAnsi="Times New Roman" w:cs="Times New Roman" w:eastAsiaTheme="minorEastAsia"/>
                      <w:color w:val="auto"/>
                      <w:kern w:val="0"/>
                      <w:sz w:val="21"/>
                      <w:szCs w:val="21"/>
                      <w:highlight w:val="none"/>
                    </w:rPr>
                    <w:t>个区域。主要布置1条</w:t>
                  </w:r>
                  <w:r>
                    <w:rPr>
                      <w:rFonts w:hint="eastAsia" w:cs="Times New Roman" w:eastAsiaTheme="minorEastAsia"/>
                      <w:color w:val="auto"/>
                      <w:kern w:val="0"/>
                      <w:sz w:val="21"/>
                      <w:szCs w:val="21"/>
                      <w:highlight w:val="none"/>
                      <w:lang w:val="en-US" w:eastAsia="zh-CN"/>
                    </w:rPr>
                    <w:t>固体复合微生物肥</w:t>
                  </w:r>
                  <w:r>
                    <w:rPr>
                      <w:rFonts w:hint="default" w:ascii="Times New Roman" w:hAnsi="Times New Roman" w:cs="Times New Roman" w:eastAsiaTheme="minorEastAsia"/>
                      <w:color w:val="auto"/>
                      <w:kern w:val="0"/>
                      <w:sz w:val="21"/>
                      <w:szCs w:val="21"/>
                      <w:highlight w:val="none"/>
                    </w:rPr>
                    <w:t>生产线。</w:t>
                  </w:r>
                </w:p>
              </w:tc>
              <w:tc>
                <w:tcPr>
                  <w:tcW w:w="630" w:type="pct"/>
                  <w:vAlign w:val="center"/>
                </w:tcPr>
                <w:p w14:paraId="098399B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w:t>
                  </w:r>
                </w:p>
              </w:tc>
            </w:tr>
            <w:tr w14:paraId="3F548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5185402E">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384" w:type="pct"/>
                  <w:gridSpan w:val="2"/>
                  <w:vMerge w:val="continue"/>
                  <w:vAlign w:val="center"/>
                </w:tcPr>
                <w:p w14:paraId="7FFBF721">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306" w:type="pct"/>
                  <w:vMerge w:val="continue"/>
                  <w:vAlign w:val="center"/>
                </w:tcPr>
                <w:p w14:paraId="0044A5B4">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453" w:type="pct"/>
                  <w:vAlign w:val="center"/>
                </w:tcPr>
                <w:p w14:paraId="5E044A0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生产</w:t>
                  </w:r>
                </w:p>
                <w:p w14:paraId="64958F7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cs="Times New Roman" w:eastAsiaTheme="minorEastAsia"/>
                      <w:color w:val="auto"/>
                      <w:kern w:val="0"/>
                      <w:sz w:val="21"/>
                      <w:szCs w:val="21"/>
                      <w:highlight w:val="none"/>
                      <w:lang w:val="en-US" w:eastAsia="zh-CN"/>
                    </w:rPr>
                  </w:pPr>
                  <w:r>
                    <w:rPr>
                      <w:rFonts w:hint="eastAsia" w:ascii="Times New Roman" w:hAnsi="Times New Roman" w:cs="Times New Roman" w:eastAsiaTheme="minorEastAsia"/>
                      <w:color w:val="auto"/>
                      <w:kern w:val="0"/>
                      <w:sz w:val="21"/>
                      <w:szCs w:val="21"/>
                      <w:highlight w:val="none"/>
                      <w:lang w:val="en-US" w:eastAsia="zh-CN"/>
                    </w:rPr>
                    <w:t>车间</w:t>
                  </w:r>
                </w:p>
              </w:tc>
              <w:tc>
                <w:tcPr>
                  <w:tcW w:w="2875" w:type="pct"/>
                  <w:vAlign w:val="center"/>
                </w:tcPr>
                <w:p w14:paraId="58AE3827">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位于</w:t>
                  </w:r>
                  <w:r>
                    <w:rPr>
                      <w:rFonts w:hint="eastAsia" w:cs="Times New Roman" w:eastAsiaTheme="minorEastAsia"/>
                      <w:color w:val="auto"/>
                      <w:kern w:val="0"/>
                      <w:sz w:val="21"/>
                      <w:szCs w:val="21"/>
                      <w:highlight w:val="none"/>
                      <w:lang w:val="en-US" w:eastAsia="zh-CN"/>
                    </w:rPr>
                    <w:t>固体复合微生物肥生产区南</w:t>
                  </w:r>
                  <w:r>
                    <w:rPr>
                      <w:rFonts w:hint="default" w:ascii="Times New Roman" w:hAnsi="Times New Roman" w:cs="Times New Roman" w:eastAsiaTheme="minorEastAsia"/>
                      <w:color w:val="auto"/>
                      <w:kern w:val="0"/>
                      <w:sz w:val="21"/>
                      <w:szCs w:val="21"/>
                      <w:highlight w:val="none"/>
                    </w:rPr>
                    <w:t>部，</w:t>
                  </w:r>
                  <w:r>
                    <w:rPr>
                      <w:rFonts w:hint="eastAsia" w:cs="Times New Roman" w:eastAsiaTheme="minorEastAsia"/>
                      <w:color w:val="auto"/>
                      <w:kern w:val="0"/>
                      <w:sz w:val="21"/>
                      <w:szCs w:val="21"/>
                      <w:highlight w:val="none"/>
                      <w:lang w:val="en-US" w:eastAsia="zh-CN"/>
                    </w:rPr>
                    <w:t>拟设计为8m的</w:t>
                  </w:r>
                  <w:r>
                    <w:rPr>
                      <w:rFonts w:hint="default" w:ascii="Times New Roman" w:hAnsi="Times New Roman" w:cs="Times New Roman" w:eastAsiaTheme="minorEastAsia"/>
                      <w:bCs/>
                      <w:color w:val="auto"/>
                      <w:sz w:val="21"/>
                      <w:szCs w:val="21"/>
                      <w:highlight w:val="none"/>
                    </w:rPr>
                    <w:t>轻钢</w:t>
                  </w:r>
                  <w:r>
                    <w:rPr>
                      <w:rFonts w:hint="eastAsia" w:cs="Times New Roman" w:eastAsiaTheme="minorEastAsia"/>
                      <w:bCs/>
                      <w:color w:val="auto"/>
                      <w:sz w:val="21"/>
                      <w:szCs w:val="21"/>
                      <w:highlight w:val="none"/>
                      <w:lang w:val="en-US" w:eastAsia="zh-CN"/>
                    </w:rPr>
                    <w:t>彩钢瓦</w:t>
                  </w:r>
                  <w:r>
                    <w:rPr>
                      <w:rFonts w:hint="default" w:ascii="Times New Roman" w:hAnsi="Times New Roman" w:cs="Times New Roman" w:eastAsiaTheme="minorEastAsia"/>
                      <w:bCs/>
                      <w:color w:val="auto"/>
                      <w:sz w:val="21"/>
                      <w:szCs w:val="21"/>
                      <w:highlight w:val="none"/>
                    </w:rPr>
                    <w:t>结构</w:t>
                  </w:r>
                  <w:r>
                    <w:rPr>
                      <w:rFonts w:hint="eastAsia" w:cs="Times New Roman" w:eastAsiaTheme="minorEastAsia"/>
                      <w:bCs/>
                      <w:color w:val="auto"/>
                      <w:sz w:val="21"/>
                      <w:szCs w:val="21"/>
                      <w:highlight w:val="none"/>
                      <w:lang w:val="en-US" w:eastAsia="zh-CN"/>
                    </w:rPr>
                    <w:t>厂房</w:t>
                  </w:r>
                  <w:r>
                    <w:rPr>
                      <w:rFonts w:hint="default" w:ascii="Times New Roman" w:hAnsi="Times New Roman" w:cs="Times New Roman" w:eastAsiaTheme="minorEastAsia"/>
                      <w:bCs/>
                      <w:color w:val="auto"/>
                      <w:sz w:val="21"/>
                      <w:szCs w:val="21"/>
                      <w:highlight w:val="none"/>
                    </w:rPr>
                    <w:t>，</w:t>
                  </w:r>
                  <w:r>
                    <w:rPr>
                      <w:rFonts w:hint="default" w:ascii="Times New Roman" w:hAnsi="Times New Roman" w:cs="Times New Roman" w:eastAsiaTheme="minorEastAsia"/>
                      <w:color w:val="auto"/>
                      <w:kern w:val="0"/>
                      <w:sz w:val="21"/>
                      <w:szCs w:val="21"/>
                      <w:highlight w:val="none"/>
                    </w:rPr>
                    <w:t>占地面积800m</w:t>
                  </w:r>
                  <w:r>
                    <w:rPr>
                      <w:rFonts w:hint="default" w:ascii="Times New Roman" w:hAnsi="Times New Roman" w:cs="Times New Roman" w:eastAsiaTheme="minorEastAsia"/>
                      <w:color w:val="auto"/>
                      <w:kern w:val="0"/>
                      <w:sz w:val="21"/>
                      <w:szCs w:val="21"/>
                      <w:highlight w:val="none"/>
                      <w:vertAlign w:val="superscript"/>
                    </w:rPr>
                    <w:t>2</w:t>
                  </w:r>
                  <w:r>
                    <w:rPr>
                      <w:rFonts w:hint="default" w:ascii="Times New Roman" w:hAnsi="Times New Roman" w:cs="Times New Roman" w:eastAsiaTheme="minorEastAsia"/>
                      <w:color w:val="auto"/>
                      <w:kern w:val="0"/>
                      <w:sz w:val="21"/>
                      <w:szCs w:val="21"/>
                      <w:highlight w:val="none"/>
                    </w:rPr>
                    <w:t>，主要布置1条</w:t>
                  </w:r>
                  <w:r>
                    <w:rPr>
                      <w:rFonts w:hint="eastAsia" w:cs="Times New Roman" w:eastAsiaTheme="minorEastAsia"/>
                      <w:color w:val="auto"/>
                      <w:kern w:val="0"/>
                      <w:sz w:val="21"/>
                      <w:szCs w:val="21"/>
                      <w:highlight w:val="none"/>
                      <w:lang w:val="en-US" w:eastAsia="zh-CN"/>
                    </w:rPr>
                    <w:t>固体复合微生物肥料</w:t>
                  </w:r>
                  <w:r>
                    <w:rPr>
                      <w:rFonts w:hint="default" w:ascii="Times New Roman" w:hAnsi="Times New Roman" w:cs="Times New Roman" w:eastAsiaTheme="minorEastAsia"/>
                      <w:color w:val="auto"/>
                      <w:kern w:val="0"/>
                      <w:sz w:val="21"/>
                      <w:szCs w:val="21"/>
                      <w:highlight w:val="none"/>
                    </w:rPr>
                    <w:t>生产线。</w:t>
                  </w:r>
                  <w:r>
                    <w:rPr>
                      <w:rFonts w:hint="eastAsia" w:cs="Times New Roman" w:eastAsiaTheme="minorEastAsia"/>
                      <w:color w:val="auto"/>
                      <w:kern w:val="0"/>
                      <w:sz w:val="21"/>
                      <w:szCs w:val="21"/>
                      <w:highlight w:val="none"/>
                      <w:lang w:val="en-US" w:eastAsia="zh-CN"/>
                    </w:rPr>
                    <w:t>从东向西依次</w:t>
                  </w:r>
                  <w:r>
                    <w:rPr>
                      <w:rFonts w:hint="default" w:ascii="Times New Roman" w:hAnsi="Times New Roman" w:cs="Times New Roman" w:eastAsiaTheme="minorEastAsia"/>
                      <w:color w:val="auto"/>
                      <w:kern w:val="0"/>
                      <w:sz w:val="21"/>
                      <w:szCs w:val="21"/>
                      <w:highlight w:val="none"/>
                    </w:rPr>
                    <w:t>布设</w:t>
                  </w:r>
                  <w:r>
                    <w:rPr>
                      <w:rFonts w:hint="eastAsia" w:cs="Times New Roman" w:eastAsiaTheme="minorEastAsia"/>
                      <w:color w:val="auto"/>
                      <w:kern w:val="0"/>
                      <w:sz w:val="21"/>
                      <w:szCs w:val="21"/>
                      <w:highlight w:val="none"/>
                      <w:lang w:val="en-US" w:eastAsia="zh-CN"/>
                    </w:rPr>
                    <w:t>扑灰机</w:t>
                  </w:r>
                  <w:r>
                    <w:rPr>
                      <w:rFonts w:hint="default" w:ascii="Times New Roman" w:hAnsi="Times New Roman" w:cs="Times New Roman" w:eastAsiaTheme="minorEastAsia"/>
                      <w:color w:val="auto"/>
                      <w:kern w:val="0"/>
                      <w:sz w:val="21"/>
                      <w:szCs w:val="21"/>
                      <w:highlight w:val="none"/>
                    </w:rPr>
                    <w:t>、搅拌机、翻堆转盘</w:t>
                  </w:r>
                  <w:r>
                    <w:rPr>
                      <w:rFonts w:hint="eastAsia" w:cs="Times New Roman" w:eastAsiaTheme="minorEastAsia"/>
                      <w:color w:val="auto"/>
                      <w:kern w:val="0"/>
                      <w:sz w:val="21"/>
                      <w:szCs w:val="21"/>
                      <w:highlight w:val="none"/>
                      <w:lang w:eastAsia="zh-CN"/>
                    </w:rPr>
                    <w:t>（</w:t>
                  </w:r>
                  <w:r>
                    <w:rPr>
                      <w:rFonts w:hint="eastAsia" w:cs="Times New Roman" w:eastAsiaTheme="minorEastAsia"/>
                      <w:color w:val="auto"/>
                      <w:kern w:val="0"/>
                      <w:sz w:val="21"/>
                      <w:szCs w:val="21"/>
                      <w:highlight w:val="none"/>
                      <w:lang w:val="en-US" w:eastAsia="zh-CN"/>
                    </w:rPr>
                    <w:t>发酵槽</w:t>
                  </w:r>
                  <w:r>
                    <w:rPr>
                      <w:rFonts w:hint="eastAsia" w:cs="Times New Roman" w:eastAsiaTheme="minorEastAsia"/>
                      <w:color w:val="auto"/>
                      <w:kern w:val="0"/>
                      <w:sz w:val="21"/>
                      <w:szCs w:val="21"/>
                      <w:highlight w:val="none"/>
                      <w:lang w:eastAsia="zh-CN"/>
                    </w:rPr>
                    <w:t>）、</w:t>
                  </w:r>
                  <w:r>
                    <w:rPr>
                      <w:rFonts w:hint="default" w:ascii="Times New Roman" w:hAnsi="Times New Roman" w:cs="Times New Roman" w:eastAsiaTheme="minorEastAsia"/>
                      <w:color w:val="auto"/>
                      <w:kern w:val="0"/>
                      <w:sz w:val="21"/>
                      <w:szCs w:val="21"/>
                      <w:highlight w:val="none"/>
                    </w:rPr>
                    <w:t>粉碎机、筛分机、皮带输送机、自动包装机等设备。</w:t>
                  </w:r>
                </w:p>
              </w:tc>
              <w:tc>
                <w:tcPr>
                  <w:tcW w:w="630" w:type="pct"/>
                  <w:vAlign w:val="center"/>
                </w:tcPr>
                <w:p w14:paraId="2EAD098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新建</w:t>
                  </w:r>
                </w:p>
              </w:tc>
            </w:tr>
            <w:tr w14:paraId="1AC5E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34E5279D">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384" w:type="pct"/>
                  <w:gridSpan w:val="2"/>
                  <w:vMerge w:val="continue"/>
                  <w:vAlign w:val="center"/>
                </w:tcPr>
                <w:p w14:paraId="2E593800">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306" w:type="pct"/>
                  <w:vMerge w:val="continue"/>
                  <w:vAlign w:val="center"/>
                </w:tcPr>
                <w:p w14:paraId="02DE4AB0">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453" w:type="pct"/>
                  <w:vAlign w:val="center"/>
                </w:tcPr>
                <w:p w14:paraId="7E3CE72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ascii="Times New Roman" w:hAnsi="Times New Roman" w:cs="Times New Roman" w:eastAsiaTheme="minorEastAsia"/>
                      <w:color w:val="auto"/>
                      <w:kern w:val="0"/>
                      <w:sz w:val="21"/>
                      <w:szCs w:val="21"/>
                      <w:highlight w:val="none"/>
                      <w:lang w:val="en-US" w:eastAsia="zh-CN"/>
                    </w:rPr>
                    <w:t>原料库</w:t>
                  </w:r>
                </w:p>
              </w:tc>
              <w:tc>
                <w:tcPr>
                  <w:tcW w:w="2875" w:type="pct"/>
                  <w:vAlign w:val="center"/>
                </w:tcPr>
                <w:p w14:paraId="3BF45B41">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cs="Times New Roman" w:eastAsiaTheme="minorEastAsia"/>
                      <w:color w:val="auto"/>
                      <w:kern w:val="0"/>
                      <w:sz w:val="21"/>
                      <w:szCs w:val="21"/>
                      <w:highlight w:val="none"/>
                      <w:lang w:val="en-US" w:eastAsia="zh-CN"/>
                    </w:rPr>
                  </w:pPr>
                  <w:r>
                    <w:rPr>
                      <w:rFonts w:hint="default" w:ascii="Times New Roman" w:hAnsi="Times New Roman" w:cs="Times New Roman" w:eastAsiaTheme="minorEastAsia"/>
                      <w:color w:val="auto"/>
                      <w:kern w:val="0"/>
                      <w:sz w:val="21"/>
                      <w:szCs w:val="21"/>
                      <w:highlight w:val="none"/>
                    </w:rPr>
                    <w:t>位于</w:t>
                  </w:r>
                  <w:r>
                    <w:rPr>
                      <w:rFonts w:hint="eastAsia" w:cs="Times New Roman" w:eastAsiaTheme="minorEastAsia"/>
                      <w:color w:val="auto"/>
                      <w:kern w:val="0"/>
                      <w:sz w:val="21"/>
                      <w:szCs w:val="21"/>
                      <w:highlight w:val="none"/>
                      <w:lang w:val="en-US" w:eastAsia="zh-CN"/>
                    </w:rPr>
                    <w:t>固体复合微生物肥生产区</w:t>
                  </w:r>
                  <w:r>
                    <w:rPr>
                      <w:rFonts w:hint="default" w:ascii="Times New Roman" w:hAnsi="Times New Roman" w:cs="Times New Roman" w:eastAsiaTheme="minorEastAsia"/>
                      <w:color w:val="auto"/>
                      <w:kern w:val="0"/>
                      <w:sz w:val="21"/>
                      <w:szCs w:val="21"/>
                      <w:highlight w:val="none"/>
                    </w:rPr>
                    <w:t>北部，</w:t>
                  </w:r>
                  <w:r>
                    <w:rPr>
                      <w:rFonts w:hint="eastAsia" w:ascii="Times New Roman" w:hAnsi="Times New Roman" w:cs="Times New Roman" w:eastAsiaTheme="minorEastAsia"/>
                      <w:color w:val="auto"/>
                      <w:kern w:val="0"/>
                      <w:sz w:val="21"/>
                      <w:szCs w:val="21"/>
                      <w:highlight w:val="none"/>
                      <w:lang w:val="en-US" w:eastAsia="zh-CN"/>
                    </w:rPr>
                    <w:t>现状为1栋</w:t>
                  </w:r>
                  <w:r>
                    <w:rPr>
                      <w:rFonts w:hint="default" w:ascii="Times New Roman" w:hAnsi="Times New Roman" w:cs="Times New Roman" w:eastAsiaTheme="minorEastAsia"/>
                      <w:color w:val="auto"/>
                      <w:kern w:val="0"/>
                      <w:sz w:val="21"/>
                      <w:szCs w:val="21"/>
                      <w:highlight w:val="none"/>
                    </w:rPr>
                    <w:t>占地面积约</w:t>
                  </w:r>
                  <w:r>
                    <w:rPr>
                      <w:rFonts w:hint="eastAsia" w:cs="Times New Roman" w:eastAsiaTheme="minorEastAsia"/>
                      <w:color w:val="auto"/>
                      <w:kern w:val="0"/>
                      <w:sz w:val="21"/>
                      <w:szCs w:val="21"/>
                      <w:highlight w:val="none"/>
                      <w:lang w:val="en-US" w:eastAsia="zh-CN"/>
                    </w:rPr>
                    <w:t>500</w:t>
                  </w:r>
                  <w:r>
                    <w:rPr>
                      <w:rFonts w:hint="default" w:ascii="Times New Roman" w:hAnsi="Times New Roman" w:cs="Times New Roman" w:eastAsiaTheme="minorEastAsia"/>
                      <w:color w:val="auto"/>
                      <w:kern w:val="0"/>
                      <w:sz w:val="21"/>
                      <w:szCs w:val="21"/>
                      <w:highlight w:val="none"/>
                    </w:rPr>
                    <w:t>m</w:t>
                  </w:r>
                  <w:r>
                    <w:rPr>
                      <w:rFonts w:hint="default" w:ascii="Times New Roman" w:hAnsi="Times New Roman" w:cs="Times New Roman" w:eastAsiaTheme="minorEastAsia"/>
                      <w:color w:val="auto"/>
                      <w:kern w:val="0"/>
                      <w:sz w:val="21"/>
                      <w:szCs w:val="21"/>
                      <w:highlight w:val="none"/>
                      <w:vertAlign w:val="superscript"/>
                    </w:rPr>
                    <w:t>2</w:t>
                  </w:r>
                  <w:r>
                    <w:rPr>
                      <w:rFonts w:hint="eastAsia" w:ascii="Times New Roman" w:hAnsi="Times New Roman" w:cs="Times New Roman" w:eastAsiaTheme="minorEastAsia"/>
                      <w:color w:val="auto"/>
                      <w:kern w:val="0"/>
                      <w:sz w:val="21"/>
                      <w:szCs w:val="21"/>
                      <w:highlight w:val="none"/>
                      <w:vertAlign w:val="baseline"/>
                      <w:lang w:val="en-US" w:eastAsia="zh-CN"/>
                    </w:rPr>
                    <w:t>已建</w:t>
                  </w:r>
                  <w:r>
                    <w:rPr>
                      <w:rFonts w:hint="default" w:ascii="Times New Roman" w:hAnsi="Times New Roman" w:cs="Times New Roman" w:eastAsiaTheme="minorEastAsia"/>
                      <w:color w:val="auto"/>
                      <w:kern w:val="0"/>
                      <w:sz w:val="21"/>
                      <w:szCs w:val="21"/>
                      <w:highlight w:val="none"/>
                    </w:rPr>
                    <w:t>砖混结构</w:t>
                  </w:r>
                  <w:r>
                    <w:rPr>
                      <w:rFonts w:hint="eastAsia" w:ascii="Times New Roman" w:hAnsi="Times New Roman" w:cs="Times New Roman" w:eastAsiaTheme="minorEastAsia"/>
                      <w:color w:val="auto"/>
                      <w:kern w:val="0"/>
                      <w:sz w:val="21"/>
                      <w:szCs w:val="21"/>
                      <w:highlight w:val="none"/>
                      <w:lang w:val="en-US" w:eastAsia="zh-CN"/>
                    </w:rPr>
                    <w:t>厂房</w:t>
                  </w:r>
                  <w:r>
                    <w:rPr>
                      <w:rFonts w:hint="default" w:ascii="Times New Roman" w:hAnsi="Times New Roman" w:cs="Times New Roman" w:eastAsiaTheme="minorEastAsia"/>
                      <w:color w:val="auto"/>
                      <w:kern w:val="0"/>
                      <w:sz w:val="21"/>
                      <w:szCs w:val="21"/>
                      <w:highlight w:val="none"/>
                    </w:rPr>
                    <w:t>，</w:t>
                  </w:r>
                  <w:r>
                    <w:rPr>
                      <w:rFonts w:hint="eastAsia" w:cs="Times New Roman" w:eastAsiaTheme="minorEastAsia"/>
                      <w:color w:val="auto"/>
                      <w:kern w:val="0"/>
                      <w:sz w:val="21"/>
                      <w:szCs w:val="21"/>
                      <w:highlight w:val="none"/>
                      <w:lang w:val="en-US" w:eastAsia="zh-CN"/>
                    </w:rPr>
                    <w:t>主要用于储存固体复合微生物肥制造用的甘蔗叶子、玉米秸秆、</w:t>
                  </w:r>
                </w:p>
                <w:p w14:paraId="15B6F126">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菊花渣、椰糠等原料。本项目使用的原料果蔬渣直接使用箱式货车运至发酵槽直接发酵，不在原料库暂存。</w:t>
                  </w:r>
                </w:p>
              </w:tc>
              <w:tc>
                <w:tcPr>
                  <w:tcW w:w="630" w:type="pct"/>
                  <w:vAlign w:val="center"/>
                </w:tcPr>
                <w:p w14:paraId="3CF2AB1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利旧</w:t>
                  </w:r>
                </w:p>
              </w:tc>
            </w:tr>
            <w:tr w14:paraId="3FC2C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24007253">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384" w:type="pct"/>
                  <w:gridSpan w:val="2"/>
                  <w:vMerge w:val="continue"/>
                  <w:vAlign w:val="center"/>
                </w:tcPr>
                <w:p w14:paraId="1F5E2BDF">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306" w:type="pct"/>
                  <w:vMerge w:val="continue"/>
                  <w:vAlign w:val="center"/>
                </w:tcPr>
                <w:p w14:paraId="109473FC">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453" w:type="pct"/>
                  <w:vAlign w:val="center"/>
                </w:tcPr>
                <w:p w14:paraId="1A3E8F4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ascii="Times New Roman" w:hAnsi="Times New Roman" w:cs="Times New Roman" w:eastAsiaTheme="minorEastAsia"/>
                      <w:color w:val="auto"/>
                      <w:kern w:val="0"/>
                      <w:sz w:val="21"/>
                      <w:szCs w:val="21"/>
                      <w:highlight w:val="none"/>
                      <w:lang w:val="en-US" w:eastAsia="zh-CN"/>
                    </w:rPr>
                    <w:t>辅料库</w:t>
                  </w:r>
                </w:p>
              </w:tc>
              <w:tc>
                <w:tcPr>
                  <w:tcW w:w="2875" w:type="pct"/>
                  <w:vAlign w:val="center"/>
                </w:tcPr>
                <w:p w14:paraId="0FCBB60C">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位于</w:t>
                  </w:r>
                  <w:r>
                    <w:rPr>
                      <w:rFonts w:hint="eastAsia" w:cs="Times New Roman" w:eastAsiaTheme="minorEastAsia"/>
                      <w:color w:val="auto"/>
                      <w:kern w:val="0"/>
                      <w:sz w:val="21"/>
                      <w:szCs w:val="21"/>
                      <w:highlight w:val="none"/>
                      <w:lang w:val="en-US" w:eastAsia="zh-CN"/>
                    </w:rPr>
                    <w:t>固体复合微生物肥生产区中部，紧邻成品仓库东侧布置</w:t>
                  </w:r>
                  <w:r>
                    <w:rPr>
                      <w:rFonts w:hint="default" w:ascii="Times New Roman" w:hAnsi="Times New Roman" w:cs="Times New Roman" w:eastAsiaTheme="minorEastAsia"/>
                      <w:color w:val="auto"/>
                      <w:kern w:val="0"/>
                      <w:sz w:val="21"/>
                      <w:szCs w:val="21"/>
                      <w:highlight w:val="none"/>
                    </w:rPr>
                    <w:t>，用地面积约</w:t>
                  </w:r>
                  <w:r>
                    <w:rPr>
                      <w:rFonts w:hint="eastAsia" w:ascii="Times New Roman" w:hAnsi="Times New Roman" w:cs="Times New Roman" w:eastAsiaTheme="minorEastAsia"/>
                      <w:color w:val="auto"/>
                      <w:kern w:val="0"/>
                      <w:sz w:val="21"/>
                      <w:szCs w:val="21"/>
                      <w:highlight w:val="none"/>
                      <w:lang w:val="en-US" w:eastAsia="zh-CN"/>
                    </w:rPr>
                    <w:t>2</w:t>
                  </w:r>
                  <w:r>
                    <w:rPr>
                      <w:rFonts w:hint="default" w:ascii="Times New Roman" w:hAnsi="Times New Roman" w:cs="Times New Roman" w:eastAsiaTheme="minorEastAsia"/>
                      <w:color w:val="auto"/>
                      <w:kern w:val="0"/>
                      <w:sz w:val="21"/>
                      <w:szCs w:val="21"/>
                      <w:highlight w:val="none"/>
                    </w:rPr>
                    <w:t>00m</w:t>
                  </w:r>
                  <w:r>
                    <w:rPr>
                      <w:rFonts w:hint="default" w:ascii="Times New Roman" w:hAnsi="Times New Roman" w:cs="Times New Roman" w:eastAsiaTheme="minorEastAsia"/>
                      <w:color w:val="auto"/>
                      <w:kern w:val="0"/>
                      <w:sz w:val="21"/>
                      <w:szCs w:val="21"/>
                      <w:highlight w:val="none"/>
                      <w:vertAlign w:val="superscript"/>
                    </w:rPr>
                    <w:t>2</w:t>
                  </w:r>
                  <w:r>
                    <w:rPr>
                      <w:rFonts w:hint="default" w:ascii="Times New Roman" w:hAnsi="Times New Roman" w:cs="Times New Roman" w:eastAsiaTheme="minorEastAsia"/>
                      <w:color w:val="auto"/>
                      <w:kern w:val="0"/>
                      <w:sz w:val="21"/>
                      <w:szCs w:val="21"/>
                      <w:highlight w:val="none"/>
                    </w:rPr>
                    <w:t>，</w:t>
                  </w:r>
                  <w:r>
                    <w:rPr>
                      <w:rFonts w:hint="eastAsia" w:cs="Times New Roman" w:eastAsiaTheme="minorEastAsia"/>
                      <w:color w:val="auto"/>
                      <w:kern w:val="0"/>
                      <w:sz w:val="21"/>
                      <w:szCs w:val="21"/>
                      <w:highlight w:val="none"/>
                      <w:lang w:val="en-US" w:eastAsia="zh-CN"/>
                    </w:rPr>
                    <w:t>拟设计为8m的</w:t>
                  </w:r>
                  <w:r>
                    <w:rPr>
                      <w:rFonts w:hint="default" w:ascii="Times New Roman" w:hAnsi="Times New Roman" w:cs="Times New Roman" w:eastAsiaTheme="minorEastAsia"/>
                      <w:bCs/>
                      <w:color w:val="auto"/>
                      <w:sz w:val="21"/>
                      <w:szCs w:val="21"/>
                      <w:highlight w:val="none"/>
                    </w:rPr>
                    <w:t>轻钢</w:t>
                  </w:r>
                  <w:r>
                    <w:rPr>
                      <w:rFonts w:hint="eastAsia" w:cs="Times New Roman" w:eastAsiaTheme="minorEastAsia"/>
                      <w:bCs/>
                      <w:color w:val="auto"/>
                      <w:sz w:val="21"/>
                      <w:szCs w:val="21"/>
                      <w:highlight w:val="none"/>
                      <w:lang w:val="en-US" w:eastAsia="zh-CN"/>
                    </w:rPr>
                    <w:t>彩钢瓦</w:t>
                  </w:r>
                  <w:r>
                    <w:rPr>
                      <w:rFonts w:hint="default" w:ascii="Times New Roman" w:hAnsi="Times New Roman" w:cs="Times New Roman" w:eastAsiaTheme="minorEastAsia"/>
                      <w:bCs/>
                      <w:color w:val="auto"/>
                      <w:sz w:val="21"/>
                      <w:szCs w:val="21"/>
                      <w:highlight w:val="none"/>
                    </w:rPr>
                    <w:t>结构</w:t>
                  </w:r>
                  <w:r>
                    <w:rPr>
                      <w:rFonts w:hint="eastAsia" w:cs="Times New Roman" w:eastAsiaTheme="minorEastAsia"/>
                      <w:bCs/>
                      <w:color w:val="auto"/>
                      <w:sz w:val="21"/>
                      <w:szCs w:val="21"/>
                      <w:highlight w:val="none"/>
                      <w:lang w:val="en-US" w:eastAsia="zh-CN"/>
                    </w:rPr>
                    <w:t>厂房</w:t>
                  </w:r>
                  <w:r>
                    <w:rPr>
                      <w:rFonts w:hint="default" w:ascii="Times New Roman" w:hAnsi="Times New Roman" w:cs="Times New Roman" w:eastAsiaTheme="minorEastAsia"/>
                      <w:bCs/>
                      <w:color w:val="auto"/>
                      <w:sz w:val="21"/>
                      <w:szCs w:val="21"/>
                      <w:highlight w:val="none"/>
                    </w:rPr>
                    <w:t>，</w:t>
                  </w:r>
                  <w:r>
                    <w:rPr>
                      <w:rFonts w:hint="eastAsia" w:ascii="Times New Roman" w:hAnsi="Times New Roman" w:cs="Times New Roman" w:eastAsiaTheme="minorEastAsia"/>
                      <w:bCs/>
                      <w:color w:val="auto"/>
                      <w:sz w:val="21"/>
                      <w:szCs w:val="21"/>
                      <w:highlight w:val="none"/>
                      <w:lang w:val="en-US" w:eastAsia="zh-CN"/>
                    </w:rPr>
                    <w:t>用于</w:t>
                  </w:r>
                  <w:r>
                    <w:rPr>
                      <w:rFonts w:hint="eastAsia" w:cs="Times New Roman" w:eastAsiaTheme="minorEastAsia"/>
                      <w:bCs/>
                      <w:color w:val="auto"/>
                      <w:sz w:val="21"/>
                      <w:szCs w:val="21"/>
                      <w:highlight w:val="none"/>
                      <w:lang w:val="en-US" w:eastAsia="zh-CN"/>
                    </w:rPr>
                    <w:t>草木灰、产品包装袋、多矿物等辅料的</w:t>
                  </w:r>
                  <w:r>
                    <w:rPr>
                      <w:rFonts w:hint="default" w:ascii="Times New Roman" w:hAnsi="Times New Roman" w:cs="Times New Roman" w:eastAsiaTheme="minorEastAsia"/>
                      <w:color w:val="auto"/>
                      <w:kern w:val="0"/>
                      <w:sz w:val="21"/>
                      <w:szCs w:val="21"/>
                      <w:highlight w:val="none"/>
                    </w:rPr>
                    <w:t>储存</w:t>
                  </w:r>
                  <w:r>
                    <w:rPr>
                      <w:rFonts w:hint="eastAsia" w:ascii="Times New Roman" w:hAnsi="Times New Roman" w:cs="Times New Roman" w:eastAsiaTheme="minorEastAsia"/>
                      <w:color w:val="auto"/>
                      <w:kern w:val="0"/>
                      <w:sz w:val="21"/>
                      <w:szCs w:val="21"/>
                      <w:highlight w:val="none"/>
                      <w:lang w:eastAsia="zh-CN"/>
                    </w:rPr>
                    <w:t>。</w:t>
                  </w:r>
                </w:p>
              </w:tc>
              <w:tc>
                <w:tcPr>
                  <w:tcW w:w="630" w:type="pct"/>
                  <w:vAlign w:val="center"/>
                </w:tcPr>
                <w:p w14:paraId="3392F86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新建</w:t>
                  </w:r>
                </w:p>
              </w:tc>
            </w:tr>
            <w:tr w14:paraId="00FD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3618359F">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384" w:type="pct"/>
                  <w:gridSpan w:val="2"/>
                  <w:vMerge w:val="continue"/>
                  <w:vAlign w:val="center"/>
                </w:tcPr>
                <w:p w14:paraId="59CDE3BC">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306" w:type="pct"/>
                  <w:vMerge w:val="continue"/>
                  <w:vAlign w:val="center"/>
                </w:tcPr>
                <w:p w14:paraId="4AA68E5E">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453" w:type="pct"/>
                  <w:vAlign w:val="center"/>
                </w:tcPr>
                <w:p w14:paraId="4202E3D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成品</w:t>
                  </w:r>
                </w:p>
                <w:p w14:paraId="72B09BA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库区</w:t>
                  </w:r>
                </w:p>
              </w:tc>
              <w:tc>
                <w:tcPr>
                  <w:tcW w:w="2875" w:type="pct"/>
                  <w:vAlign w:val="center"/>
                </w:tcPr>
                <w:p w14:paraId="7C4FC734">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Times New Roman" w:hAnsi="Times New Roman" w:cs="Times New Roman" w:eastAsiaTheme="minorEastAsia"/>
                      <w:color w:val="auto"/>
                      <w:sz w:val="21"/>
                      <w:szCs w:val="21"/>
                      <w:highlight w:val="none"/>
                      <w:lang w:eastAsia="zh-CN"/>
                    </w:rPr>
                  </w:pPr>
                  <w:r>
                    <w:rPr>
                      <w:rFonts w:hint="default" w:ascii="Times New Roman" w:hAnsi="Times New Roman" w:cs="Times New Roman" w:eastAsiaTheme="minorEastAsia"/>
                      <w:color w:val="auto"/>
                      <w:kern w:val="0"/>
                      <w:sz w:val="21"/>
                      <w:szCs w:val="21"/>
                      <w:highlight w:val="none"/>
                    </w:rPr>
                    <w:t>位于</w:t>
                  </w:r>
                  <w:r>
                    <w:rPr>
                      <w:rFonts w:hint="eastAsia" w:cs="Times New Roman" w:eastAsiaTheme="minorEastAsia"/>
                      <w:color w:val="auto"/>
                      <w:kern w:val="0"/>
                      <w:sz w:val="21"/>
                      <w:szCs w:val="21"/>
                      <w:highlight w:val="none"/>
                      <w:lang w:val="en-US" w:eastAsia="zh-CN"/>
                    </w:rPr>
                    <w:t>固体复合微生物肥生产厂区中部</w:t>
                  </w:r>
                  <w:r>
                    <w:rPr>
                      <w:rFonts w:hint="default" w:ascii="Times New Roman" w:hAnsi="Times New Roman" w:cs="Times New Roman" w:eastAsiaTheme="minorEastAsia"/>
                      <w:color w:val="auto"/>
                      <w:kern w:val="0"/>
                      <w:sz w:val="21"/>
                      <w:szCs w:val="21"/>
                      <w:highlight w:val="none"/>
                    </w:rPr>
                    <w:t>，</w:t>
                  </w:r>
                  <w:r>
                    <w:rPr>
                      <w:rFonts w:hint="eastAsia" w:cs="Times New Roman" w:eastAsiaTheme="minorEastAsia"/>
                      <w:color w:val="auto"/>
                      <w:kern w:val="0"/>
                      <w:sz w:val="21"/>
                      <w:szCs w:val="21"/>
                      <w:highlight w:val="none"/>
                      <w:lang w:val="en-US" w:eastAsia="zh-CN"/>
                    </w:rPr>
                    <w:t>紧邻辅料库西侧布置，</w:t>
                  </w:r>
                  <w:r>
                    <w:rPr>
                      <w:rFonts w:hint="default" w:ascii="Times New Roman" w:hAnsi="Times New Roman" w:cs="Times New Roman" w:eastAsiaTheme="minorEastAsia"/>
                      <w:color w:val="auto"/>
                      <w:kern w:val="0"/>
                      <w:sz w:val="21"/>
                      <w:szCs w:val="21"/>
                      <w:highlight w:val="none"/>
                    </w:rPr>
                    <w:t>用地面积约</w:t>
                  </w:r>
                  <w:r>
                    <w:rPr>
                      <w:rFonts w:hint="eastAsia" w:cs="Times New Roman" w:eastAsiaTheme="minorEastAsia"/>
                      <w:color w:val="auto"/>
                      <w:kern w:val="0"/>
                      <w:sz w:val="21"/>
                      <w:szCs w:val="21"/>
                      <w:highlight w:val="none"/>
                      <w:lang w:val="en-US" w:eastAsia="zh-CN"/>
                    </w:rPr>
                    <w:t>45</w:t>
                  </w:r>
                  <w:r>
                    <w:rPr>
                      <w:rFonts w:hint="default" w:ascii="Times New Roman" w:hAnsi="Times New Roman" w:cs="Times New Roman" w:eastAsiaTheme="minorEastAsia"/>
                      <w:color w:val="auto"/>
                      <w:kern w:val="0"/>
                      <w:sz w:val="21"/>
                      <w:szCs w:val="21"/>
                      <w:highlight w:val="none"/>
                    </w:rPr>
                    <w:t>0m</w:t>
                  </w:r>
                  <w:r>
                    <w:rPr>
                      <w:rFonts w:hint="default" w:ascii="Times New Roman" w:hAnsi="Times New Roman" w:cs="Times New Roman" w:eastAsiaTheme="minorEastAsia"/>
                      <w:color w:val="auto"/>
                      <w:kern w:val="0"/>
                      <w:sz w:val="21"/>
                      <w:szCs w:val="21"/>
                      <w:highlight w:val="none"/>
                      <w:vertAlign w:val="superscript"/>
                    </w:rPr>
                    <w:t>2</w:t>
                  </w:r>
                  <w:r>
                    <w:rPr>
                      <w:rFonts w:hint="default" w:ascii="Times New Roman" w:hAnsi="Times New Roman" w:cs="Times New Roman" w:eastAsiaTheme="minorEastAsia"/>
                      <w:color w:val="auto"/>
                      <w:kern w:val="0"/>
                      <w:sz w:val="21"/>
                      <w:szCs w:val="21"/>
                      <w:highlight w:val="none"/>
                    </w:rPr>
                    <w:t>，</w:t>
                  </w:r>
                  <w:r>
                    <w:rPr>
                      <w:rFonts w:hint="eastAsia" w:cs="Times New Roman" w:eastAsiaTheme="minorEastAsia"/>
                      <w:color w:val="auto"/>
                      <w:kern w:val="0"/>
                      <w:sz w:val="21"/>
                      <w:szCs w:val="21"/>
                      <w:highlight w:val="none"/>
                      <w:lang w:val="en-US" w:eastAsia="zh-CN"/>
                    </w:rPr>
                    <w:t>拟设计为8m的</w:t>
                  </w:r>
                  <w:r>
                    <w:rPr>
                      <w:rFonts w:hint="default" w:ascii="Times New Roman" w:hAnsi="Times New Roman" w:cs="Times New Roman" w:eastAsiaTheme="minorEastAsia"/>
                      <w:bCs/>
                      <w:color w:val="auto"/>
                      <w:sz w:val="21"/>
                      <w:szCs w:val="21"/>
                      <w:highlight w:val="none"/>
                    </w:rPr>
                    <w:t>轻钢</w:t>
                  </w:r>
                  <w:r>
                    <w:rPr>
                      <w:rFonts w:hint="eastAsia" w:cs="Times New Roman" w:eastAsiaTheme="minorEastAsia"/>
                      <w:bCs/>
                      <w:color w:val="auto"/>
                      <w:sz w:val="21"/>
                      <w:szCs w:val="21"/>
                      <w:highlight w:val="none"/>
                      <w:lang w:val="en-US" w:eastAsia="zh-CN"/>
                    </w:rPr>
                    <w:t>彩钢瓦</w:t>
                  </w:r>
                  <w:r>
                    <w:rPr>
                      <w:rFonts w:hint="default" w:ascii="Times New Roman" w:hAnsi="Times New Roman" w:cs="Times New Roman" w:eastAsiaTheme="minorEastAsia"/>
                      <w:bCs/>
                      <w:color w:val="auto"/>
                      <w:sz w:val="21"/>
                      <w:szCs w:val="21"/>
                      <w:highlight w:val="none"/>
                    </w:rPr>
                    <w:t>结构</w:t>
                  </w:r>
                  <w:r>
                    <w:rPr>
                      <w:rFonts w:hint="eastAsia" w:cs="Times New Roman" w:eastAsiaTheme="minorEastAsia"/>
                      <w:bCs/>
                      <w:color w:val="auto"/>
                      <w:sz w:val="21"/>
                      <w:szCs w:val="21"/>
                      <w:highlight w:val="none"/>
                      <w:lang w:val="en-US" w:eastAsia="zh-CN"/>
                    </w:rPr>
                    <w:t>厂房</w:t>
                  </w:r>
                  <w:r>
                    <w:rPr>
                      <w:rFonts w:hint="default" w:ascii="Times New Roman" w:hAnsi="Times New Roman" w:cs="Times New Roman" w:eastAsiaTheme="minorEastAsia"/>
                      <w:bCs/>
                      <w:color w:val="auto"/>
                      <w:sz w:val="21"/>
                      <w:szCs w:val="21"/>
                      <w:highlight w:val="none"/>
                    </w:rPr>
                    <w:t>，</w:t>
                  </w:r>
                  <w:r>
                    <w:rPr>
                      <w:rFonts w:hint="eastAsia" w:ascii="Times New Roman" w:hAnsi="Times New Roman" w:cs="Times New Roman" w:eastAsiaTheme="minorEastAsia"/>
                      <w:bCs/>
                      <w:color w:val="auto"/>
                      <w:sz w:val="21"/>
                      <w:szCs w:val="21"/>
                      <w:highlight w:val="none"/>
                      <w:lang w:val="en-US" w:eastAsia="zh-CN"/>
                    </w:rPr>
                    <w:t>用于固体的</w:t>
                  </w:r>
                  <w:r>
                    <w:rPr>
                      <w:rFonts w:hint="eastAsia" w:cs="Times New Roman" w:eastAsiaTheme="minorEastAsia"/>
                      <w:bCs/>
                      <w:color w:val="auto"/>
                      <w:sz w:val="21"/>
                      <w:szCs w:val="21"/>
                      <w:highlight w:val="none"/>
                      <w:lang w:val="en-US" w:eastAsia="zh-CN"/>
                    </w:rPr>
                    <w:t>复合微生物肥</w:t>
                  </w:r>
                  <w:r>
                    <w:rPr>
                      <w:rFonts w:hint="default" w:ascii="Times New Roman" w:hAnsi="Times New Roman" w:cs="Times New Roman" w:eastAsiaTheme="minorEastAsia"/>
                      <w:color w:val="auto"/>
                      <w:kern w:val="0"/>
                      <w:sz w:val="21"/>
                      <w:szCs w:val="21"/>
                      <w:highlight w:val="none"/>
                    </w:rPr>
                    <w:t>储存</w:t>
                  </w:r>
                  <w:r>
                    <w:rPr>
                      <w:rFonts w:hint="eastAsia" w:cs="Times New Roman" w:eastAsiaTheme="minorEastAsia"/>
                      <w:color w:val="auto"/>
                      <w:kern w:val="0"/>
                      <w:sz w:val="21"/>
                      <w:szCs w:val="21"/>
                      <w:highlight w:val="none"/>
                      <w:lang w:eastAsia="zh-CN"/>
                    </w:rPr>
                    <w:t>。</w:t>
                  </w:r>
                </w:p>
              </w:tc>
              <w:tc>
                <w:tcPr>
                  <w:tcW w:w="630" w:type="pct"/>
                  <w:vAlign w:val="center"/>
                </w:tcPr>
                <w:p w14:paraId="1B9A13F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rPr>
                    <w:t>新建</w:t>
                  </w:r>
                </w:p>
              </w:tc>
            </w:tr>
            <w:tr w14:paraId="0E055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2856E8A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384" w:type="pct"/>
                  <w:gridSpan w:val="2"/>
                  <w:vMerge w:val="continue"/>
                  <w:vAlign w:val="center"/>
                </w:tcPr>
                <w:p w14:paraId="29280E4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306" w:type="pct"/>
                  <w:vMerge w:val="restart"/>
                  <w:vAlign w:val="center"/>
                </w:tcPr>
                <w:p w14:paraId="00B8CDA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eastAsia" w:cs="Times New Roman" w:eastAsiaTheme="minorEastAsia"/>
                      <w:color w:val="auto"/>
                      <w:kern w:val="0"/>
                      <w:sz w:val="21"/>
                      <w:szCs w:val="21"/>
                      <w:highlight w:val="none"/>
                      <w:lang w:eastAsia="zh-CN"/>
                    </w:rPr>
                    <w:t>液体复合微生物肥料</w:t>
                  </w:r>
                  <w:r>
                    <w:rPr>
                      <w:rFonts w:hint="default" w:ascii="Times New Roman" w:hAnsi="Times New Roman" w:cs="Times New Roman" w:eastAsiaTheme="minorEastAsia"/>
                      <w:color w:val="auto"/>
                      <w:kern w:val="0"/>
                      <w:sz w:val="21"/>
                      <w:szCs w:val="21"/>
                      <w:highlight w:val="none"/>
                    </w:rPr>
                    <w:t>车间</w:t>
                  </w:r>
                </w:p>
              </w:tc>
              <w:tc>
                <w:tcPr>
                  <w:tcW w:w="3329" w:type="pct"/>
                  <w:gridSpan w:val="2"/>
                  <w:vAlign w:val="center"/>
                </w:tcPr>
                <w:p w14:paraId="4CB6CB5C">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kern w:val="0"/>
                      <w:sz w:val="21"/>
                      <w:szCs w:val="21"/>
                      <w:highlight w:val="none"/>
                    </w:rPr>
                  </w:pPr>
                  <w:r>
                    <w:rPr>
                      <w:rFonts w:hint="eastAsia" w:cs="Times New Roman" w:eastAsiaTheme="minorEastAsia"/>
                      <w:color w:val="auto"/>
                      <w:kern w:val="0"/>
                      <w:sz w:val="21"/>
                      <w:szCs w:val="21"/>
                      <w:highlight w:val="none"/>
                      <w:lang w:val="en-US" w:eastAsia="zh-CN"/>
                    </w:rPr>
                    <w:t>液体复合微生物肥料</w:t>
                  </w:r>
                  <w:r>
                    <w:rPr>
                      <w:rFonts w:hint="eastAsia" w:ascii="Times New Roman" w:hAnsi="Times New Roman" w:cs="Times New Roman" w:eastAsiaTheme="minorEastAsia"/>
                      <w:color w:val="auto"/>
                      <w:kern w:val="0"/>
                      <w:sz w:val="21"/>
                      <w:szCs w:val="21"/>
                      <w:highlight w:val="none"/>
                      <w:lang w:val="en-US" w:eastAsia="zh-CN"/>
                    </w:rPr>
                    <w:t>生产车间拟设于</w:t>
                  </w:r>
                  <w:r>
                    <w:rPr>
                      <w:rFonts w:hint="default" w:ascii="Times New Roman" w:hAnsi="Times New Roman" w:cs="Times New Roman" w:eastAsiaTheme="minorEastAsia"/>
                      <w:color w:val="auto"/>
                      <w:kern w:val="0"/>
                      <w:sz w:val="21"/>
                      <w:szCs w:val="21"/>
                      <w:highlight w:val="none"/>
                    </w:rPr>
                    <w:t>二级烘干粉碎车间</w:t>
                  </w:r>
                  <w:r>
                    <w:rPr>
                      <w:rFonts w:hint="eastAsia" w:cs="Times New Roman" w:eastAsiaTheme="minorEastAsia"/>
                      <w:color w:val="auto"/>
                      <w:kern w:val="0"/>
                      <w:sz w:val="21"/>
                      <w:szCs w:val="21"/>
                      <w:highlight w:val="none"/>
                      <w:lang w:val="en-US" w:eastAsia="zh-CN"/>
                    </w:rPr>
                    <w:t>，</w:t>
                  </w:r>
                  <w:r>
                    <w:rPr>
                      <w:rFonts w:hint="default" w:ascii="Times New Roman" w:hAnsi="Times New Roman" w:cs="Times New Roman" w:eastAsiaTheme="minorEastAsia"/>
                      <w:color w:val="auto"/>
                      <w:kern w:val="0"/>
                      <w:sz w:val="21"/>
                      <w:szCs w:val="21"/>
                      <w:highlight w:val="none"/>
                    </w:rPr>
                    <w:t>二级烘干粉碎车间</w:t>
                  </w:r>
                  <w:r>
                    <w:rPr>
                      <w:rFonts w:hint="eastAsia" w:ascii="Times New Roman" w:hAnsi="Times New Roman" w:cs="Times New Roman" w:eastAsiaTheme="minorEastAsia"/>
                      <w:color w:val="auto"/>
                      <w:kern w:val="0"/>
                      <w:sz w:val="21"/>
                      <w:szCs w:val="21"/>
                      <w:highlight w:val="none"/>
                      <w:lang w:val="en-US" w:eastAsia="zh-CN"/>
                    </w:rPr>
                    <w:t>现状为1栋占地</w:t>
                  </w:r>
                  <w:r>
                    <w:rPr>
                      <w:rFonts w:hint="default" w:ascii="Times New Roman" w:hAnsi="Times New Roman" w:cs="Times New Roman" w:eastAsiaTheme="minorEastAsia"/>
                      <w:color w:val="auto"/>
                      <w:kern w:val="0"/>
                      <w:sz w:val="21"/>
                      <w:szCs w:val="21"/>
                      <w:highlight w:val="none"/>
                    </w:rPr>
                    <w:t>面积2040.98m</w:t>
                  </w:r>
                  <w:r>
                    <w:rPr>
                      <w:rFonts w:hint="default" w:ascii="Times New Roman" w:hAnsi="Times New Roman" w:cs="Times New Roman" w:eastAsiaTheme="minorEastAsia"/>
                      <w:color w:val="auto"/>
                      <w:kern w:val="0"/>
                      <w:sz w:val="21"/>
                      <w:szCs w:val="21"/>
                      <w:highlight w:val="none"/>
                      <w:vertAlign w:val="superscript"/>
                    </w:rPr>
                    <w:t>2</w:t>
                  </w:r>
                  <w:r>
                    <w:rPr>
                      <w:rFonts w:hint="default" w:ascii="Times New Roman" w:hAnsi="Times New Roman" w:cs="Times New Roman" w:eastAsiaTheme="minorEastAsia"/>
                      <w:color w:val="auto"/>
                      <w:kern w:val="0"/>
                      <w:sz w:val="21"/>
                      <w:szCs w:val="21"/>
                      <w:highlight w:val="none"/>
                    </w:rPr>
                    <w:t>高约6m</w:t>
                  </w:r>
                  <w:r>
                    <w:rPr>
                      <w:rFonts w:hint="eastAsia" w:ascii="Times New Roman" w:hAnsi="Times New Roman" w:cs="Times New Roman" w:eastAsiaTheme="minorEastAsia"/>
                      <w:color w:val="auto"/>
                      <w:kern w:val="0"/>
                      <w:sz w:val="21"/>
                      <w:szCs w:val="21"/>
                      <w:highlight w:val="none"/>
                      <w:lang w:val="en-US" w:eastAsia="zh-CN"/>
                    </w:rPr>
                    <w:t>的轻钢结构厂房，</w:t>
                  </w:r>
                  <w:r>
                    <w:rPr>
                      <w:rFonts w:hint="eastAsia" w:cs="Times New Roman" w:eastAsiaTheme="minorEastAsia"/>
                      <w:color w:val="auto"/>
                      <w:kern w:val="0"/>
                      <w:sz w:val="21"/>
                      <w:szCs w:val="21"/>
                      <w:highlight w:val="none"/>
                      <w:lang w:val="en-US" w:eastAsia="zh-CN"/>
                    </w:rPr>
                    <w:t>该车间设置于</w:t>
                  </w:r>
                  <w:r>
                    <w:rPr>
                      <w:rFonts w:hint="default" w:ascii="Times New Roman" w:hAnsi="Times New Roman" w:cs="Times New Roman" w:eastAsiaTheme="minorEastAsia"/>
                      <w:color w:val="auto"/>
                      <w:kern w:val="0"/>
                      <w:sz w:val="21"/>
                      <w:szCs w:val="21"/>
                      <w:highlight w:val="none"/>
                    </w:rPr>
                    <w:t>二级烘干粉碎车间</w:t>
                  </w:r>
                  <w:r>
                    <w:rPr>
                      <w:rFonts w:hint="eastAsia" w:cs="Times New Roman" w:eastAsiaTheme="minorEastAsia"/>
                      <w:color w:val="auto"/>
                      <w:kern w:val="0"/>
                      <w:sz w:val="21"/>
                      <w:szCs w:val="21"/>
                      <w:highlight w:val="none"/>
                      <w:lang w:val="en-US" w:eastAsia="zh-CN"/>
                    </w:rPr>
                    <w:t>北侧，占地面积500m</w:t>
                  </w:r>
                  <w:r>
                    <w:rPr>
                      <w:rFonts w:hint="eastAsia" w:cs="Times New Roman" w:eastAsiaTheme="minorEastAsia"/>
                      <w:color w:val="auto"/>
                      <w:kern w:val="0"/>
                      <w:sz w:val="21"/>
                      <w:szCs w:val="21"/>
                      <w:highlight w:val="none"/>
                      <w:vertAlign w:val="superscript"/>
                      <w:lang w:val="en-US" w:eastAsia="zh-CN"/>
                    </w:rPr>
                    <w:t>2</w:t>
                  </w:r>
                  <w:r>
                    <w:rPr>
                      <w:rFonts w:hint="default" w:ascii="Times New Roman" w:hAnsi="Times New Roman" w:cs="Times New Roman" w:eastAsiaTheme="minorEastAsia"/>
                      <w:color w:val="auto"/>
                      <w:kern w:val="0"/>
                      <w:sz w:val="21"/>
                      <w:szCs w:val="21"/>
                      <w:highlight w:val="none"/>
                    </w:rPr>
                    <w:t>。</w:t>
                  </w:r>
                  <w:r>
                    <w:rPr>
                      <w:rFonts w:hint="eastAsia" w:cs="Times New Roman" w:eastAsiaTheme="minorEastAsia"/>
                      <w:color w:val="auto"/>
                      <w:kern w:val="0"/>
                      <w:sz w:val="21"/>
                      <w:szCs w:val="21"/>
                      <w:highlight w:val="none"/>
                      <w:lang w:val="en-US" w:eastAsia="zh-CN"/>
                    </w:rPr>
                    <w:t>车间根据功能区</w:t>
                  </w:r>
                  <w:r>
                    <w:rPr>
                      <w:rFonts w:hint="default" w:ascii="Times New Roman" w:hAnsi="Times New Roman" w:cs="Times New Roman" w:eastAsiaTheme="minorEastAsia"/>
                      <w:color w:val="auto"/>
                      <w:kern w:val="0"/>
                      <w:sz w:val="21"/>
                      <w:szCs w:val="21"/>
                      <w:highlight w:val="none"/>
                    </w:rPr>
                    <w:t>划分生产区、原料库区、成品库区等3个区域。主要布置1条</w:t>
                  </w:r>
                  <w:r>
                    <w:rPr>
                      <w:rFonts w:hint="eastAsia" w:cs="Times New Roman" w:eastAsiaTheme="minorEastAsia"/>
                      <w:color w:val="auto"/>
                      <w:kern w:val="0"/>
                      <w:sz w:val="21"/>
                      <w:szCs w:val="21"/>
                      <w:highlight w:val="none"/>
                      <w:lang w:val="en-US" w:eastAsia="zh-CN"/>
                    </w:rPr>
                    <w:t>液体复合微生物肥</w:t>
                  </w:r>
                  <w:r>
                    <w:rPr>
                      <w:rFonts w:hint="default" w:ascii="Times New Roman" w:hAnsi="Times New Roman" w:cs="Times New Roman" w:eastAsiaTheme="minorEastAsia"/>
                      <w:color w:val="auto"/>
                      <w:kern w:val="0"/>
                      <w:sz w:val="21"/>
                      <w:szCs w:val="21"/>
                      <w:highlight w:val="none"/>
                    </w:rPr>
                    <w:t>生产线。</w:t>
                  </w:r>
                </w:p>
              </w:tc>
              <w:tc>
                <w:tcPr>
                  <w:tcW w:w="630" w:type="pct"/>
                  <w:vMerge w:val="restart"/>
                  <w:vAlign w:val="center"/>
                </w:tcPr>
                <w:p w14:paraId="1BA46D6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vertAlign w:val="baseline"/>
                      <w:lang w:val="en-US" w:eastAsia="zh-CN"/>
                    </w:rPr>
                  </w:pPr>
                  <w:r>
                    <w:rPr>
                      <w:rFonts w:hint="eastAsia" w:cs="Times New Roman" w:eastAsiaTheme="minorEastAsia"/>
                      <w:color w:val="auto"/>
                      <w:kern w:val="0"/>
                      <w:sz w:val="21"/>
                      <w:szCs w:val="21"/>
                      <w:highlight w:val="none"/>
                      <w:lang w:val="en-US" w:eastAsia="zh-CN"/>
                    </w:rPr>
                    <w:t>改造现有</w:t>
                  </w:r>
                  <w:r>
                    <w:rPr>
                      <w:rFonts w:hint="default" w:ascii="Times New Roman" w:hAnsi="Times New Roman" w:cs="Times New Roman" w:eastAsiaTheme="minorEastAsia"/>
                      <w:color w:val="auto"/>
                      <w:kern w:val="0"/>
                      <w:sz w:val="21"/>
                      <w:szCs w:val="21"/>
                      <w:highlight w:val="none"/>
                    </w:rPr>
                    <w:t>二级烘干粉碎车间</w:t>
                  </w:r>
                  <w:r>
                    <w:rPr>
                      <w:rFonts w:hint="eastAsia" w:cs="Times New Roman" w:eastAsiaTheme="minorEastAsia"/>
                      <w:color w:val="auto"/>
                      <w:kern w:val="0"/>
                      <w:sz w:val="21"/>
                      <w:szCs w:val="21"/>
                      <w:highlight w:val="none"/>
                      <w:lang w:val="en-US" w:eastAsia="zh-CN"/>
                    </w:rPr>
                    <w:t>北侧500m</w:t>
                  </w:r>
                  <w:r>
                    <w:rPr>
                      <w:rFonts w:hint="eastAsia" w:cs="Times New Roman" w:eastAsiaTheme="minorEastAsia"/>
                      <w:color w:val="auto"/>
                      <w:kern w:val="0"/>
                      <w:sz w:val="21"/>
                      <w:szCs w:val="21"/>
                      <w:highlight w:val="none"/>
                      <w:vertAlign w:val="superscript"/>
                      <w:lang w:val="en-US" w:eastAsia="zh-CN"/>
                    </w:rPr>
                    <w:t>2</w:t>
                  </w:r>
                  <w:r>
                    <w:rPr>
                      <w:rFonts w:hint="eastAsia" w:cs="Times New Roman" w:eastAsiaTheme="minorEastAsia"/>
                      <w:color w:val="auto"/>
                      <w:kern w:val="0"/>
                      <w:sz w:val="21"/>
                      <w:szCs w:val="21"/>
                      <w:highlight w:val="none"/>
                      <w:vertAlign w:val="baseline"/>
                      <w:lang w:val="en-US" w:eastAsia="zh-CN"/>
                    </w:rPr>
                    <w:t>作为生产车间。</w:t>
                  </w:r>
                </w:p>
              </w:tc>
            </w:tr>
            <w:tr w14:paraId="2D6C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7EFFD363">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384" w:type="pct"/>
                  <w:gridSpan w:val="2"/>
                  <w:vMerge w:val="continue"/>
                  <w:vAlign w:val="center"/>
                </w:tcPr>
                <w:p w14:paraId="375D833D">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306" w:type="pct"/>
                  <w:vMerge w:val="continue"/>
                  <w:vAlign w:val="center"/>
                </w:tcPr>
                <w:p w14:paraId="198081D2">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453" w:type="pct"/>
                  <w:vAlign w:val="center"/>
                </w:tcPr>
                <w:p w14:paraId="720113C7">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rPr>
                    <w:t>生产区</w:t>
                  </w:r>
                </w:p>
              </w:tc>
              <w:tc>
                <w:tcPr>
                  <w:tcW w:w="2875" w:type="pct"/>
                  <w:vAlign w:val="center"/>
                </w:tcPr>
                <w:p w14:paraId="2E60A5DE">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Times New Roman" w:hAnsi="Times New Roman" w:cs="Times New Roman" w:eastAsiaTheme="minorEastAsia"/>
                      <w:color w:val="auto"/>
                      <w:sz w:val="21"/>
                      <w:szCs w:val="21"/>
                      <w:highlight w:val="none"/>
                      <w:lang w:eastAsia="zh-CN"/>
                    </w:rPr>
                  </w:pPr>
                  <w:r>
                    <w:rPr>
                      <w:rFonts w:hint="default" w:ascii="Times New Roman" w:hAnsi="Times New Roman" w:cs="Times New Roman" w:eastAsiaTheme="minorEastAsia"/>
                      <w:color w:val="auto"/>
                      <w:kern w:val="0"/>
                      <w:sz w:val="21"/>
                      <w:szCs w:val="21"/>
                      <w:highlight w:val="none"/>
                    </w:rPr>
                    <w:t>位于</w:t>
                  </w:r>
                  <w:r>
                    <w:rPr>
                      <w:rFonts w:hint="eastAsia" w:cs="Times New Roman" w:eastAsiaTheme="minorEastAsia"/>
                      <w:color w:val="auto"/>
                      <w:kern w:val="0"/>
                      <w:sz w:val="21"/>
                      <w:szCs w:val="21"/>
                      <w:highlight w:val="none"/>
                      <w:lang w:eastAsia="zh-CN"/>
                    </w:rPr>
                    <w:t>液体复合微生物肥料</w:t>
                  </w:r>
                  <w:r>
                    <w:rPr>
                      <w:rFonts w:hint="default" w:ascii="Times New Roman" w:hAnsi="Times New Roman" w:cs="Times New Roman" w:eastAsiaTheme="minorEastAsia"/>
                      <w:color w:val="auto"/>
                      <w:kern w:val="0"/>
                      <w:sz w:val="21"/>
                      <w:szCs w:val="21"/>
                      <w:highlight w:val="none"/>
                    </w:rPr>
                    <w:t>车间</w:t>
                  </w:r>
                  <w:r>
                    <w:rPr>
                      <w:rFonts w:hint="eastAsia" w:cs="Times New Roman" w:eastAsiaTheme="minorEastAsia"/>
                      <w:color w:val="auto"/>
                      <w:kern w:val="0"/>
                      <w:sz w:val="21"/>
                      <w:szCs w:val="21"/>
                      <w:highlight w:val="none"/>
                      <w:lang w:val="en-US" w:eastAsia="zh-CN"/>
                    </w:rPr>
                    <w:t>西南</w:t>
                  </w:r>
                  <w:r>
                    <w:rPr>
                      <w:rFonts w:hint="default" w:ascii="Times New Roman" w:hAnsi="Times New Roman" w:cs="Times New Roman" w:eastAsiaTheme="minorEastAsia"/>
                      <w:color w:val="auto"/>
                      <w:kern w:val="0"/>
                      <w:sz w:val="21"/>
                      <w:szCs w:val="21"/>
                      <w:highlight w:val="none"/>
                    </w:rPr>
                    <w:t>侧，占地面积约</w:t>
                  </w:r>
                  <w:r>
                    <w:rPr>
                      <w:rFonts w:hint="eastAsia" w:cs="Times New Roman" w:eastAsiaTheme="minorEastAsia"/>
                      <w:color w:val="auto"/>
                      <w:kern w:val="0"/>
                      <w:sz w:val="21"/>
                      <w:szCs w:val="21"/>
                      <w:highlight w:val="none"/>
                      <w:lang w:val="en-US" w:eastAsia="zh-CN"/>
                    </w:rPr>
                    <w:t>2</w:t>
                  </w:r>
                  <w:r>
                    <w:rPr>
                      <w:rFonts w:hint="default" w:ascii="Times New Roman" w:hAnsi="Times New Roman" w:cs="Times New Roman" w:eastAsiaTheme="minorEastAsia"/>
                      <w:color w:val="auto"/>
                      <w:kern w:val="0"/>
                      <w:sz w:val="21"/>
                      <w:szCs w:val="21"/>
                      <w:highlight w:val="none"/>
                    </w:rPr>
                    <w:t>00m</w:t>
                  </w:r>
                  <w:r>
                    <w:rPr>
                      <w:rFonts w:hint="default" w:ascii="Times New Roman" w:hAnsi="Times New Roman" w:cs="Times New Roman" w:eastAsiaTheme="minorEastAsia"/>
                      <w:color w:val="auto"/>
                      <w:kern w:val="0"/>
                      <w:sz w:val="21"/>
                      <w:szCs w:val="21"/>
                      <w:highlight w:val="none"/>
                      <w:vertAlign w:val="superscript"/>
                    </w:rPr>
                    <w:t>2</w:t>
                  </w:r>
                  <w:r>
                    <w:rPr>
                      <w:rFonts w:hint="default" w:ascii="Times New Roman" w:hAnsi="Times New Roman" w:cs="Times New Roman" w:eastAsiaTheme="minorEastAsia"/>
                      <w:color w:val="auto"/>
                      <w:kern w:val="0"/>
                      <w:sz w:val="21"/>
                      <w:szCs w:val="21"/>
                      <w:highlight w:val="none"/>
                    </w:rPr>
                    <w:t>，</w:t>
                  </w:r>
                  <w:r>
                    <w:rPr>
                      <w:rFonts w:hint="eastAsia" w:cs="Times New Roman" w:eastAsiaTheme="minorEastAsia"/>
                      <w:color w:val="auto"/>
                      <w:kern w:val="0"/>
                      <w:sz w:val="21"/>
                      <w:szCs w:val="21"/>
                      <w:highlight w:val="none"/>
                      <w:lang w:val="en-US" w:eastAsia="zh-CN"/>
                    </w:rPr>
                    <w:t>从南向北依次布置</w:t>
                  </w:r>
                  <w:r>
                    <w:rPr>
                      <w:rFonts w:hint="default" w:ascii="Times New Roman" w:hAnsi="Times New Roman" w:cs="Times New Roman" w:eastAsiaTheme="minorEastAsia"/>
                      <w:color w:val="auto"/>
                      <w:kern w:val="0"/>
                      <w:sz w:val="21"/>
                      <w:szCs w:val="21"/>
                      <w:highlight w:val="none"/>
                    </w:rPr>
                    <w:t>发酵罐</w:t>
                  </w:r>
                  <w:r>
                    <w:rPr>
                      <w:rFonts w:hint="eastAsia" w:ascii="Times New Roman" w:hAnsi="Times New Roman" w:cs="Times New Roman" w:eastAsiaTheme="minorEastAsia"/>
                      <w:color w:val="auto"/>
                      <w:kern w:val="0"/>
                      <w:sz w:val="21"/>
                      <w:szCs w:val="21"/>
                      <w:highlight w:val="none"/>
                      <w:lang w:eastAsia="zh-CN"/>
                    </w:rPr>
                    <w:t>、</w:t>
                  </w:r>
                  <w:r>
                    <w:rPr>
                      <w:rFonts w:hint="default" w:ascii="Times New Roman" w:hAnsi="Times New Roman" w:cs="Times New Roman" w:eastAsiaTheme="minorEastAsia"/>
                      <w:color w:val="auto"/>
                      <w:kern w:val="0"/>
                      <w:sz w:val="21"/>
                      <w:szCs w:val="21"/>
                      <w:highlight w:val="none"/>
                    </w:rPr>
                    <w:t>搅拌罐、储存罐、罐装机等设备</w:t>
                  </w:r>
                  <w:r>
                    <w:rPr>
                      <w:rFonts w:hint="eastAsia" w:cs="Times New Roman" w:eastAsiaTheme="minorEastAsia"/>
                      <w:color w:val="auto"/>
                      <w:kern w:val="0"/>
                      <w:sz w:val="21"/>
                      <w:szCs w:val="21"/>
                      <w:highlight w:val="none"/>
                      <w:lang w:eastAsia="zh-CN"/>
                    </w:rPr>
                    <w:t>，</w:t>
                  </w:r>
                  <w:r>
                    <w:rPr>
                      <w:rFonts w:hint="eastAsia" w:cs="Times New Roman" w:eastAsiaTheme="minorEastAsia"/>
                      <w:color w:val="auto"/>
                      <w:kern w:val="0"/>
                      <w:sz w:val="21"/>
                      <w:szCs w:val="21"/>
                      <w:highlight w:val="none"/>
                      <w:lang w:val="en-US" w:eastAsia="zh-CN"/>
                    </w:rPr>
                    <w:t>用于</w:t>
                  </w:r>
                  <w:r>
                    <w:rPr>
                      <w:rFonts w:hint="default" w:ascii="Times New Roman" w:hAnsi="Times New Roman" w:cs="Times New Roman" w:eastAsiaTheme="minorEastAsia"/>
                      <w:color w:val="auto"/>
                      <w:kern w:val="0"/>
                      <w:sz w:val="21"/>
                      <w:szCs w:val="21"/>
                      <w:highlight w:val="none"/>
                    </w:rPr>
                    <w:t>进行</w:t>
                  </w:r>
                  <w:r>
                    <w:rPr>
                      <w:rFonts w:hint="eastAsia" w:cs="Times New Roman" w:eastAsiaTheme="minorEastAsia"/>
                      <w:color w:val="auto"/>
                      <w:kern w:val="0"/>
                      <w:sz w:val="21"/>
                      <w:szCs w:val="21"/>
                      <w:highlight w:val="none"/>
                      <w:lang w:eastAsia="zh-CN"/>
                    </w:rPr>
                    <w:t>液体复合微生物肥料</w:t>
                  </w:r>
                  <w:r>
                    <w:rPr>
                      <w:rFonts w:hint="default" w:ascii="Times New Roman" w:hAnsi="Times New Roman" w:cs="Times New Roman" w:eastAsiaTheme="minorEastAsia"/>
                      <w:color w:val="auto"/>
                      <w:kern w:val="0"/>
                      <w:sz w:val="21"/>
                      <w:szCs w:val="21"/>
                      <w:highlight w:val="none"/>
                    </w:rPr>
                    <w:t>的生产</w:t>
                  </w:r>
                  <w:r>
                    <w:rPr>
                      <w:rFonts w:hint="eastAsia" w:cs="Times New Roman" w:eastAsiaTheme="minorEastAsia"/>
                      <w:color w:val="auto"/>
                      <w:kern w:val="0"/>
                      <w:sz w:val="21"/>
                      <w:szCs w:val="21"/>
                      <w:highlight w:val="none"/>
                      <w:lang w:eastAsia="zh-CN"/>
                    </w:rPr>
                    <w:t>。</w:t>
                  </w:r>
                </w:p>
              </w:tc>
              <w:tc>
                <w:tcPr>
                  <w:tcW w:w="630" w:type="pct"/>
                  <w:vMerge w:val="continue"/>
                  <w:vAlign w:val="center"/>
                </w:tcPr>
                <w:p w14:paraId="4CC7F0C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sz w:val="21"/>
                      <w:szCs w:val="21"/>
                      <w:highlight w:val="none"/>
                    </w:rPr>
                  </w:pPr>
                </w:p>
              </w:tc>
            </w:tr>
            <w:tr w14:paraId="08E7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34D567D9">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384" w:type="pct"/>
                  <w:gridSpan w:val="2"/>
                  <w:vMerge w:val="continue"/>
                  <w:vAlign w:val="center"/>
                </w:tcPr>
                <w:p w14:paraId="79FDBDE7">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306" w:type="pct"/>
                  <w:vMerge w:val="continue"/>
                  <w:vAlign w:val="center"/>
                </w:tcPr>
                <w:p w14:paraId="166B5177">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453" w:type="pct"/>
                  <w:vAlign w:val="center"/>
                </w:tcPr>
                <w:p w14:paraId="2E20F02A">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rPr>
                    <w:t>原料区</w:t>
                  </w:r>
                </w:p>
              </w:tc>
              <w:tc>
                <w:tcPr>
                  <w:tcW w:w="2875" w:type="pct"/>
                  <w:vAlign w:val="center"/>
                </w:tcPr>
                <w:p w14:paraId="40AA3BFF">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Times New Roman" w:hAnsi="Times New Roman" w:cs="Times New Roman" w:eastAsiaTheme="minorEastAsia"/>
                      <w:color w:val="auto"/>
                      <w:sz w:val="21"/>
                      <w:szCs w:val="21"/>
                      <w:highlight w:val="none"/>
                      <w:lang w:eastAsia="zh-CN"/>
                    </w:rPr>
                  </w:pPr>
                  <w:r>
                    <w:rPr>
                      <w:rFonts w:hint="default" w:ascii="Times New Roman" w:hAnsi="Times New Roman" w:cs="Times New Roman" w:eastAsiaTheme="minorEastAsia"/>
                      <w:color w:val="auto"/>
                      <w:kern w:val="0"/>
                      <w:sz w:val="21"/>
                      <w:szCs w:val="21"/>
                      <w:highlight w:val="none"/>
                    </w:rPr>
                    <w:t>原料库区位于厂房东</w:t>
                  </w:r>
                  <w:r>
                    <w:rPr>
                      <w:rFonts w:hint="eastAsia" w:cs="Times New Roman" w:eastAsiaTheme="minorEastAsia"/>
                      <w:color w:val="auto"/>
                      <w:kern w:val="0"/>
                      <w:sz w:val="21"/>
                      <w:szCs w:val="21"/>
                      <w:highlight w:val="none"/>
                      <w:lang w:val="en-US" w:eastAsia="zh-CN"/>
                    </w:rPr>
                    <w:t>北</w:t>
                  </w:r>
                  <w:r>
                    <w:rPr>
                      <w:rFonts w:hint="default" w:ascii="Times New Roman" w:hAnsi="Times New Roman" w:cs="Times New Roman" w:eastAsiaTheme="minorEastAsia"/>
                      <w:color w:val="auto"/>
                      <w:kern w:val="0"/>
                      <w:sz w:val="21"/>
                      <w:szCs w:val="21"/>
                      <w:highlight w:val="none"/>
                    </w:rPr>
                    <w:t>部，用地面积约</w:t>
                  </w:r>
                  <w:r>
                    <w:rPr>
                      <w:rFonts w:hint="eastAsia" w:cs="Times New Roman" w:eastAsiaTheme="minorEastAsia"/>
                      <w:color w:val="auto"/>
                      <w:kern w:val="0"/>
                      <w:sz w:val="21"/>
                      <w:szCs w:val="21"/>
                      <w:highlight w:val="none"/>
                      <w:lang w:val="en-US" w:eastAsia="zh-CN"/>
                    </w:rPr>
                    <w:t>10</w:t>
                  </w:r>
                  <w:r>
                    <w:rPr>
                      <w:rFonts w:hint="default" w:ascii="Times New Roman" w:hAnsi="Times New Roman" w:cs="Times New Roman" w:eastAsiaTheme="minorEastAsia"/>
                      <w:color w:val="auto"/>
                      <w:kern w:val="0"/>
                      <w:sz w:val="21"/>
                      <w:szCs w:val="21"/>
                      <w:highlight w:val="none"/>
                    </w:rPr>
                    <w:t>0m</w:t>
                  </w:r>
                  <w:r>
                    <w:rPr>
                      <w:rFonts w:hint="default" w:ascii="Times New Roman" w:hAnsi="Times New Roman" w:cs="Times New Roman" w:eastAsiaTheme="minorEastAsia"/>
                      <w:color w:val="auto"/>
                      <w:kern w:val="0"/>
                      <w:sz w:val="21"/>
                      <w:szCs w:val="21"/>
                      <w:highlight w:val="none"/>
                      <w:vertAlign w:val="superscript"/>
                    </w:rPr>
                    <w:t>2</w:t>
                  </w:r>
                  <w:r>
                    <w:rPr>
                      <w:rFonts w:hint="default" w:ascii="Times New Roman" w:hAnsi="Times New Roman" w:cs="Times New Roman" w:eastAsiaTheme="minorEastAsia"/>
                      <w:color w:val="auto"/>
                      <w:kern w:val="0"/>
                      <w:sz w:val="21"/>
                      <w:szCs w:val="21"/>
                      <w:highlight w:val="none"/>
                    </w:rPr>
                    <w:t>，用于</w:t>
                  </w:r>
                  <w:r>
                    <w:rPr>
                      <w:rFonts w:hint="eastAsia" w:cs="Times New Roman" w:eastAsiaTheme="minorEastAsia"/>
                      <w:color w:val="auto"/>
                      <w:kern w:val="0"/>
                      <w:sz w:val="21"/>
                      <w:szCs w:val="21"/>
                      <w:highlight w:val="none"/>
                      <w:lang w:val="en-US" w:eastAsia="zh-CN"/>
                    </w:rPr>
                    <w:t>辅料的</w:t>
                  </w:r>
                  <w:r>
                    <w:rPr>
                      <w:rFonts w:hint="default" w:ascii="Times New Roman" w:hAnsi="Times New Roman" w:cs="Times New Roman" w:eastAsiaTheme="minorEastAsia"/>
                      <w:color w:val="auto"/>
                      <w:kern w:val="0"/>
                      <w:sz w:val="21"/>
                      <w:szCs w:val="21"/>
                      <w:highlight w:val="none"/>
                    </w:rPr>
                    <w:t>贮存。其中</w:t>
                  </w:r>
                  <w:r>
                    <w:rPr>
                      <w:rFonts w:hint="eastAsia" w:cs="Times New Roman" w:eastAsiaTheme="minorEastAsia"/>
                      <w:color w:val="auto"/>
                      <w:kern w:val="0"/>
                      <w:sz w:val="21"/>
                      <w:szCs w:val="21"/>
                      <w:highlight w:val="none"/>
                      <w:lang w:val="en-US" w:eastAsia="zh-CN"/>
                    </w:rPr>
                    <w:t>原料</w:t>
                  </w:r>
                  <w:r>
                    <w:rPr>
                      <w:rFonts w:hint="default" w:ascii="Times New Roman" w:hAnsi="Times New Roman" w:cs="Times New Roman" w:eastAsiaTheme="minorEastAsia"/>
                      <w:color w:val="auto"/>
                      <w:kern w:val="0"/>
                      <w:sz w:val="21"/>
                      <w:szCs w:val="21"/>
                      <w:highlight w:val="none"/>
                    </w:rPr>
                    <w:t>尾菜废水不在厂区暂存，采用水泵直接从尾菜废水收集池中抽取使用</w:t>
                  </w:r>
                  <w:r>
                    <w:rPr>
                      <w:rFonts w:hint="eastAsia" w:cs="Times New Roman" w:eastAsiaTheme="minorEastAsia"/>
                      <w:color w:val="auto"/>
                      <w:kern w:val="0"/>
                      <w:sz w:val="21"/>
                      <w:szCs w:val="21"/>
                      <w:highlight w:val="none"/>
                      <w:lang w:eastAsia="zh-CN"/>
                    </w:rPr>
                    <w:t>。</w:t>
                  </w:r>
                </w:p>
              </w:tc>
              <w:tc>
                <w:tcPr>
                  <w:tcW w:w="630" w:type="pct"/>
                  <w:vMerge w:val="continue"/>
                  <w:vAlign w:val="center"/>
                </w:tcPr>
                <w:p w14:paraId="5DCC7D14">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r>
            <w:tr w14:paraId="0306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2ABA792A">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384" w:type="pct"/>
                  <w:gridSpan w:val="2"/>
                  <w:vMerge w:val="continue"/>
                  <w:vAlign w:val="center"/>
                </w:tcPr>
                <w:p w14:paraId="4EC7027E">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306" w:type="pct"/>
                  <w:vMerge w:val="continue"/>
                  <w:vAlign w:val="center"/>
                </w:tcPr>
                <w:p w14:paraId="43B78B7E">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c>
                <w:tcPr>
                  <w:tcW w:w="453" w:type="pct"/>
                  <w:vAlign w:val="center"/>
                </w:tcPr>
                <w:p w14:paraId="736F33F1">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rPr>
                    <w:t>成品区</w:t>
                  </w:r>
                </w:p>
              </w:tc>
              <w:tc>
                <w:tcPr>
                  <w:tcW w:w="2875" w:type="pct"/>
                  <w:vAlign w:val="center"/>
                </w:tcPr>
                <w:p w14:paraId="0C289638">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rPr>
                    <w:t>紧邻原料库区</w:t>
                  </w:r>
                  <w:r>
                    <w:rPr>
                      <w:rFonts w:hint="eastAsia" w:cs="Times New Roman" w:eastAsiaTheme="minorEastAsia"/>
                      <w:color w:val="auto"/>
                      <w:kern w:val="0"/>
                      <w:sz w:val="21"/>
                      <w:szCs w:val="21"/>
                      <w:highlight w:val="none"/>
                      <w:lang w:val="en-US" w:eastAsia="zh-CN"/>
                    </w:rPr>
                    <w:t>东</w:t>
                  </w:r>
                  <w:r>
                    <w:rPr>
                      <w:rStyle w:val="31"/>
                      <w:rFonts w:hint="default" w:ascii="Times New Roman" w:hAnsi="Times New Roman" w:cs="Times New Roman" w:eastAsiaTheme="minorEastAsia"/>
                      <w:color w:val="auto"/>
                      <w:sz w:val="21"/>
                      <w:szCs w:val="21"/>
                      <w:highlight w:val="none"/>
                    </w:rPr>
                    <w:t>南</w:t>
                  </w:r>
                  <w:r>
                    <w:rPr>
                      <w:rFonts w:hint="default" w:ascii="Times New Roman" w:hAnsi="Times New Roman" w:cs="Times New Roman" w:eastAsiaTheme="minorEastAsia"/>
                      <w:color w:val="auto"/>
                      <w:kern w:val="0"/>
                      <w:sz w:val="21"/>
                      <w:szCs w:val="21"/>
                      <w:highlight w:val="none"/>
                    </w:rPr>
                    <w:t>侧，用地面积约</w:t>
                  </w:r>
                  <w:r>
                    <w:rPr>
                      <w:rFonts w:hint="eastAsia" w:cs="Times New Roman" w:eastAsiaTheme="minorEastAsia"/>
                      <w:color w:val="auto"/>
                      <w:kern w:val="0"/>
                      <w:sz w:val="21"/>
                      <w:szCs w:val="21"/>
                      <w:highlight w:val="none"/>
                      <w:lang w:val="en-US" w:eastAsia="zh-CN"/>
                    </w:rPr>
                    <w:t>10</w:t>
                  </w:r>
                  <w:r>
                    <w:rPr>
                      <w:rFonts w:hint="default" w:ascii="Times New Roman" w:hAnsi="Times New Roman" w:cs="Times New Roman" w:eastAsiaTheme="minorEastAsia"/>
                      <w:color w:val="auto"/>
                      <w:kern w:val="0"/>
                      <w:sz w:val="21"/>
                      <w:szCs w:val="21"/>
                      <w:highlight w:val="none"/>
                    </w:rPr>
                    <w:t>0m</w:t>
                  </w:r>
                  <w:r>
                    <w:rPr>
                      <w:rFonts w:hint="default" w:ascii="Times New Roman" w:hAnsi="Times New Roman" w:cs="Times New Roman" w:eastAsiaTheme="minorEastAsia"/>
                      <w:color w:val="auto"/>
                      <w:kern w:val="0"/>
                      <w:sz w:val="21"/>
                      <w:szCs w:val="21"/>
                      <w:highlight w:val="none"/>
                      <w:vertAlign w:val="superscript"/>
                    </w:rPr>
                    <w:t>2</w:t>
                  </w:r>
                  <w:r>
                    <w:rPr>
                      <w:rFonts w:hint="default" w:ascii="Times New Roman" w:hAnsi="Times New Roman" w:cs="Times New Roman" w:eastAsiaTheme="minorEastAsia"/>
                      <w:color w:val="auto"/>
                      <w:kern w:val="0"/>
                      <w:sz w:val="21"/>
                      <w:szCs w:val="21"/>
                      <w:highlight w:val="none"/>
                    </w:rPr>
                    <w:t>，用于成品贮存。</w:t>
                  </w:r>
                </w:p>
              </w:tc>
              <w:tc>
                <w:tcPr>
                  <w:tcW w:w="630" w:type="pct"/>
                  <w:vMerge w:val="continue"/>
                  <w:vAlign w:val="center"/>
                </w:tcPr>
                <w:p w14:paraId="0C17AAF4">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r>
            <w:tr w14:paraId="0541F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restart"/>
                  <w:vAlign w:val="center"/>
                </w:tcPr>
                <w:p w14:paraId="1933DDE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辅助工程</w:t>
                  </w:r>
                </w:p>
              </w:tc>
              <w:tc>
                <w:tcPr>
                  <w:tcW w:w="690" w:type="pct"/>
                  <w:gridSpan w:val="3"/>
                  <w:vAlign w:val="center"/>
                </w:tcPr>
                <w:p w14:paraId="75D591E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实验室</w:t>
                  </w:r>
                </w:p>
              </w:tc>
              <w:tc>
                <w:tcPr>
                  <w:tcW w:w="3329" w:type="pct"/>
                  <w:gridSpan w:val="2"/>
                  <w:vAlign w:val="center"/>
                </w:tcPr>
                <w:p w14:paraId="1D4A7235">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占地面积</w:t>
                  </w:r>
                  <w:r>
                    <w:rPr>
                      <w:rFonts w:hint="eastAsia" w:cs="Times New Roman" w:eastAsiaTheme="minorEastAsia"/>
                      <w:color w:val="auto"/>
                      <w:sz w:val="21"/>
                      <w:szCs w:val="21"/>
                      <w:highlight w:val="none"/>
                      <w:lang w:val="en-US" w:eastAsia="zh-CN"/>
                    </w:rPr>
                    <w:t>1</w:t>
                  </w:r>
                  <w:r>
                    <w:rPr>
                      <w:rFonts w:hint="default" w:ascii="Times New Roman" w:hAnsi="Times New Roman" w:cs="Times New Roman" w:eastAsiaTheme="minorEastAsia"/>
                      <w:color w:val="auto"/>
                      <w:sz w:val="21"/>
                      <w:szCs w:val="21"/>
                      <w:highlight w:val="none"/>
                    </w:rPr>
                    <w:t>50m</w:t>
                  </w:r>
                  <w:r>
                    <w:rPr>
                      <w:rFonts w:hint="default" w:ascii="Times New Roman" w:hAnsi="Times New Roman" w:cs="Times New Roman" w:eastAsiaTheme="minorEastAsia"/>
                      <w:color w:val="auto"/>
                      <w:sz w:val="21"/>
                      <w:szCs w:val="21"/>
                      <w:highlight w:val="none"/>
                      <w:vertAlign w:val="superscript"/>
                    </w:rPr>
                    <w:t>2</w:t>
                  </w:r>
                  <w:r>
                    <w:rPr>
                      <w:rFonts w:hint="default" w:ascii="Times New Roman" w:hAnsi="Times New Roman" w:cs="Times New Roman" w:eastAsiaTheme="minorEastAsia"/>
                      <w:color w:val="auto"/>
                      <w:sz w:val="21"/>
                      <w:szCs w:val="21"/>
                      <w:highlight w:val="none"/>
                    </w:rPr>
                    <w:t>，利用现有办公室</w:t>
                  </w:r>
                  <w:r>
                    <w:rPr>
                      <w:rFonts w:hint="eastAsia" w:ascii="Times New Roman" w:hAnsi="Times New Roman" w:cs="Times New Roman" w:eastAsiaTheme="minorEastAsia"/>
                      <w:color w:val="auto"/>
                      <w:sz w:val="21"/>
                      <w:szCs w:val="21"/>
                      <w:highlight w:val="none"/>
                      <w:lang w:val="en-US" w:eastAsia="zh-CN"/>
                    </w:rPr>
                    <w:t>楼建设</w:t>
                  </w:r>
                  <w:r>
                    <w:rPr>
                      <w:rFonts w:hint="default" w:ascii="Times New Roman" w:hAnsi="Times New Roman" w:cs="Times New Roman" w:eastAsiaTheme="minorEastAsia"/>
                      <w:color w:val="auto"/>
                      <w:sz w:val="21"/>
                      <w:szCs w:val="21"/>
                      <w:highlight w:val="none"/>
                    </w:rPr>
                    <w:t>，</w:t>
                  </w:r>
                  <w:r>
                    <w:rPr>
                      <w:rFonts w:hint="eastAsia" w:cs="Times New Roman" w:eastAsiaTheme="minorEastAsia"/>
                      <w:color w:val="auto"/>
                      <w:sz w:val="21"/>
                      <w:szCs w:val="21"/>
                      <w:highlight w:val="none"/>
                      <w:lang w:val="en-US" w:eastAsia="zh-CN"/>
                    </w:rPr>
                    <w:t>该实验室主要</w:t>
                  </w:r>
                  <w:r>
                    <w:rPr>
                      <w:rFonts w:hint="default" w:ascii="Times New Roman" w:hAnsi="Times New Roman" w:cs="Times New Roman" w:eastAsiaTheme="minorEastAsia"/>
                      <w:color w:val="auto"/>
                      <w:sz w:val="21"/>
                      <w:szCs w:val="21"/>
                      <w:highlight w:val="none"/>
                    </w:rPr>
                    <w:t>开展原辅料入厂抽检、生产过程中间控制、成品出厂全项质量检测及配方小试试验</w:t>
                  </w:r>
                  <w:r>
                    <w:rPr>
                      <w:rFonts w:hint="eastAsia" w:cs="Times New Roman" w:eastAsiaTheme="minorEastAsia"/>
                      <w:color w:val="auto"/>
                      <w:sz w:val="21"/>
                      <w:szCs w:val="21"/>
                      <w:highlight w:val="none"/>
                      <w:lang w:eastAsia="zh-CN"/>
                    </w:rPr>
                    <w:t>，</w:t>
                  </w:r>
                  <w:r>
                    <w:rPr>
                      <w:rFonts w:hint="eastAsia" w:cs="Times New Roman" w:eastAsiaTheme="minorEastAsia"/>
                      <w:color w:val="auto"/>
                      <w:sz w:val="21"/>
                      <w:szCs w:val="21"/>
                      <w:highlight w:val="none"/>
                      <w:lang w:val="en-US" w:eastAsia="zh-CN"/>
                    </w:rPr>
                    <w:t>检测指标主要为pH、外观、水分、菌落生长情况等，检测方法主要为仪器法、目测和物理法等，不涉及强酸、强碱、有机试剂及危险化学试剂的使用</w:t>
                  </w:r>
                  <w:r>
                    <w:rPr>
                      <w:rFonts w:hint="default" w:ascii="Times New Roman" w:hAnsi="Times New Roman" w:cs="Times New Roman" w:eastAsiaTheme="minorEastAsia"/>
                      <w:color w:val="auto"/>
                      <w:sz w:val="21"/>
                      <w:szCs w:val="21"/>
                      <w:highlight w:val="none"/>
                    </w:rPr>
                    <w:t>。</w:t>
                  </w:r>
                </w:p>
              </w:tc>
              <w:tc>
                <w:tcPr>
                  <w:tcW w:w="630" w:type="pct"/>
                  <w:vAlign w:val="center"/>
                </w:tcPr>
                <w:p w14:paraId="4C0C0C55">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ascii="Times New Roman" w:hAnsi="Times New Roman" w:cs="Times New Roman" w:eastAsiaTheme="minorEastAsia"/>
                      <w:color w:val="auto"/>
                      <w:kern w:val="0"/>
                      <w:sz w:val="21"/>
                      <w:szCs w:val="21"/>
                      <w:highlight w:val="none"/>
                      <w:lang w:val="en-US" w:eastAsia="zh-CN"/>
                    </w:rPr>
                  </w:pPr>
                  <w:r>
                    <w:rPr>
                      <w:rFonts w:hint="default" w:ascii="Times New Roman" w:hAnsi="Times New Roman" w:cs="Times New Roman" w:eastAsiaTheme="minorEastAsia"/>
                      <w:color w:val="auto"/>
                      <w:sz w:val="21"/>
                      <w:szCs w:val="21"/>
                      <w:highlight w:val="none"/>
                    </w:rPr>
                    <w:t>利用现有办公室</w:t>
                  </w:r>
                  <w:r>
                    <w:rPr>
                      <w:rFonts w:hint="eastAsia" w:ascii="Times New Roman" w:hAnsi="Times New Roman" w:cs="Times New Roman" w:eastAsiaTheme="minorEastAsia"/>
                      <w:color w:val="auto"/>
                      <w:sz w:val="21"/>
                      <w:szCs w:val="21"/>
                      <w:highlight w:val="none"/>
                      <w:lang w:val="en-US" w:eastAsia="zh-CN"/>
                    </w:rPr>
                    <w:t>楼新建。</w:t>
                  </w:r>
                </w:p>
              </w:tc>
            </w:tr>
            <w:tr w14:paraId="2D876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4DE3F03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690" w:type="pct"/>
                  <w:gridSpan w:val="3"/>
                  <w:vAlign w:val="center"/>
                </w:tcPr>
                <w:p w14:paraId="2E216AB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值班</w:t>
                  </w:r>
                </w:p>
                <w:p w14:paraId="3C8296C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bCs/>
                      <w:color w:val="auto"/>
                      <w:sz w:val="21"/>
                      <w:szCs w:val="21"/>
                      <w:highlight w:val="none"/>
                    </w:rPr>
                    <w:t>休息室</w:t>
                  </w:r>
                </w:p>
              </w:tc>
              <w:tc>
                <w:tcPr>
                  <w:tcW w:w="3329" w:type="pct"/>
                  <w:gridSpan w:val="2"/>
                  <w:vAlign w:val="center"/>
                </w:tcPr>
                <w:p w14:paraId="78DEA68E">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kern w:val="0"/>
                      <w:sz w:val="21"/>
                      <w:szCs w:val="21"/>
                      <w:highlight w:val="none"/>
                    </w:rPr>
                  </w:pPr>
                  <w:r>
                    <w:rPr>
                      <w:rFonts w:hint="eastAsia" w:cs="Times New Roman" w:eastAsiaTheme="minorEastAsia"/>
                      <w:color w:val="auto"/>
                      <w:sz w:val="21"/>
                      <w:szCs w:val="21"/>
                      <w:highlight w:val="none"/>
                      <w:lang w:val="en-US" w:eastAsia="zh-CN"/>
                    </w:rPr>
                    <w:t>依托现有项目区</w:t>
                  </w:r>
                  <w:r>
                    <w:rPr>
                      <w:rFonts w:hint="default" w:ascii="Times New Roman" w:hAnsi="Times New Roman" w:cs="Times New Roman" w:eastAsiaTheme="minorEastAsia"/>
                      <w:color w:val="auto"/>
                      <w:sz w:val="21"/>
                      <w:szCs w:val="21"/>
                      <w:highlight w:val="none"/>
                    </w:rPr>
                    <w:t>东北侧</w:t>
                  </w:r>
                  <w:r>
                    <w:rPr>
                      <w:rFonts w:hint="eastAsia" w:cs="Times New Roman" w:eastAsiaTheme="minorEastAsia"/>
                      <w:color w:val="auto"/>
                      <w:sz w:val="21"/>
                      <w:szCs w:val="21"/>
                      <w:highlight w:val="none"/>
                      <w:lang w:val="en-US" w:eastAsia="zh-CN"/>
                    </w:rPr>
                    <w:t>的已建的一层占地</w:t>
                  </w:r>
                  <w:r>
                    <w:rPr>
                      <w:rFonts w:hint="default" w:ascii="Times New Roman" w:hAnsi="Times New Roman" w:cs="Times New Roman" w:eastAsiaTheme="minorEastAsia"/>
                      <w:color w:val="auto"/>
                      <w:sz w:val="21"/>
                      <w:szCs w:val="21"/>
                      <w:highlight w:val="none"/>
                    </w:rPr>
                    <w:t>25m</w:t>
                  </w:r>
                  <w:r>
                    <w:rPr>
                      <w:rFonts w:hint="default" w:ascii="Times New Roman" w:hAnsi="Times New Roman" w:cs="Times New Roman" w:eastAsiaTheme="minorEastAsia"/>
                      <w:color w:val="auto"/>
                      <w:sz w:val="21"/>
                      <w:szCs w:val="21"/>
                      <w:highlight w:val="none"/>
                      <w:vertAlign w:val="superscript"/>
                    </w:rPr>
                    <w:t>2</w:t>
                  </w:r>
                  <w:r>
                    <w:rPr>
                      <w:rFonts w:hint="eastAsia" w:ascii="Times New Roman" w:hAnsi="Times New Roman" w:cs="Times New Roman" w:eastAsiaTheme="minorEastAsia"/>
                      <w:color w:val="auto"/>
                      <w:sz w:val="21"/>
                      <w:szCs w:val="21"/>
                      <w:highlight w:val="none"/>
                      <w:vertAlign w:val="baseline"/>
                      <w:lang w:val="en-US" w:eastAsia="zh-CN"/>
                    </w:rPr>
                    <w:t>的</w:t>
                  </w:r>
                  <w:r>
                    <w:rPr>
                      <w:rFonts w:hint="default" w:ascii="Times New Roman" w:hAnsi="Times New Roman" w:cs="Times New Roman" w:eastAsiaTheme="minorEastAsia"/>
                      <w:color w:val="auto"/>
                      <w:sz w:val="21"/>
                      <w:szCs w:val="21"/>
                      <w:highlight w:val="none"/>
                    </w:rPr>
                    <w:t>砖混结构。</w:t>
                  </w:r>
                </w:p>
              </w:tc>
              <w:tc>
                <w:tcPr>
                  <w:tcW w:w="630" w:type="pct"/>
                  <w:vAlign w:val="center"/>
                </w:tcPr>
                <w:p w14:paraId="10A88F1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依托</w:t>
                  </w:r>
                </w:p>
              </w:tc>
            </w:tr>
            <w:tr w14:paraId="5685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3E0939F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690" w:type="pct"/>
                  <w:gridSpan w:val="3"/>
                  <w:vAlign w:val="center"/>
                </w:tcPr>
                <w:p w14:paraId="0300EA4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cs="Times New Roman" w:eastAsiaTheme="minorEastAsia"/>
                      <w:color w:val="auto"/>
                      <w:kern w:val="0"/>
                      <w:sz w:val="21"/>
                      <w:szCs w:val="21"/>
                      <w:highlight w:val="none"/>
                      <w:lang w:val="en-US" w:eastAsia="zh-CN"/>
                    </w:rPr>
                  </w:pPr>
                  <w:r>
                    <w:rPr>
                      <w:rFonts w:hint="default" w:ascii="Times New Roman" w:hAnsi="Times New Roman" w:cs="Times New Roman" w:eastAsiaTheme="minorEastAsia"/>
                      <w:color w:val="auto"/>
                      <w:kern w:val="0"/>
                      <w:sz w:val="21"/>
                      <w:szCs w:val="21"/>
                      <w:highlight w:val="none"/>
                    </w:rPr>
                    <w:t>办公</w:t>
                  </w:r>
                  <w:r>
                    <w:rPr>
                      <w:rFonts w:hint="eastAsia" w:cs="Times New Roman" w:eastAsiaTheme="minorEastAsia"/>
                      <w:color w:val="auto"/>
                      <w:kern w:val="0"/>
                      <w:sz w:val="21"/>
                      <w:szCs w:val="21"/>
                      <w:highlight w:val="none"/>
                      <w:lang w:val="en-US" w:eastAsia="zh-CN"/>
                    </w:rPr>
                    <w:t>楼</w:t>
                  </w:r>
                </w:p>
              </w:tc>
              <w:tc>
                <w:tcPr>
                  <w:tcW w:w="3329" w:type="pct"/>
                  <w:gridSpan w:val="2"/>
                  <w:vAlign w:val="center"/>
                </w:tcPr>
                <w:p w14:paraId="55289F2D">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kern w:val="0"/>
                      <w:sz w:val="21"/>
                      <w:szCs w:val="21"/>
                      <w:highlight w:val="none"/>
                    </w:rPr>
                  </w:pPr>
                  <w:r>
                    <w:rPr>
                      <w:rFonts w:hint="eastAsia" w:cs="Times New Roman" w:eastAsiaTheme="minorEastAsia"/>
                      <w:color w:val="auto"/>
                      <w:kern w:val="0"/>
                      <w:sz w:val="21"/>
                      <w:szCs w:val="21"/>
                      <w:highlight w:val="none"/>
                      <w:lang w:val="en-US" w:eastAsia="zh-CN"/>
                    </w:rPr>
                    <w:t>依托现有项目区东北部已建的1栋</w:t>
                  </w:r>
                  <w:r>
                    <w:rPr>
                      <w:rFonts w:hint="default" w:ascii="Times New Roman" w:hAnsi="Times New Roman" w:cs="Times New Roman" w:eastAsiaTheme="minorEastAsia"/>
                      <w:color w:val="auto"/>
                      <w:sz w:val="21"/>
                      <w:szCs w:val="21"/>
                      <w:highlight w:val="none"/>
                    </w:rPr>
                    <w:t>高约12.25m</w:t>
                  </w:r>
                  <w:r>
                    <w:rPr>
                      <w:rFonts w:hint="eastAsia" w:ascii="Times New Roman" w:hAnsi="Times New Roman" w:cs="Times New Roman" w:eastAsiaTheme="minorEastAsia"/>
                      <w:color w:val="auto"/>
                      <w:sz w:val="21"/>
                      <w:szCs w:val="21"/>
                      <w:highlight w:val="none"/>
                      <w:lang w:val="en-US" w:eastAsia="zh-CN"/>
                    </w:rPr>
                    <w:t>的</w:t>
                  </w:r>
                  <w:r>
                    <w:rPr>
                      <w:rFonts w:hint="default" w:ascii="Times New Roman" w:hAnsi="Times New Roman" w:cs="Times New Roman" w:eastAsiaTheme="minorEastAsia"/>
                      <w:color w:val="auto"/>
                      <w:sz w:val="21"/>
                      <w:szCs w:val="21"/>
                      <w:highlight w:val="none"/>
                    </w:rPr>
                    <w:t>二层砖混结构，建筑面积约1163.12m</w:t>
                  </w:r>
                  <w:r>
                    <w:rPr>
                      <w:rFonts w:hint="default" w:ascii="Times New Roman" w:hAnsi="Times New Roman" w:cs="Times New Roman" w:eastAsiaTheme="minorEastAsia"/>
                      <w:color w:val="auto"/>
                      <w:sz w:val="21"/>
                      <w:szCs w:val="21"/>
                      <w:highlight w:val="none"/>
                      <w:vertAlign w:val="superscript"/>
                    </w:rPr>
                    <w:t>2</w:t>
                  </w:r>
                  <w:r>
                    <w:rPr>
                      <w:rFonts w:hint="default" w:ascii="Times New Roman" w:hAnsi="Times New Roman" w:cs="Times New Roman" w:eastAsiaTheme="minorEastAsia"/>
                      <w:color w:val="auto"/>
                      <w:sz w:val="21"/>
                      <w:szCs w:val="21"/>
                      <w:highlight w:val="none"/>
                    </w:rPr>
                    <w:t>。主要用于行政办公。</w:t>
                  </w:r>
                </w:p>
              </w:tc>
              <w:tc>
                <w:tcPr>
                  <w:tcW w:w="630" w:type="pct"/>
                  <w:vAlign w:val="center"/>
                </w:tcPr>
                <w:p w14:paraId="126F651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依托</w:t>
                  </w:r>
                </w:p>
              </w:tc>
            </w:tr>
            <w:tr w14:paraId="5C0F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5E26A76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690" w:type="pct"/>
                  <w:gridSpan w:val="3"/>
                  <w:vAlign w:val="center"/>
                </w:tcPr>
                <w:p w14:paraId="7894346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ascii="Times New Roman" w:hAnsi="Times New Roman" w:cs="Times New Roman" w:eastAsiaTheme="minorEastAsia"/>
                      <w:color w:val="auto"/>
                      <w:kern w:val="0"/>
                      <w:sz w:val="21"/>
                      <w:szCs w:val="21"/>
                      <w:highlight w:val="none"/>
                      <w:lang w:val="en-US" w:eastAsia="zh-CN"/>
                    </w:rPr>
                    <w:t>业务用房</w:t>
                  </w:r>
                </w:p>
              </w:tc>
              <w:tc>
                <w:tcPr>
                  <w:tcW w:w="3329" w:type="pct"/>
                  <w:gridSpan w:val="2"/>
                  <w:vAlign w:val="center"/>
                </w:tcPr>
                <w:p w14:paraId="58614BD7">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kern w:val="0"/>
                      <w:sz w:val="21"/>
                      <w:szCs w:val="21"/>
                      <w:highlight w:val="none"/>
                    </w:rPr>
                  </w:pPr>
                  <w:r>
                    <w:rPr>
                      <w:rFonts w:hint="eastAsia" w:cs="Times New Roman" w:eastAsiaTheme="minorEastAsia"/>
                      <w:color w:val="auto"/>
                      <w:sz w:val="21"/>
                      <w:szCs w:val="21"/>
                      <w:highlight w:val="none"/>
                      <w:lang w:val="en-US" w:eastAsia="zh-CN"/>
                    </w:rPr>
                    <w:t>依托现有</w:t>
                  </w:r>
                  <w:r>
                    <w:rPr>
                      <w:rFonts w:hint="default" w:ascii="Times New Roman" w:hAnsi="Times New Roman" w:cs="Times New Roman" w:eastAsiaTheme="minorEastAsia"/>
                      <w:color w:val="auto"/>
                      <w:sz w:val="21"/>
                      <w:szCs w:val="21"/>
                      <w:highlight w:val="none"/>
                    </w:rPr>
                    <w:t>项目区西南侧</w:t>
                  </w:r>
                  <w:r>
                    <w:rPr>
                      <w:rFonts w:hint="eastAsia" w:cs="Times New Roman" w:eastAsiaTheme="minorEastAsia"/>
                      <w:color w:val="auto"/>
                      <w:sz w:val="21"/>
                      <w:szCs w:val="21"/>
                      <w:highlight w:val="none"/>
                      <w:lang w:val="en-US" w:eastAsia="zh-CN"/>
                    </w:rPr>
                    <w:t>已建的1栋</w:t>
                  </w:r>
                  <w:r>
                    <w:rPr>
                      <w:rFonts w:hint="default" w:ascii="Times New Roman" w:hAnsi="Times New Roman" w:cs="Times New Roman" w:eastAsiaTheme="minorEastAsia"/>
                      <w:color w:val="auto"/>
                      <w:sz w:val="21"/>
                      <w:szCs w:val="21"/>
                      <w:highlight w:val="none"/>
                    </w:rPr>
                    <w:t>高约7.55m</w:t>
                  </w:r>
                  <w:r>
                    <w:rPr>
                      <w:rFonts w:hint="eastAsia" w:ascii="Times New Roman" w:hAnsi="Times New Roman" w:cs="Times New Roman" w:eastAsiaTheme="minorEastAsia"/>
                      <w:color w:val="auto"/>
                      <w:sz w:val="21"/>
                      <w:szCs w:val="21"/>
                      <w:highlight w:val="none"/>
                      <w:lang w:val="en-US" w:eastAsia="zh-CN"/>
                    </w:rPr>
                    <w:t>的</w:t>
                  </w:r>
                  <w:r>
                    <w:rPr>
                      <w:rFonts w:hint="default" w:ascii="Times New Roman" w:hAnsi="Times New Roman" w:cs="Times New Roman" w:eastAsiaTheme="minorEastAsia"/>
                      <w:color w:val="auto"/>
                      <w:sz w:val="21"/>
                      <w:szCs w:val="21"/>
                      <w:highlight w:val="none"/>
                    </w:rPr>
                    <w:t>二层砖混结构</w:t>
                  </w:r>
                  <w:r>
                    <w:rPr>
                      <w:rFonts w:hint="eastAsia" w:ascii="Times New Roman" w:hAnsi="Times New Roman" w:cs="Times New Roman" w:eastAsiaTheme="minorEastAsia"/>
                      <w:color w:val="auto"/>
                      <w:sz w:val="21"/>
                      <w:szCs w:val="21"/>
                      <w:highlight w:val="none"/>
                      <w:lang w:val="en-US" w:eastAsia="zh-CN"/>
                    </w:rPr>
                    <w:t>建筑</w:t>
                  </w:r>
                  <w:r>
                    <w:rPr>
                      <w:rFonts w:hint="default" w:ascii="Times New Roman" w:hAnsi="Times New Roman" w:cs="Times New Roman" w:eastAsiaTheme="minorEastAsia"/>
                      <w:color w:val="auto"/>
                      <w:sz w:val="21"/>
                      <w:szCs w:val="21"/>
                      <w:highlight w:val="none"/>
                    </w:rPr>
                    <w:t>，建筑面积约533.6m</w:t>
                  </w:r>
                  <w:r>
                    <w:rPr>
                      <w:rFonts w:hint="default" w:ascii="Times New Roman" w:hAnsi="Times New Roman" w:cs="Times New Roman" w:eastAsiaTheme="minorEastAsia"/>
                      <w:color w:val="auto"/>
                      <w:sz w:val="21"/>
                      <w:szCs w:val="21"/>
                      <w:highlight w:val="none"/>
                      <w:vertAlign w:val="superscript"/>
                    </w:rPr>
                    <w:t>2</w:t>
                  </w:r>
                  <w:r>
                    <w:rPr>
                      <w:rFonts w:hint="default" w:ascii="Times New Roman" w:hAnsi="Times New Roman" w:cs="Times New Roman" w:eastAsiaTheme="minorEastAsia"/>
                      <w:color w:val="auto"/>
                      <w:sz w:val="21"/>
                      <w:szCs w:val="21"/>
                      <w:highlight w:val="none"/>
                    </w:rPr>
                    <w:t>，其中一层为食堂，二层为宿舍。</w:t>
                  </w:r>
                </w:p>
              </w:tc>
              <w:tc>
                <w:tcPr>
                  <w:tcW w:w="630" w:type="pct"/>
                  <w:vAlign w:val="center"/>
                </w:tcPr>
                <w:p w14:paraId="27A7666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依托</w:t>
                  </w:r>
                </w:p>
              </w:tc>
            </w:tr>
            <w:tr w14:paraId="1A89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5327BAB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690" w:type="pct"/>
                  <w:gridSpan w:val="3"/>
                  <w:vAlign w:val="center"/>
                </w:tcPr>
                <w:p w14:paraId="3633630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卫生间</w:t>
                  </w:r>
                </w:p>
              </w:tc>
              <w:tc>
                <w:tcPr>
                  <w:tcW w:w="3329" w:type="pct"/>
                  <w:gridSpan w:val="2"/>
                  <w:vAlign w:val="center"/>
                </w:tcPr>
                <w:p w14:paraId="6C6A4414">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kern w:val="0"/>
                      <w:sz w:val="21"/>
                      <w:szCs w:val="21"/>
                      <w:highlight w:val="none"/>
                    </w:rPr>
                  </w:pPr>
                  <w:r>
                    <w:rPr>
                      <w:rFonts w:hint="eastAsia" w:cs="Times New Roman" w:eastAsiaTheme="minorEastAsia"/>
                      <w:color w:val="auto"/>
                      <w:sz w:val="21"/>
                      <w:szCs w:val="21"/>
                      <w:highlight w:val="none"/>
                      <w:lang w:val="en-US" w:eastAsia="zh-CN"/>
                    </w:rPr>
                    <w:t>依托现有</w:t>
                  </w:r>
                  <w:r>
                    <w:rPr>
                      <w:rFonts w:hint="default" w:ascii="Times New Roman" w:hAnsi="Times New Roman" w:cs="Times New Roman" w:eastAsiaTheme="minorEastAsia"/>
                      <w:color w:val="auto"/>
                      <w:sz w:val="21"/>
                      <w:szCs w:val="21"/>
                      <w:highlight w:val="none"/>
                    </w:rPr>
                    <w:t>项目</w:t>
                  </w:r>
                  <w:r>
                    <w:rPr>
                      <w:rFonts w:hint="eastAsia" w:ascii="Times New Roman" w:hAnsi="Times New Roman" w:cs="Times New Roman" w:eastAsiaTheme="minorEastAsia"/>
                      <w:color w:val="auto"/>
                      <w:sz w:val="21"/>
                      <w:szCs w:val="21"/>
                      <w:highlight w:val="none"/>
                      <w:lang w:val="en-US" w:eastAsia="zh-CN"/>
                    </w:rPr>
                    <w:t>已建的</w:t>
                  </w:r>
                  <w:r>
                    <w:rPr>
                      <w:rFonts w:hint="default" w:ascii="Times New Roman" w:hAnsi="Times New Roman" w:cs="Times New Roman" w:eastAsiaTheme="minorEastAsia"/>
                      <w:color w:val="auto"/>
                      <w:sz w:val="21"/>
                      <w:szCs w:val="21"/>
                      <w:highlight w:val="none"/>
                    </w:rPr>
                    <w:t>2座</w:t>
                  </w:r>
                  <w:r>
                    <w:rPr>
                      <w:rFonts w:hint="eastAsia" w:cs="Times New Roman" w:eastAsiaTheme="minorEastAsia"/>
                      <w:color w:val="auto"/>
                      <w:sz w:val="21"/>
                      <w:szCs w:val="21"/>
                      <w:highlight w:val="none"/>
                      <w:lang w:val="en-US" w:eastAsia="zh-CN"/>
                    </w:rPr>
                    <w:t>卫生间</w:t>
                  </w:r>
                  <w:r>
                    <w:rPr>
                      <w:rFonts w:hint="default" w:ascii="Times New Roman" w:hAnsi="Times New Roman" w:cs="Times New Roman" w:eastAsiaTheme="minorEastAsia"/>
                      <w:color w:val="auto"/>
                      <w:sz w:val="21"/>
                      <w:szCs w:val="21"/>
                      <w:highlight w:val="none"/>
                    </w:rPr>
                    <w:t>，</w:t>
                  </w:r>
                  <w:r>
                    <w:rPr>
                      <w:rFonts w:hint="eastAsia" w:cs="Times New Roman" w:eastAsiaTheme="minorEastAsia"/>
                      <w:color w:val="auto"/>
                      <w:sz w:val="21"/>
                      <w:szCs w:val="21"/>
                      <w:highlight w:val="none"/>
                      <w:lang w:val="en-US" w:eastAsia="zh-CN"/>
                    </w:rPr>
                    <w:t>其</w:t>
                  </w:r>
                  <w:r>
                    <w:rPr>
                      <w:rFonts w:hint="default" w:ascii="Times New Roman" w:hAnsi="Times New Roman" w:cs="Times New Roman" w:eastAsiaTheme="minorEastAsia"/>
                      <w:color w:val="auto"/>
                      <w:sz w:val="21"/>
                      <w:szCs w:val="21"/>
                      <w:highlight w:val="none"/>
                    </w:rPr>
                    <w:t>位于</w:t>
                  </w:r>
                  <w:r>
                    <w:rPr>
                      <w:rFonts w:hint="eastAsia" w:cs="Times New Roman" w:eastAsiaTheme="minorEastAsia"/>
                      <w:color w:val="auto"/>
                      <w:sz w:val="21"/>
                      <w:szCs w:val="21"/>
                      <w:highlight w:val="none"/>
                      <w:lang w:val="en-US" w:eastAsia="zh-CN"/>
                    </w:rPr>
                    <w:t>值班</w:t>
                  </w:r>
                  <w:r>
                    <w:rPr>
                      <w:rFonts w:hint="default" w:ascii="Times New Roman" w:hAnsi="Times New Roman" w:cs="Times New Roman" w:eastAsiaTheme="minorEastAsia"/>
                      <w:color w:val="auto"/>
                      <w:sz w:val="21"/>
                      <w:szCs w:val="21"/>
                      <w:highlight w:val="none"/>
                    </w:rPr>
                    <w:t>休息室旁和业务用房，采用砖混结构，一层，建筑面积分别为6m</w:t>
                  </w:r>
                  <w:r>
                    <w:rPr>
                      <w:rFonts w:hint="default" w:ascii="Times New Roman" w:hAnsi="Times New Roman" w:cs="Times New Roman" w:eastAsiaTheme="minorEastAsia"/>
                      <w:color w:val="auto"/>
                      <w:sz w:val="21"/>
                      <w:szCs w:val="21"/>
                      <w:highlight w:val="none"/>
                      <w:vertAlign w:val="superscript"/>
                    </w:rPr>
                    <w:t>2</w:t>
                  </w:r>
                  <w:r>
                    <w:rPr>
                      <w:rFonts w:hint="default" w:ascii="Times New Roman" w:hAnsi="Times New Roman" w:cs="Times New Roman" w:eastAsiaTheme="minorEastAsia"/>
                      <w:color w:val="auto"/>
                      <w:sz w:val="21"/>
                      <w:szCs w:val="21"/>
                      <w:highlight w:val="none"/>
                    </w:rPr>
                    <w:t>、52m</w:t>
                  </w:r>
                  <w:r>
                    <w:rPr>
                      <w:rFonts w:hint="default" w:ascii="Times New Roman" w:hAnsi="Times New Roman" w:cs="Times New Roman" w:eastAsiaTheme="minorEastAsia"/>
                      <w:color w:val="auto"/>
                      <w:sz w:val="21"/>
                      <w:szCs w:val="21"/>
                      <w:highlight w:val="none"/>
                      <w:vertAlign w:val="superscript"/>
                    </w:rPr>
                    <w:t>2</w:t>
                  </w:r>
                  <w:r>
                    <w:rPr>
                      <w:rFonts w:hint="default" w:ascii="Times New Roman" w:hAnsi="Times New Roman" w:cs="Times New Roman" w:eastAsiaTheme="minorEastAsia"/>
                      <w:color w:val="auto"/>
                      <w:sz w:val="21"/>
                      <w:szCs w:val="21"/>
                      <w:highlight w:val="none"/>
                    </w:rPr>
                    <w:t>。</w:t>
                  </w:r>
                </w:p>
              </w:tc>
              <w:tc>
                <w:tcPr>
                  <w:tcW w:w="630" w:type="pct"/>
                  <w:vAlign w:val="center"/>
                </w:tcPr>
                <w:p w14:paraId="43C292E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依托</w:t>
                  </w:r>
                </w:p>
              </w:tc>
            </w:tr>
            <w:tr w14:paraId="34BD8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25151FA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690" w:type="pct"/>
                  <w:gridSpan w:val="3"/>
                  <w:vAlign w:val="center"/>
                </w:tcPr>
                <w:p w14:paraId="366C34B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配电室</w:t>
                  </w:r>
                </w:p>
              </w:tc>
              <w:tc>
                <w:tcPr>
                  <w:tcW w:w="3329" w:type="pct"/>
                  <w:gridSpan w:val="2"/>
                  <w:vAlign w:val="center"/>
                </w:tcPr>
                <w:p w14:paraId="70302627">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sz w:val="21"/>
                      <w:szCs w:val="21"/>
                      <w:highlight w:val="none"/>
                      <w:lang w:val="en-US" w:eastAsia="zh-CN"/>
                    </w:rPr>
                    <w:t>依托现有项目建设于</w:t>
                  </w:r>
                  <w:r>
                    <w:rPr>
                      <w:rFonts w:hint="default" w:ascii="Times New Roman" w:hAnsi="Times New Roman" w:cs="Times New Roman" w:eastAsiaTheme="minorEastAsia"/>
                      <w:color w:val="auto"/>
                      <w:sz w:val="21"/>
                      <w:szCs w:val="21"/>
                      <w:highlight w:val="none"/>
                    </w:rPr>
                    <w:t>水解酸化池北面</w:t>
                  </w:r>
                  <w:r>
                    <w:rPr>
                      <w:rFonts w:hint="eastAsia" w:ascii="Times New Roman" w:hAnsi="Times New Roman" w:cs="Times New Roman" w:eastAsiaTheme="minorEastAsia"/>
                      <w:color w:val="auto"/>
                      <w:sz w:val="21"/>
                      <w:szCs w:val="21"/>
                      <w:highlight w:val="none"/>
                      <w:lang w:val="en-US" w:eastAsia="zh-CN"/>
                    </w:rPr>
                    <w:t>占地面积为</w:t>
                  </w:r>
                  <w:r>
                    <w:rPr>
                      <w:rFonts w:hint="default" w:ascii="Times New Roman" w:hAnsi="Times New Roman" w:cs="Times New Roman" w:eastAsiaTheme="minorEastAsia"/>
                      <w:color w:val="auto"/>
                      <w:sz w:val="21"/>
                      <w:szCs w:val="21"/>
                      <w:highlight w:val="none"/>
                    </w:rPr>
                    <w:t>6.5m</w:t>
                  </w:r>
                  <w:r>
                    <w:rPr>
                      <w:rFonts w:hint="default" w:ascii="Times New Roman" w:hAnsi="Times New Roman" w:cs="Times New Roman" w:eastAsiaTheme="minorEastAsia"/>
                      <w:color w:val="auto"/>
                      <w:sz w:val="21"/>
                      <w:szCs w:val="21"/>
                      <w:highlight w:val="none"/>
                      <w:vertAlign w:val="superscript"/>
                    </w:rPr>
                    <w:t>2</w:t>
                  </w:r>
                  <w:r>
                    <w:rPr>
                      <w:rFonts w:hint="eastAsia" w:ascii="Times New Roman" w:hAnsi="Times New Roman" w:cs="Times New Roman" w:eastAsiaTheme="minorEastAsia"/>
                      <w:color w:val="auto"/>
                      <w:sz w:val="21"/>
                      <w:szCs w:val="21"/>
                      <w:highlight w:val="none"/>
                      <w:vertAlign w:val="baseline"/>
                      <w:lang w:val="en-US" w:eastAsia="zh-CN"/>
                    </w:rPr>
                    <w:t>的1#配电室和</w:t>
                  </w:r>
                  <w:r>
                    <w:rPr>
                      <w:rFonts w:hint="default" w:ascii="Times New Roman" w:hAnsi="Times New Roman" w:cs="Times New Roman" w:eastAsiaTheme="minorEastAsia"/>
                      <w:color w:val="auto"/>
                      <w:sz w:val="21"/>
                      <w:szCs w:val="21"/>
                      <w:highlight w:val="none"/>
                    </w:rPr>
                    <w:t>位于一级烘干车间北面占地面积5m</w:t>
                  </w:r>
                  <w:r>
                    <w:rPr>
                      <w:rFonts w:hint="default" w:ascii="Times New Roman" w:hAnsi="Times New Roman" w:cs="Times New Roman" w:eastAsiaTheme="minorEastAsia"/>
                      <w:color w:val="auto"/>
                      <w:sz w:val="21"/>
                      <w:szCs w:val="21"/>
                      <w:highlight w:val="none"/>
                      <w:vertAlign w:val="superscript"/>
                    </w:rPr>
                    <w:t>2</w:t>
                  </w:r>
                  <w:r>
                    <w:rPr>
                      <w:rFonts w:hint="eastAsia" w:cs="Times New Roman" w:eastAsiaTheme="minorEastAsia"/>
                      <w:color w:val="auto"/>
                      <w:sz w:val="21"/>
                      <w:szCs w:val="21"/>
                      <w:highlight w:val="none"/>
                      <w:vertAlign w:val="baseline"/>
                      <w:lang w:val="en-US" w:eastAsia="zh-CN"/>
                    </w:rPr>
                    <w:t>的</w:t>
                  </w:r>
                  <w:r>
                    <w:rPr>
                      <w:rFonts w:hint="default" w:ascii="Times New Roman" w:hAnsi="Times New Roman" w:cs="Times New Roman" w:eastAsiaTheme="minorEastAsia"/>
                      <w:color w:val="auto"/>
                      <w:sz w:val="21"/>
                      <w:szCs w:val="21"/>
                      <w:highlight w:val="none"/>
                    </w:rPr>
                    <w:t>2#</w:t>
                  </w:r>
                  <w:r>
                    <w:rPr>
                      <w:rFonts w:hint="eastAsia" w:ascii="Times New Roman" w:hAnsi="Times New Roman" w:cs="Times New Roman" w:eastAsiaTheme="minorEastAsia"/>
                      <w:color w:val="auto"/>
                      <w:sz w:val="21"/>
                      <w:szCs w:val="21"/>
                      <w:highlight w:val="none"/>
                      <w:lang w:val="en-US" w:eastAsia="zh-CN"/>
                    </w:rPr>
                    <w:t>配电室。</w:t>
                  </w:r>
                </w:p>
              </w:tc>
              <w:tc>
                <w:tcPr>
                  <w:tcW w:w="630" w:type="pct"/>
                  <w:vAlign w:val="center"/>
                </w:tcPr>
                <w:p w14:paraId="02348AC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依托</w:t>
                  </w:r>
                </w:p>
              </w:tc>
            </w:tr>
            <w:tr w14:paraId="1C95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66AAF89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690" w:type="pct"/>
                  <w:gridSpan w:val="3"/>
                  <w:vAlign w:val="center"/>
                </w:tcPr>
                <w:p w14:paraId="480EE9B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sz w:val="21"/>
                      <w:szCs w:val="21"/>
                      <w:highlight w:val="none"/>
                    </w:rPr>
                    <w:t>车辆清洗</w:t>
                  </w:r>
                </w:p>
              </w:tc>
              <w:tc>
                <w:tcPr>
                  <w:tcW w:w="3329" w:type="pct"/>
                  <w:gridSpan w:val="2"/>
                  <w:vAlign w:val="center"/>
                </w:tcPr>
                <w:p w14:paraId="7F298BF6">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Times New Roman" w:hAnsi="Times New Roman" w:cs="Times New Roman" w:eastAsiaTheme="minorEastAsia"/>
                      <w:color w:val="auto"/>
                      <w:kern w:val="0"/>
                      <w:sz w:val="21"/>
                      <w:szCs w:val="21"/>
                      <w:highlight w:val="none"/>
                      <w:lang w:eastAsia="zh-CN"/>
                    </w:rPr>
                  </w:pPr>
                  <w:r>
                    <w:rPr>
                      <w:rFonts w:hint="eastAsia" w:cs="Times New Roman" w:eastAsiaTheme="minorEastAsia"/>
                      <w:color w:val="auto"/>
                      <w:sz w:val="21"/>
                      <w:szCs w:val="21"/>
                      <w:highlight w:val="none"/>
                      <w:lang w:val="en-US" w:eastAsia="zh-CN"/>
                    </w:rPr>
                    <w:t>依托现有项目建设于现有</w:t>
                  </w:r>
                  <w:r>
                    <w:rPr>
                      <w:rFonts w:hint="default" w:ascii="Times New Roman" w:hAnsi="Times New Roman" w:cs="Times New Roman" w:eastAsiaTheme="minorEastAsia"/>
                      <w:color w:val="auto"/>
                      <w:sz w:val="21"/>
                      <w:szCs w:val="21"/>
                      <w:highlight w:val="none"/>
                    </w:rPr>
                    <w:t>项目区东北侧入口旁占地面积约24m</w:t>
                  </w:r>
                  <w:r>
                    <w:rPr>
                      <w:rFonts w:hint="default" w:ascii="Times New Roman" w:hAnsi="Times New Roman" w:cs="Times New Roman" w:eastAsiaTheme="minorEastAsia"/>
                      <w:color w:val="auto"/>
                      <w:sz w:val="21"/>
                      <w:szCs w:val="21"/>
                      <w:highlight w:val="none"/>
                      <w:vertAlign w:val="superscript"/>
                    </w:rPr>
                    <w:t>2</w:t>
                  </w:r>
                  <w:r>
                    <w:rPr>
                      <w:rFonts w:hint="eastAsia" w:cs="Times New Roman" w:eastAsiaTheme="minorEastAsia"/>
                      <w:color w:val="auto"/>
                      <w:sz w:val="21"/>
                      <w:szCs w:val="21"/>
                      <w:highlight w:val="none"/>
                      <w:vertAlign w:val="baseline"/>
                      <w:lang w:val="en-US" w:eastAsia="zh-CN"/>
                    </w:rPr>
                    <w:t>的车辆清洗区，清洗区</w:t>
                  </w:r>
                  <w:r>
                    <w:rPr>
                      <w:rFonts w:hint="default" w:ascii="Times New Roman" w:hAnsi="Times New Roman" w:cs="Times New Roman" w:eastAsiaTheme="minorEastAsia"/>
                      <w:color w:val="auto"/>
                      <w:sz w:val="21"/>
                      <w:szCs w:val="21"/>
                      <w:highlight w:val="none"/>
                    </w:rPr>
                    <w:t>由水池和洗车槽组成</w:t>
                  </w:r>
                  <w:r>
                    <w:rPr>
                      <w:rFonts w:hint="eastAsia" w:ascii="Times New Roman" w:hAnsi="Times New Roman" w:cs="Times New Roman" w:eastAsiaTheme="minorEastAsia"/>
                      <w:color w:val="auto"/>
                      <w:sz w:val="21"/>
                      <w:szCs w:val="21"/>
                      <w:highlight w:val="none"/>
                      <w:lang w:eastAsia="zh-CN"/>
                    </w:rPr>
                    <w:t>。</w:t>
                  </w:r>
                </w:p>
              </w:tc>
              <w:tc>
                <w:tcPr>
                  <w:tcW w:w="630" w:type="pct"/>
                  <w:vAlign w:val="center"/>
                </w:tcPr>
                <w:p w14:paraId="77EB652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依托</w:t>
                  </w:r>
                </w:p>
              </w:tc>
            </w:tr>
            <w:tr w14:paraId="6E9F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358D56C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690" w:type="pct"/>
                  <w:gridSpan w:val="3"/>
                  <w:vMerge w:val="restart"/>
                  <w:vAlign w:val="center"/>
                </w:tcPr>
                <w:p w14:paraId="0A45D56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场内道路</w:t>
                  </w:r>
                </w:p>
              </w:tc>
              <w:tc>
                <w:tcPr>
                  <w:tcW w:w="3329" w:type="pct"/>
                  <w:gridSpan w:val="2"/>
                  <w:vAlign w:val="center"/>
                </w:tcPr>
                <w:p w14:paraId="341969A0">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r>
                    <w:rPr>
                      <w:rFonts w:hint="eastAsia" w:cs="Times New Roman" w:eastAsiaTheme="minorEastAsia"/>
                      <w:color w:val="auto"/>
                      <w:sz w:val="21"/>
                      <w:szCs w:val="21"/>
                      <w:highlight w:val="none"/>
                      <w:lang w:val="en-US" w:eastAsia="zh-CN"/>
                    </w:rPr>
                    <w:t>液体复合微生物肥料生产区依托现有项目已建</w:t>
                  </w:r>
                  <w:r>
                    <w:rPr>
                      <w:rFonts w:hint="default" w:ascii="Times New Roman" w:hAnsi="Times New Roman" w:cs="Times New Roman" w:eastAsiaTheme="minorEastAsia"/>
                      <w:color w:val="auto"/>
                      <w:sz w:val="21"/>
                      <w:szCs w:val="21"/>
                      <w:highlight w:val="none"/>
                    </w:rPr>
                    <w:t>厂内道路。</w:t>
                  </w:r>
                </w:p>
              </w:tc>
              <w:tc>
                <w:tcPr>
                  <w:tcW w:w="630" w:type="pct"/>
                  <w:vAlign w:val="center"/>
                </w:tcPr>
                <w:p w14:paraId="4DF5ED5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依托</w:t>
                  </w:r>
                </w:p>
              </w:tc>
            </w:tr>
            <w:tr w14:paraId="756F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297F456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690" w:type="pct"/>
                  <w:gridSpan w:val="3"/>
                  <w:vMerge w:val="continue"/>
                  <w:vAlign w:val="center"/>
                </w:tcPr>
                <w:p w14:paraId="0E25EAF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sz w:val="21"/>
                      <w:szCs w:val="21"/>
                      <w:highlight w:val="none"/>
                    </w:rPr>
                  </w:pPr>
                </w:p>
              </w:tc>
              <w:tc>
                <w:tcPr>
                  <w:tcW w:w="3329" w:type="pct"/>
                  <w:gridSpan w:val="2"/>
                  <w:vAlign w:val="center"/>
                </w:tcPr>
                <w:p w14:paraId="475E71E4">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现有项目区与固体复合微生物肥料生产区依托已建道路，道路宽4.5m，运距250m。</w:t>
                  </w:r>
                </w:p>
              </w:tc>
              <w:tc>
                <w:tcPr>
                  <w:tcW w:w="630" w:type="pct"/>
                  <w:vAlign w:val="center"/>
                </w:tcPr>
                <w:p w14:paraId="33EA700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依托</w:t>
                  </w:r>
                </w:p>
              </w:tc>
            </w:tr>
            <w:tr w14:paraId="3EC2B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669E160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690" w:type="pct"/>
                  <w:gridSpan w:val="3"/>
                  <w:vMerge w:val="continue"/>
                  <w:vAlign w:val="center"/>
                </w:tcPr>
                <w:p w14:paraId="4EDC812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sz w:val="21"/>
                      <w:szCs w:val="21"/>
                      <w:highlight w:val="none"/>
                    </w:rPr>
                  </w:pPr>
                </w:p>
              </w:tc>
              <w:tc>
                <w:tcPr>
                  <w:tcW w:w="3329" w:type="pct"/>
                  <w:gridSpan w:val="2"/>
                  <w:vAlign w:val="center"/>
                </w:tcPr>
                <w:p w14:paraId="7C534AF8">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Times New Roman" w:hAnsi="Times New Roman" w:cs="Times New Roman" w:eastAsiaTheme="minorEastAsia"/>
                      <w:color w:val="auto"/>
                      <w:sz w:val="21"/>
                      <w:szCs w:val="21"/>
                      <w:highlight w:val="none"/>
                      <w:lang w:eastAsia="zh-CN"/>
                    </w:rPr>
                  </w:pPr>
                  <w:r>
                    <w:rPr>
                      <w:rFonts w:hint="eastAsia" w:cs="Times New Roman" w:eastAsiaTheme="minorEastAsia"/>
                      <w:color w:val="auto"/>
                      <w:sz w:val="21"/>
                      <w:szCs w:val="21"/>
                      <w:highlight w:val="none"/>
                      <w:lang w:val="en-US" w:eastAsia="zh-CN"/>
                    </w:rPr>
                    <w:t>固体复合微生物肥料生产区</w:t>
                  </w:r>
                  <w:r>
                    <w:rPr>
                      <w:rFonts w:hint="default" w:ascii="Times New Roman" w:hAnsi="Times New Roman" w:cs="Times New Roman" w:eastAsiaTheme="minorEastAsia"/>
                      <w:color w:val="auto"/>
                      <w:sz w:val="21"/>
                      <w:szCs w:val="21"/>
                      <w:highlight w:val="none"/>
                    </w:rPr>
                    <w:t>新建宽</w:t>
                  </w:r>
                  <w:r>
                    <w:rPr>
                      <w:rFonts w:hint="eastAsia" w:cs="Times New Roman" w:eastAsiaTheme="minorEastAsia"/>
                      <w:color w:val="auto"/>
                      <w:sz w:val="21"/>
                      <w:szCs w:val="21"/>
                      <w:highlight w:val="none"/>
                      <w:lang w:val="en-US" w:eastAsia="zh-CN"/>
                    </w:rPr>
                    <w:t>4.5</w:t>
                  </w:r>
                  <w:r>
                    <w:rPr>
                      <w:rFonts w:hint="default" w:ascii="Times New Roman" w:hAnsi="Times New Roman" w:cs="Times New Roman" w:eastAsiaTheme="minorEastAsia"/>
                      <w:color w:val="auto"/>
                      <w:sz w:val="21"/>
                      <w:szCs w:val="21"/>
                      <w:highlight w:val="none"/>
                    </w:rPr>
                    <w:t>m</w:t>
                  </w:r>
                  <w:r>
                    <w:rPr>
                      <w:rFonts w:hint="eastAsia" w:cs="Times New Roman" w:eastAsiaTheme="minorEastAsia"/>
                      <w:color w:val="auto"/>
                      <w:sz w:val="21"/>
                      <w:szCs w:val="21"/>
                      <w:highlight w:val="none"/>
                      <w:lang w:eastAsia="zh-CN"/>
                    </w:rPr>
                    <w:t>，</w:t>
                  </w:r>
                  <w:r>
                    <w:rPr>
                      <w:rFonts w:hint="eastAsia" w:cs="Times New Roman" w:eastAsiaTheme="minorEastAsia"/>
                      <w:color w:val="auto"/>
                      <w:sz w:val="21"/>
                      <w:szCs w:val="21"/>
                      <w:highlight w:val="none"/>
                      <w:lang w:val="en-US" w:eastAsia="zh-CN"/>
                    </w:rPr>
                    <w:t>长约100m运输道路，</w:t>
                  </w:r>
                  <w:r>
                    <w:rPr>
                      <w:rFonts w:hint="default" w:ascii="Times New Roman" w:hAnsi="Times New Roman" w:cs="Times New Roman" w:eastAsiaTheme="minorEastAsia"/>
                      <w:color w:val="auto"/>
                      <w:sz w:val="21"/>
                      <w:szCs w:val="21"/>
                      <w:highlight w:val="none"/>
                    </w:rPr>
                    <w:t>采用C30混凝土路面，水泥稳定碎石基层</w:t>
                  </w:r>
                  <w:r>
                    <w:rPr>
                      <w:rFonts w:hint="eastAsia" w:cs="Times New Roman" w:eastAsiaTheme="minorEastAsia"/>
                      <w:color w:val="auto"/>
                      <w:sz w:val="21"/>
                      <w:szCs w:val="21"/>
                      <w:highlight w:val="none"/>
                      <w:lang w:eastAsia="zh-CN"/>
                    </w:rPr>
                    <w:t>。</w:t>
                  </w:r>
                </w:p>
              </w:tc>
              <w:tc>
                <w:tcPr>
                  <w:tcW w:w="630" w:type="pct"/>
                  <w:vAlign w:val="center"/>
                </w:tcPr>
                <w:p w14:paraId="227006D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新建</w:t>
                  </w:r>
                </w:p>
              </w:tc>
            </w:tr>
            <w:tr w14:paraId="7E1F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4F87DE4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690" w:type="pct"/>
                  <w:gridSpan w:val="3"/>
                  <w:vAlign w:val="center"/>
                </w:tcPr>
                <w:p w14:paraId="2A66CE1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计量</w:t>
                  </w:r>
                </w:p>
              </w:tc>
              <w:tc>
                <w:tcPr>
                  <w:tcW w:w="3329" w:type="pct"/>
                  <w:gridSpan w:val="2"/>
                  <w:vAlign w:val="center"/>
                </w:tcPr>
                <w:p w14:paraId="44FC2337">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vertAlign w:val="baseline"/>
                      <w:lang w:val="en-US" w:eastAsia="zh-CN"/>
                    </w:rPr>
                  </w:pPr>
                  <w:r>
                    <w:rPr>
                      <w:rFonts w:hint="eastAsia" w:cs="Times New Roman" w:eastAsiaTheme="minorEastAsia"/>
                      <w:color w:val="auto"/>
                      <w:sz w:val="21"/>
                      <w:szCs w:val="21"/>
                      <w:highlight w:val="none"/>
                      <w:lang w:val="en-US" w:eastAsia="zh-CN"/>
                    </w:rPr>
                    <w:t>依托现有</w:t>
                  </w:r>
                  <w:r>
                    <w:rPr>
                      <w:rFonts w:hint="default" w:ascii="Times New Roman" w:hAnsi="Times New Roman" w:cs="Times New Roman" w:eastAsiaTheme="minorEastAsia"/>
                      <w:color w:val="auto"/>
                      <w:sz w:val="21"/>
                      <w:szCs w:val="21"/>
                      <w:highlight w:val="none"/>
                    </w:rPr>
                    <w:t>项目区东北侧入口旁</w:t>
                  </w:r>
                  <w:r>
                    <w:rPr>
                      <w:rFonts w:hint="eastAsia" w:cs="Times New Roman" w:eastAsiaTheme="minorEastAsia"/>
                      <w:color w:val="auto"/>
                      <w:sz w:val="21"/>
                      <w:szCs w:val="21"/>
                      <w:highlight w:val="none"/>
                      <w:lang w:val="en-US" w:eastAsia="zh-CN"/>
                    </w:rPr>
                    <w:t>已建</w:t>
                  </w:r>
                  <w:r>
                    <w:rPr>
                      <w:rFonts w:hint="default" w:ascii="Times New Roman" w:hAnsi="Times New Roman" w:cs="Times New Roman" w:eastAsiaTheme="minorEastAsia"/>
                      <w:color w:val="auto"/>
                      <w:sz w:val="21"/>
                      <w:szCs w:val="21"/>
                      <w:highlight w:val="none"/>
                    </w:rPr>
                    <w:t>占地面积</w:t>
                  </w:r>
                  <w:r>
                    <w:rPr>
                      <w:rFonts w:hint="default" w:ascii="Times New Roman" w:hAnsi="Times New Roman" w:cs="Times New Roman" w:eastAsiaTheme="minorEastAsia"/>
                      <w:bCs/>
                      <w:color w:val="auto"/>
                      <w:sz w:val="21"/>
                      <w:szCs w:val="21"/>
                      <w:highlight w:val="none"/>
                    </w:rPr>
                    <w:t>占地36</w:t>
                  </w:r>
                  <w:r>
                    <w:rPr>
                      <w:rFonts w:hint="default" w:ascii="Times New Roman" w:hAnsi="Times New Roman" w:cs="Times New Roman" w:eastAsiaTheme="minorEastAsia"/>
                      <w:color w:val="auto"/>
                      <w:sz w:val="21"/>
                      <w:szCs w:val="21"/>
                      <w:highlight w:val="none"/>
                    </w:rPr>
                    <w:t>m</w:t>
                  </w:r>
                  <w:r>
                    <w:rPr>
                      <w:rFonts w:hint="default" w:ascii="Times New Roman" w:hAnsi="Times New Roman" w:cs="Times New Roman" w:eastAsiaTheme="minorEastAsia"/>
                      <w:color w:val="auto"/>
                      <w:sz w:val="21"/>
                      <w:szCs w:val="21"/>
                      <w:highlight w:val="none"/>
                      <w:vertAlign w:val="superscript"/>
                    </w:rPr>
                    <w:t>2</w:t>
                  </w:r>
                  <w:r>
                    <w:rPr>
                      <w:rFonts w:hint="eastAsia" w:cs="Times New Roman" w:eastAsiaTheme="minorEastAsia"/>
                      <w:color w:val="auto"/>
                      <w:sz w:val="21"/>
                      <w:szCs w:val="21"/>
                      <w:highlight w:val="none"/>
                      <w:vertAlign w:val="baseline"/>
                      <w:lang w:val="en-US" w:eastAsia="zh-CN"/>
                    </w:rPr>
                    <w:t>的称量房。</w:t>
                  </w:r>
                </w:p>
              </w:tc>
              <w:tc>
                <w:tcPr>
                  <w:tcW w:w="630" w:type="pct"/>
                  <w:vAlign w:val="center"/>
                </w:tcPr>
                <w:p w14:paraId="17DFC1E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依托</w:t>
                  </w:r>
                </w:p>
              </w:tc>
            </w:tr>
            <w:tr w14:paraId="752E1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restart"/>
                  <w:vAlign w:val="center"/>
                </w:tcPr>
                <w:p w14:paraId="219DD49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公用工程</w:t>
                  </w:r>
                </w:p>
              </w:tc>
              <w:tc>
                <w:tcPr>
                  <w:tcW w:w="690" w:type="pct"/>
                  <w:gridSpan w:val="3"/>
                  <w:vAlign w:val="center"/>
                </w:tcPr>
                <w:p w14:paraId="3EF072E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供水</w:t>
                  </w:r>
                </w:p>
              </w:tc>
              <w:tc>
                <w:tcPr>
                  <w:tcW w:w="3329" w:type="pct"/>
                  <w:gridSpan w:val="2"/>
                  <w:vAlign w:val="center"/>
                </w:tcPr>
                <w:p w14:paraId="2974D28C">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imes New Roman" w:hAnsi="Times New Roman" w:cs="Times New Roman" w:eastAsiaTheme="minorEastAsia"/>
                      <w:color w:val="auto"/>
                      <w:kern w:val="0"/>
                      <w:sz w:val="21"/>
                      <w:szCs w:val="21"/>
                      <w:highlight w:val="none"/>
                      <w:lang w:eastAsia="zh-CN"/>
                    </w:rPr>
                  </w:pPr>
                  <w:r>
                    <w:rPr>
                      <w:rFonts w:hint="eastAsia" w:cs="Times New Roman" w:eastAsiaTheme="minorEastAsia"/>
                      <w:color w:val="auto"/>
                      <w:sz w:val="21"/>
                      <w:szCs w:val="21"/>
                      <w:highlight w:val="none"/>
                      <w:lang w:val="en-US" w:eastAsia="zh-CN"/>
                    </w:rPr>
                    <w:t>依托现有项目</w:t>
                  </w:r>
                  <w:r>
                    <w:rPr>
                      <w:rFonts w:hint="default" w:ascii="Times New Roman" w:hAnsi="Times New Roman" w:cs="Times New Roman" w:eastAsiaTheme="minorEastAsia"/>
                      <w:color w:val="auto"/>
                      <w:sz w:val="21"/>
                      <w:szCs w:val="21"/>
                      <w:highlight w:val="none"/>
                    </w:rPr>
                    <w:t>供水管网引入</w:t>
                  </w:r>
                  <w:r>
                    <w:rPr>
                      <w:rFonts w:hint="eastAsia" w:cs="Times New Roman" w:eastAsiaTheme="minorEastAsia"/>
                      <w:color w:val="auto"/>
                      <w:sz w:val="21"/>
                      <w:szCs w:val="21"/>
                      <w:highlight w:val="none"/>
                      <w:lang w:eastAsia="zh-CN"/>
                    </w:rPr>
                    <w:t>。</w:t>
                  </w:r>
                </w:p>
              </w:tc>
              <w:tc>
                <w:tcPr>
                  <w:tcW w:w="630" w:type="pct"/>
                  <w:vAlign w:val="center"/>
                </w:tcPr>
                <w:p w14:paraId="01BE1B6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依托</w:t>
                  </w:r>
                </w:p>
              </w:tc>
            </w:tr>
            <w:tr w14:paraId="37B9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03379B3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690" w:type="pct"/>
                  <w:gridSpan w:val="3"/>
                  <w:vAlign w:val="center"/>
                </w:tcPr>
                <w:p w14:paraId="074AFB2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供电</w:t>
                  </w:r>
                </w:p>
              </w:tc>
              <w:tc>
                <w:tcPr>
                  <w:tcW w:w="3329" w:type="pct"/>
                  <w:gridSpan w:val="2"/>
                  <w:vAlign w:val="center"/>
                </w:tcPr>
                <w:p w14:paraId="6292D7E5">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imes New Roman" w:hAnsi="Times New Roman" w:cs="Times New Roman" w:eastAsiaTheme="minorEastAsia"/>
                      <w:color w:val="auto"/>
                      <w:kern w:val="0"/>
                      <w:sz w:val="21"/>
                      <w:szCs w:val="21"/>
                      <w:highlight w:val="none"/>
                      <w:lang w:eastAsia="zh-CN"/>
                    </w:rPr>
                  </w:pPr>
                  <w:r>
                    <w:rPr>
                      <w:rFonts w:hint="eastAsia" w:cs="Times New Roman" w:eastAsiaTheme="minorEastAsia"/>
                      <w:color w:val="auto"/>
                      <w:sz w:val="21"/>
                      <w:szCs w:val="21"/>
                      <w:highlight w:val="none"/>
                      <w:lang w:val="en-US" w:eastAsia="zh-CN"/>
                    </w:rPr>
                    <w:t>依托现有项目</w:t>
                  </w:r>
                  <w:r>
                    <w:rPr>
                      <w:rFonts w:hint="default" w:ascii="Times New Roman" w:hAnsi="Times New Roman" w:cs="Times New Roman" w:eastAsiaTheme="minorEastAsia"/>
                      <w:color w:val="auto"/>
                      <w:sz w:val="21"/>
                      <w:szCs w:val="21"/>
                      <w:highlight w:val="none"/>
                    </w:rPr>
                    <w:t>供电电网引入</w:t>
                  </w:r>
                  <w:r>
                    <w:rPr>
                      <w:rFonts w:hint="eastAsia" w:cs="Times New Roman" w:eastAsiaTheme="minorEastAsia"/>
                      <w:color w:val="auto"/>
                      <w:sz w:val="21"/>
                      <w:szCs w:val="21"/>
                      <w:highlight w:val="none"/>
                      <w:lang w:eastAsia="zh-CN"/>
                    </w:rPr>
                    <w:t>。</w:t>
                  </w:r>
                </w:p>
              </w:tc>
              <w:tc>
                <w:tcPr>
                  <w:tcW w:w="630" w:type="pct"/>
                  <w:vAlign w:val="center"/>
                </w:tcPr>
                <w:p w14:paraId="3671684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依托</w:t>
                  </w:r>
                </w:p>
              </w:tc>
            </w:tr>
            <w:tr w14:paraId="23B9D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6B5997F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690" w:type="pct"/>
                  <w:gridSpan w:val="3"/>
                  <w:vAlign w:val="center"/>
                </w:tcPr>
                <w:p w14:paraId="672914A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通讯</w:t>
                  </w:r>
                </w:p>
              </w:tc>
              <w:tc>
                <w:tcPr>
                  <w:tcW w:w="3329" w:type="pct"/>
                  <w:gridSpan w:val="2"/>
                  <w:vAlign w:val="center"/>
                </w:tcPr>
                <w:p w14:paraId="2E0B71F0">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color w:val="auto"/>
                      <w:sz w:val="21"/>
                      <w:szCs w:val="21"/>
                      <w:highlight w:val="none"/>
                    </w:rPr>
                    <w:t>区内有移动</w:t>
                  </w:r>
                  <w:r>
                    <w:rPr>
                      <w:rFonts w:hint="default" w:ascii="Times New Roman" w:hAnsi="Times New Roman" w:cs="Times New Roman" w:eastAsiaTheme="minorEastAsia"/>
                      <w:bCs/>
                      <w:color w:val="auto"/>
                      <w:sz w:val="21"/>
                      <w:szCs w:val="21"/>
                      <w:highlight w:val="none"/>
                    </w:rPr>
                    <w:t>网络信号覆盖，通讯较为方便。</w:t>
                  </w:r>
                </w:p>
              </w:tc>
              <w:tc>
                <w:tcPr>
                  <w:tcW w:w="630" w:type="pct"/>
                  <w:vAlign w:val="center"/>
                </w:tcPr>
                <w:p w14:paraId="081EE16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依托</w:t>
                  </w:r>
                </w:p>
              </w:tc>
            </w:tr>
            <w:tr w14:paraId="1B85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2C95A87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690" w:type="pct"/>
                  <w:gridSpan w:val="3"/>
                  <w:vMerge w:val="restart"/>
                  <w:vAlign w:val="center"/>
                </w:tcPr>
                <w:p w14:paraId="046C22D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排水工程</w:t>
                  </w:r>
                </w:p>
              </w:tc>
              <w:tc>
                <w:tcPr>
                  <w:tcW w:w="3329" w:type="pct"/>
                  <w:gridSpan w:val="2"/>
                  <w:vAlign w:val="center"/>
                </w:tcPr>
                <w:p w14:paraId="43823F04">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sz w:val="21"/>
                      <w:szCs w:val="21"/>
                      <w:highlight w:val="none"/>
                      <w:lang w:val="en-US" w:eastAsia="zh-CN"/>
                    </w:rPr>
                    <w:t>固体复合微生物肥料生产区新</w:t>
                  </w:r>
                  <w:r>
                    <w:rPr>
                      <w:rFonts w:hint="default" w:ascii="Times New Roman" w:hAnsi="Times New Roman" w:cs="Times New Roman" w:eastAsiaTheme="minorEastAsia"/>
                      <w:color w:val="auto"/>
                      <w:sz w:val="21"/>
                      <w:szCs w:val="21"/>
                      <w:highlight w:val="none"/>
                    </w:rPr>
                    <w:t>设置雨污分流系统，</w:t>
                  </w:r>
                  <w:r>
                    <w:rPr>
                      <w:rFonts w:hint="eastAsia" w:cs="Times New Roman" w:eastAsiaTheme="minorEastAsia"/>
                      <w:color w:val="auto"/>
                      <w:sz w:val="21"/>
                      <w:szCs w:val="21"/>
                      <w:highlight w:val="none"/>
                      <w:lang w:val="en-US" w:eastAsia="zh-CN"/>
                    </w:rPr>
                    <w:t>初期</w:t>
                  </w:r>
                  <w:r>
                    <w:rPr>
                      <w:rFonts w:hint="default" w:ascii="Times New Roman" w:hAnsi="Times New Roman" w:cs="Times New Roman" w:eastAsiaTheme="minorEastAsia"/>
                      <w:color w:val="auto"/>
                      <w:sz w:val="21"/>
                      <w:szCs w:val="21"/>
                      <w:highlight w:val="none"/>
                    </w:rPr>
                    <w:t>雨水经</w:t>
                  </w:r>
                  <w:r>
                    <w:rPr>
                      <w:rFonts w:hint="eastAsia" w:cs="Times New Roman" w:eastAsiaTheme="minorEastAsia"/>
                      <w:color w:val="auto"/>
                      <w:sz w:val="21"/>
                      <w:szCs w:val="21"/>
                      <w:highlight w:val="none"/>
                      <w:lang w:val="en-US" w:eastAsia="zh-CN"/>
                    </w:rPr>
                    <w:t>厂区低洼处30m</w:t>
                  </w:r>
                  <w:r>
                    <w:rPr>
                      <w:rFonts w:hint="eastAsia" w:cs="Times New Roman" w:eastAsiaTheme="minorEastAsia"/>
                      <w:color w:val="auto"/>
                      <w:sz w:val="21"/>
                      <w:szCs w:val="21"/>
                      <w:highlight w:val="none"/>
                      <w:vertAlign w:val="superscript"/>
                      <w:lang w:val="en-US" w:eastAsia="zh-CN"/>
                    </w:rPr>
                    <w:t>3</w:t>
                  </w:r>
                  <w:r>
                    <w:rPr>
                      <w:rFonts w:hint="eastAsia" w:cs="Times New Roman" w:eastAsiaTheme="minorEastAsia"/>
                      <w:color w:val="auto"/>
                      <w:sz w:val="21"/>
                      <w:szCs w:val="21"/>
                      <w:highlight w:val="none"/>
                      <w:lang w:val="en-US" w:eastAsia="zh-CN"/>
                    </w:rPr>
                    <w:t>初期雨水收集池收集后</w:t>
                  </w:r>
                  <w:r>
                    <w:rPr>
                      <w:rFonts w:hint="default" w:ascii="Times New Roman" w:hAnsi="Times New Roman" w:cs="Times New Roman" w:eastAsiaTheme="minorEastAsia"/>
                      <w:color w:val="auto"/>
                      <w:sz w:val="21"/>
                      <w:szCs w:val="21"/>
                      <w:highlight w:val="none"/>
                    </w:rPr>
                    <w:t>，</w:t>
                  </w:r>
                  <w:r>
                    <w:rPr>
                      <w:rFonts w:hint="eastAsia" w:cs="Times New Roman" w:eastAsiaTheme="minorEastAsia"/>
                      <w:color w:val="auto"/>
                      <w:sz w:val="21"/>
                      <w:szCs w:val="21"/>
                      <w:highlight w:val="none"/>
                      <w:lang w:val="en-US" w:eastAsia="zh-CN"/>
                    </w:rPr>
                    <w:t>用于道路降尘用水；产生的渗滤液、地面重新废水收集于25m</w:t>
                  </w:r>
                  <w:r>
                    <w:rPr>
                      <w:rFonts w:hint="eastAsia" w:cs="Times New Roman" w:eastAsiaTheme="minorEastAsia"/>
                      <w:color w:val="auto"/>
                      <w:sz w:val="21"/>
                      <w:szCs w:val="21"/>
                      <w:highlight w:val="none"/>
                      <w:vertAlign w:val="superscript"/>
                      <w:lang w:val="en-US" w:eastAsia="zh-CN"/>
                    </w:rPr>
                    <w:t>3</w:t>
                  </w:r>
                  <w:r>
                    <w:rPr>
                      <w:rFonts w:hint="eastAsia" w:cs="Times New Roman" w:eastAsiaTheme="minorEastAsia"/>
                      <w:color w:val="auto"/>
                      <w:sz w:val="21"/>
                      <w:szCs w:val="21"/>
                      <w:highlight w:val="none"/>
                      <w:lang w:val="en-US" w:eastAsia="zh-CN"/>
                    </w:rPr>
                    <w:t>封闭渗滤液收集池，泵至现有污水处理站处理</w:t>
                  </w:r>
                  <w:r>
                    <w:rPr>
                      <w:rFonts w:hint="default" w:ascii="Times New Roman" w:hAnsi="Times New Roman" w:cs="Times New Roman" w:eastAsiaTheme="minorEastAsia"/>
                      <w:color w:val="auto"/>
                      <w:sz w:val="21"/>
                      <w:szCs w:val="21"/>
                      <w:highlight w:val="none"/>
                    </w:rPr>
                    <w:t>达到《污水综合排放标准》（GB 8978-1996）中三级标准</w:t>
                  </w:r>
                  <w:r>
                    <w:rPr>
                      <w:rFonts w:hint="eastAsia"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rPr>
                    <w:t>排入寻甸县污水处理厂。</w:t>
                  </w:r>
                </w:p>
              </w:tc>
              <w:tc>
                <w:tcPr>
                  <w:tcW w:w="630" w:type="pct"/>
                  <w:vAlign w:val="center"/>
                </w:tcPr>
                <w:p w14:paraId="76B8684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cs="Times New Roman" w:eastAsiaTheme="minorEastAsia"/>
                      <w:color w:val="auto"/>
                      <w:kern w:val="0"/>
                      <w:sz w:val="21"/>
                      <w:szCs w:val="21"/>
                      <w:highlight w:val="none"/>
                      <w:lang w:val="en-US" w:eastAsia="zh-CN"/>
                    </w:rPr>
                  </w:pPr>
                  <w:r>
                    <w:rPr>
                      <w:rFonts w:hint="default" w:ascii="Times New Roman" w:hAnsi="Times New Roman" w:cs="Times New Roman" w:eastAsiaTheme="minorEastAsia"/>
                      <w:color w:val="auto"/>
                      <w:kern w:val="0"/>
                      <w:sz w:val="21"/>
                      <w:szCs w:val="21"/>
                      <w:highlight w:val="none"/>
                    </w:rPr>
                    <w:t>新</w:t>
                  </w:r>
                  <w:r>
                    <w:rPr>
                      <w:rFonts w:hint="eastAsia" w:cs="Times New Roman" w:eastAsiaTheme="minorEastAsia"/>
                      <w:color w:val="auto"/>
                      <w:kern w:val="0"/>
                      <w:sz w:val="21"/>
                      <w:szCs w:val="21"/>
                      <w:highlight w:val="none"/>
                      <w:lang w:val="en-US" w:eastAsia="zh-CN"/>
                    </w:rPr>
                    <w:t>建</w:t>
                  </w:r>
                </w:p>
              </w:tc>
            </w:tr>
            <w:tr w14:paraId="11AF0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5F3DF2A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690" w:type="pct"/>
                  <w:gridSpan w:val="3"/>
                  <w:vMerge w:val="continue"/>
                  <w:vAlign w:val="center"/>
                </w:tcPr>
                <w:p w14:paraId="6693737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3329" w:type="pct"/>
                  <w:gridSpan w:val="2"/>
                  <w:vAlign w:val="center"/>
                </w:tcPr>
                <w:p w14:paraId="41C1AB45">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fldChar w:fldCharType="begin"/>
                  </w:r>
                  <w:r>
                    <w:rPr>
                      <w:rFonts w:hint="default" w:ascii="Times New Roman" w:hAnsi="Times New Roman" w:cs="Times New Roman" w:eastAsiaTheme="minorEastAsia"/>
                      <w:color w:val="auto"/>
                      <w:kern w:val="0"/>
                      <w:sz w:val="21"/>
                      <w:szCs w:val="21"/>
                      <w:highlight w:val="none"/>
                    </w:rPr>
                    <w:instrText xml:space="preserve"> = 1 \* GB3 </w:instrText>
                  </w:r>
                  <w:r>
                    <w:rPr>
                      <w:rFonts w:hint="default" w:ascii="Times New Roman" w:hAnsi="Times New Roman" w:cs="Times New Roman" w:eastAsiaTheme="minorEastAsia"/>
                      <w:color w:val="auto"/>
                      <w:kern w:val="0"/>
                      <w:sz w:val="21"/>
                      <w:szCs w:val="21"/>
                      <w:highlight w:val="none"/>
                    </w:rPr>
                    <w:fldChar w:fldCharType="separate"/>
                  </w:r>
                  <w:r>
                    <w:rPr>
                      <w:rFonts w:hint="default" w:ascii="Times New Roman" w:hAnsi="Times New Roman" w:cs="Times New Roman" w:eastAsiaTheme="minorEastAsia"/>
                      <w:color w:val="auto"/>
                      <w:kern w:val="0"/>
                      <w:sz w:val="21"/>
                      <w:szCs w:val="21"/>
                      <w:highlight w:val="none"/>
                    </w:rPr>
                    <w:t>①</w:t>
                  </w:r>
                  <w:r>
                    <w:rPr>
                      <w:rFonts w:hint="default" w:ascii="Times New Roman" w:hAnsi="Times New Roman" w:cs="Times New Roman" w:eastAsiaTheme="minorEastAsia"/>
                      <w:color w:val="auto"/>
                      <w:kern w:val="0"/>
                      <w:sz w:val="21"/>
                      <w:szCs w:val="21"/>
                      <w:highlight w:val="none"/>
                    </w:rPr>
                    <w:fldChar w:fldCharType="end"/>
                  </w:r>
                  <w:r>
                    <w:rPr>
                      <w:rFonts w:hint="eastAsia" w:cs="Times New Roman" w:eastAsiaTheme="minorEastAsia"/>
                      <w:color w:val="auto"/>
                      <w:kern w:val="0"/>
                      <w:sz w:val="21"/>
                      <w:szCs w:val="21"/>
                      <w:highlight w:val="none"/>
                      <w:lang w:val="en-US" w:eastAsia="zh-CN"/>
                    </w:rPr>
                    <w:t>液体复合微生物肥料生产区依托现有项目</w:t>
                  </w:r>
                  <w:r>
                    <w:rPr>
                      <w:rFonts w:hint="default" w:ascii="Times New Roman" w:hAnsi="Times New Roman" w:cs="Times New Roman" w:eastAsiaTheme="minorEastAsia"/>
                      <w:color w:val="auto"/>
                      <w:kern w:val="0"/>
                      <w:sz w:val="21"/>
                      <w:szCs w:val="21"/>
                      <w:highlight w:val="none"/>
                    </w:rPr>
                    <w:t>已通过竣工环境保护验收</w:t>
                  </w:r>
                  <w:r>
                    <w:rPr>
                      <w:rFonts w:hint="eastAsia" w:cs="Times New Roman" w:eastAsiaTheme="minorEastAsia"/>
                      <w:color w:val="auto"/>
                      <w:kern w:val="0"/>
                      <w:sz w:val="21"/>
                      <w:szCs w:val="21"/>
                      <w:highlight w:val="none"/>
                      <w:lang w:val="en-US" w:eastAsia="zh-CN"/>
                    </w:rPr>
                    <w:t>的</w:t>
                  </w:r>
                  <w:r>
                    <w:rPr>
                      <w:rFonts w:hint="default" w:ascii="Times New Roman" w:hAnsi="Times New Roman" w:cs="Times New Roman" w:eastAsiaTheme="minorEastAsia"/>
                      <w:color w:val="auto"/>
                      <w:kern w:val="0"/>
                      <w:sz w:val="21"/>
                      <w:szCs w:val="21"/>
                      <w:highlight w:val="none"/>
                    </w:rPr>
                    <w:t>雨污分流系统。</w:t>
                  </w:r>
                </w:p>
                <w:p w14:paraId="3DD44664">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②</w:t>
                  </w:r>
                  <w:r>
                    <w:rPr>
                      <w:rFonts w:hint="eastAsia" w:cs="Times New Roman" w:eastAsiaTheme="minorEastAsia"/>
                      <w:color w:val="auto"/>
                      <w:kern w:val="0"/>
                      <w:sz w:val="21"/>
                      <w:szCs w:val="21"/>
                      <w:highlight w:val="none"/>
                      <w:lang w:val="en-US" w:eastAsia="zh-CN"/>
                    </w:rPr>
                    <w:t>液体复合微生物肥料生产区依托现有</w:t>
                  </w:r>
                  <w:r>
                    <w:rPr>
                      <w:rFonts w:hint="default" w:ascii="Times New Roman" w:hAnsi="Times New Roman" w:cs="Times New Roman" w:eastAsiaTheme="minorEastAsia"/>
                      <w:color w:val="auto"/>
                      <w:kern w:val="0"/>
                      <w:sz w:val="21"/>
                      <w:szCs w:val="21"/>
                      <w:highlight w:val="none"/>
                    </w:rPr>
                    <w:t>项目区域已通过竣工环境保护验收已有污水处理系统：</w:t>
                  </w:r>
                  <w:r>
                    <w:rPr>
                      <w:rFonts w:hint="eastAsia" w:cs="Times New Roman" w:eastAsiaTheme="minorEastAsia"/>
                      <w:color w:val="auto"/>
                      <w:kern w:val="0"/>
                      <w:sz w:val="21"/>
                      <w:szCs w:val="21"/>
                      <w:highlight w:val="none"/>
                      <w:lang w:val="en-US" w:eastAsia="zh-CN"/>
                    </w:rPr>
                    <w:t>液体复合微生物肥料生产区产生的</w:t>
                  </w:r>
                  <w:r>
                    <w:rPr>
                      <w:rFonts w:hint="default" w:ascii="Times New Roman" w:hAnsi="Times New Roman" w:cs="Times New Roman" w:eastAsiaTheme="minorEastAsia"/>
                      <w:color w:val="auto"/>
                      <w:sz w:val="21"/>
                      <w:szCs w:val="21"/>
                      <w:highlight w:val="none"/>
                    </w:rPr>
                    <w:t>生产废水经生产废水处理系统处理达到《污水综合排放标准》（GB 8978-1996）中三级标准</w:t>
                  </w:r>
                  <w:r>
                    <w:rPr>
                      <w:rFonts w:hint="eastAsia"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rPr>
                    <w:t>排入寻甸县污水处理厂。</w:t>
                  </w:r>
                </w:p>
              </w:tc>
              <w:tc>
                <w:tcPr>
                  <w:tcW w:w="630" w:type="pct"/>
                  <w:vAlign w:val="center"/>
                </w:tcPr>
                <w:p w14:paraId="139D396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依托</w:t>
                  </w:r>
                </w:p>
              </w:tc>
            </w:tr>
            <w:tr w14:paraId="1DAC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restart"/>
                  <w:vAlign w:val="center"/>
                </w:tcPr>
                <w:p w14:paraId="031C416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环保工程</w:t>
                  </w:r>
                </w:p>
              </w:tc>
              <w:tc>
                <w:tcPr>
                  <w:tcW w:w="253" w:type="pct"/>
                  <w:vMerge w:val="restart"/>
                  <w:vAlign w:val="center"/>
                </w:tcPr>
                <w:p w14:paraId="6E050B3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废气</w:t>
                  </w:r>
                </w:p>
              </w:tc>
              <w:tc>
                <w:tcPr>
                  <w:tcW w:w="437" w:type="pct"/>
                  <w:gridSpan w:val="2"/>
                  <w:vMerge w:val="restart"/>
                  <w:vAlign w:val="center"/>
                </w:tcPr>
                <w:p w14:paraId="528D1DA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eastAsia" w:cs="Times New Roman" w:eastAsiaTheme="minorEastAsia"/>
                      <w:color w:val="auto"/>
                      <w:kern w:val="0"/>
                      <w:sz w:val="21"/>
                      <w:szCs w:val="21"/>
                      <w:highlight w:val="none"/>
                      <w:lang w:val="en-US" w:eastAsia="zh-CN"/>
                    </w:rPr>
                    <w:t>液体复合微生物肥料生产区</w:t>
                  </w:r>
                </w:p>
              </w:tc>
              <w:tc>
                <w:tcPr>
                  <w:tcW w:w="453" w:type="pct"/>
                  <w:vAlign w:val="center"/>
                </w:tcPr>
                <w:p w14:paraId="5985D89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发酵</w:t>
                  </w:r>
                </w:p>
                <w:p w14:paraId="53AF028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废气</w:t>
                  </w:r>
                </w:p>
              </w:tc>
              <w:tc>
                <w:tcPr>
                  <w:tcW w:w="2875" w:type="pct"/>
                  <w:vAlign w:val="center"/>
                </w:tcPr>
                <w:p w14:paraId="3EEE2111">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发酵罐密封发酵并采取发酵罐及时清洗、加强通风、开罐和搅拌期间喷洒除臭剂减轻臭气浓度对周边环境的影响。</w:t>
                  </w:r>
                </w:p>
              </w:tc>
              <w:tc>
                <w:tcPr>
                  <w:tcW w:w="630" w:type="pct"/>
                  <w:vMerge w:val="restart"/>
                  <w:vAlign w:val="center"/>
                </w:tcPr>
                <w:p w14:paraId="3808B77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新建</w:t>
                  </w:r>
                </w:p>
              </w:tc>
            </w:tr>
            <w:tr w14:paraId="7B84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4C297141">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highlight w:val="none"/>
                    </w:rPr>
                  </w:pPr>
                </w:p>
              </w:tc>
              <w:tc>
                <w:tcPr>
                  <w:tcW w:w="253" w:type="pct"/>
                  <w:vMerge w:val="continue"/>
                  <w:vAlign w:val="center"/>
                </w:tcPr>
                <w:p w14:paraId="0213688B">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highlight w:val="none"/>
                    </w:rPr>
                  </w:pPr>
                </w:p>
              </w:tc>
              <w:tc>
                <w:tcPr>
                  <w:tcW w:w="437" w:type="pct"/>
                  <w:gridSpan w:val="2"/>
                  <w:vMerge w:val="continue"/>
                  <w:vAlign w:val="center"/>
                </w:tcPr>
                <w:p w14:paraId="1D38BB9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highlight w:val="none"/>
                    </w:rPr>
                  </w:pPr>
                </w:p>
              </w:tc>
              <w:tc>
                <w:tcPr>
                  <w:tcW w:w="453" w:type="pct"/>
                  <w:vAlign w:val="center"/>
                </w:tcPr>
                <w:p w14:paraId="668DEB4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投料、搅拌</w:t>
                  </w:r>
                </w:p>
              </w:tc>
              <w:tc>
                <w:tcPr>
                  <w:tcW w:w="2875" w:type="pct"/>
                  <w:vAlign w:val="center"/>
                </w:tcPr>
                <w:p w14:paraId="2C9BE15A">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采取人工投料站（滤芯除尘）</w:t>
                  </w:r>
                  <w:r>
                    <w:rPr>
                      <w:rFonts w:hint="eastAsia" w:cs="Times New Roman" w:eastAsiaTheme="minorEastAsia"/>
                      <w:color w:val="auto"/>
                      <w:sz w:val="21"/>
                      <w:szCs w:val="21"/>
                      <w:highlight w:val="none"/>
                      <w:lang w:val="en-US" w:eastAsia="zh-CN"/>
                    </w:rPr>
                    <w:t>和</w:t>
                  </w:r>
                  <w:r>
                    <w:rPr>
                      <w:rFonts w:hint="default" w:ascii="Times New Roman" w:hAnsi="Times New Roman" w:cs="Times New Roman" w:eastAsiaTheme="minorEastAsia"/>
                      <w:color w:val="auto"/>
                      <w:sz w:val="21"/>
                      <w:szCs w:val="21"/>
                      <w:highlight w:val="none"/>
                    </w:rPr>
                    <w:t>湿法搅拌</w:t>
                  </w:r>
                  <w:r>
                    <w:rPr>
                      <w:rFonts w:hint="eastAsia" w:ascii="Times New Roman" w:hAnsi="Times New Roman" w:cs="Times New Roman" w:eastAsiaTheme="minorEastAsia"/>
                      <w:color w:val="auto"/>
                      <w:sz w:val="21"/>
                      <w:szCs w:val="21"/>
                      <w:highlight w:val="none"/>
                      <w:lang w:val="en-US" w:eastAsia="zh-CN"/>
                    </w:rPr>
                    <w:t>后，再</w:t>
                  </w:r>
                  <w:r>
                    <w:rPr>
                      <w:rFonts w:hint="default" w:ascii="Times New Roman" w:hAnsi="Times New Roman" w:cs="Times New Roman" w:eastAsiaTheme="minorEastAsia"/>
                      <w:color w:val="auto"/>
                      <w:sz w:val="21"/>
                      <w:szCs w:val="21"/>
                      <w:highlight w:val="none"/>
                    </w:rPr>
                    <w:t>经封闭厂房（预留进出口）围挡后无组织排放。</w:t>
                  </w:r>
                </w:p>
              </w:tc>
              <w:tc>
                <w:tcPr>
                  <w:tcW w:w="630" w:type="pct"/>
                  <w:vMerge w:val="continue"/>
                  <w:vAlign w:val="center"/>
                </w:tcPr>
                <w:p w14:paraId="2D82F57B">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p>
              </w:tc>
            </w:tr>
            <w:tr w14:paraId="091F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4A8B63C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253" w:type="pct"/>
                  <w:vMerge w:val="continue"/>
                  <w:vAlign w:val="center"/>
                </w:tcPr>
                <w:p w14:paraId="7644470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437" w:type="pct"/>
                  <w:gridSpan w:val="2"/>
                  <w:vMerge w:val="restart"/>
                  <w:shd w:val="clear" w:color="auto" w:fill="auto"/>
                  <w:vAlign w:val="center"/>
                </w:tcPr>
                <w:p w14:paraId="5887E71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rPr>
                    <w:t>固体复合微生物肥料生产区</w:t>
                  </w:r>
                </w:p>
              </w:tc>
              <w:tc>
                <w:tcPr>
                  <w:tcW w:w="453" w:type="pct"/>
                  <w:shd w:val="clear" w:color="auto" w:fill="auto"/>
                  <w:vAlign w:val="center"/>
                </w:tcPr>
                <w:p w14:paraId="35F926C7">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扑粉、筛分、粉碎、包装、搅拌</w:t>
                  </w:r>
                  <w:r>
                    <w:rPr>
                      <w:rFonts w:hint="eastAsia" w:cs="Times New Roman" w:eastAsiaTheme="minorEastAsia"/>
                      <w:color w:val="auto"/>
                      <w:kern w:val="2"/>
                      <w:sz w:val="21"/>
                      <w:szCs w:val="21"/>
                      <w:highlight w:val="none"/>
                      <w:lang w:val="en-US" w:eastAsia="zh-CN" w:bidi="ar-SA"/>
                    </w:rPr>
                    <w:t>、投料</w:t>
                  </w:r>
                </w:p>
              </w:tc>
              <w:tc>
                <w:tcPr>
                  <w:tcW w:w="2875" w:type="pct"/>
                  <w:shd w:val="clear" w:color="auto" w:fill="auto"/>
                  <w:vAlign w:val="center"/>
                </w:tcPr>
                <w:p w14:paraId="41709B06">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设</w:t>
                  </w:r>
                  <w:r>
                    <w:rPr>
                      <w:rFonts w:hint="eastAsia" w:cs="Times New Roman" w:eastAsiaTheme="minorEastAsia"/>
                      <w:color w:val="auto"/>
                      <w:kern w:val="2"/>
                      <w:sz w:val="21"/>
                      <w:szCs w:val="21"/>
                      <w:highlight w:val="none"/>
                      <w:lang w:val="en-US" w:eastAsia="zh-CN" w:bidi="ar-SA"/>
                    </w:rPr>
                    <w:t>6</w:t>
                  </w:r>
                  <w:r>
                    <w:rPr>
                      <w:rFonts w:hint="default" w:ascii="Times New Roman" w:hAnsi="Times New Roman" w:cs="Times New Roman" w:eastAsiaTheme="minorEastAsia"/>
                      <w:color w:val="auto"/>
                      <w:kern w:val="2"/>
                      <w:sz w:val="21"/>
                      <w:szCs w:val="21"/>
                      <w:highlight w:val="none"/>
                      <w:lang w:val="en-US" w:eastAsia="zh-CN" w:bidi="ar-SA"/>
                    </w:rPr>
                    <w:t>个半密闭集气罩（收集效率80%）收集后经布袋除尘器处理（处理效率98%）处理后由15m高排气筒（DA00</w:t>
                  </w:r>
                  <w:r>
                    <w:rPr>
                      <w:rFonts w:hint="eastAsia" w:cs="Times New Roman" w:eastAsiaTheme="minorEastAsia"/>
                      <w:color w:val="auto"/>
                      <w:kern w:val="2"/>
                      <w:sz w:val="21"/>
                      <w:szCs w:val="21"/>
                      <w:highlight w:val="none"/>
                      <w:lang w:val="en-US" w:eastAsia="zh-CN" w:bidi="ar-SA"/>
                    </w:rPr>
                    <w:t>4</w:t>
                  </w:r>
                  <w:r>
                    <w:rPr>
                      <w:rFonts w:hint="default" w:ascii="Times New Roman" w:hAnsi="Times New Roman" w:cs="Times New Roman" w:eastAsiaTheme="minorEastAsia"/>
                      <w:color w:val="auto"/>
                      <w:kern w:val="2"/>
                      <w:sz w:val="21"/>
                      <w:szCs w:val="21"/>
                      <w:highlight w:val="none"/>
                      <w:lang w:val="en-US" w:eastAsia="zh-CN" w:bidi="ar-SA"/>
                    </w:rPr>
                    <w:t>）有组织排放。未能收集废气经封闭式厂房（预留进出口）阻隔后，无组织排放。</w:t>
                  </w:r>
                </w:p>
              </w:tc>
              <w:tc>
                <w:tcPr>
                  <w:tcW w:w="630" w:type="pct"/>
                  <w:shd w:val="clear" w:color="auto" w:fill="auto"/>
                  <w:vAlign w:val="center"/>
                </w:tcPr>
                <w:p w14:paraId="17DFBEA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rPr>
                    <w:t>新建</w:t>
                  </w:r>
                </w:p>
              </w:tc>
            </w:tr>
            <w:tr w14:paraId="20EB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581C6C6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253" w:type="pct"/>
                  <w:vMerge w:val="continue"/>
                  <w:vAlign w:val="center"/>
                </w:tcPr>
                <w:p w14:paraId="2C26FC9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437" w:type="pct"/>
                  <w:gridSpan w:val="2"/>
                  <w:vMerge w:val="continue"/>
                  <w:vAlign w:val="center"/>
                </w:tcPr>
                <w:p w14:paraId="6EB5B41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453" w:type="pct"/>
                  <w:vAlign w:val="center"/>
                </w:tcPr>
                <w:p w14:paraId="292F5FA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发酵、一次筛分</w:t>
                  </w:r>
                </w:p>
              </w:tc>
              <w:tc>
                <w:tcPr>
                  <w:tcW w:w="2875" w:type="pct"/>
                  <w:vAlign w:val="center"/>
                </w:tcPr>
                <w:p w14:paraId="050C92EE">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固体复合微生物肥发酵和一次筛分过程均在封闭车间（预留进出口）中进行，对以上工序喷洒生物除臭剂，并在一次筛分机和发酵区设置集气罩收集废气，发酵产生的废气经移动伸缩</w:t>
                  </w:r>
                  <w:r>
                    <w:rPr>
                      <w:rFonts w:hint="eastAsia" w:cs="Times New Roman" w:eastAsiaTheme="minorEastAsia"/>
                      <w:color w:val="auto"/>
                      <w:sz w:val="21"/>
                      <w:szCs w:val="21"/>
                      <w:highlight w:val="none"/>
                      <w:lang w:val="en-US" w:eastAsia="zh-CN"/>
                    </w:rPr>
                    <w:t>半密闭</w:t>
                  </w:r>
                  <w:r>
                    <w:rPr>
                      <w:rFonts w:hint="default" w:ascii="Times New Roman" w:hAnsi="Times New Roman" w:cs="Times New Roman" w:eastAsiaTheme="minorEastAsia"/>
                      <w:color w:val="auto"/>
                      <w:sz w:val="21"/>
                      <w:szCs w:val="21"/>
                      <w:highlight w:val="none"/>
                    </w:rPr>
                    <w:t>废气收集装置收集收集后经一套生物过滤除臭系统处理，处理后由15m高排气筒排放（DA00</w:t>
                  </w:r>
                  <w:r>
                    <w:rPr>
                      <w:rFonts w:hint="eastAsia" w:cs="Times New Roman" w:eastAsiaTheme="minorEastAsia"/>
                      <w:color w:val="auto"/>
                      <w:sz w:val="21"/>
                      <w:szCs w:val="21"/>
                      <w:highlight w:val="none"/>
                      <w:lang w:val="en-US" w:eastAsia="zh-CN"/>
                    </w:rPr>
                    <w:t>3</w:t>
                  </w:r>
                  <w:r>
                    <w:rPr>
                      <w:rFonts w:hint="default" w:ascii="Times New Roman" w:hAnsi="Times New Roman" w:cs="Times New Roman" w:eastAsiaTheme="minorEastAsia"/>
                      <w:color w:val="auto"/>
                      <w:sz w:val="21"/>
                      <w:szCs w:val="21"/>
                      <w:highlight w:val="none"/>
                    </w:rPr>
                    <w:t>）排放。</w:t>
                  </w:r>
                  <w:r>
                    <w:rPr>
                      <w:rFonts w:hint="eastAsia" w:cs="Times New Roman" w:eastAsiaTheme="minorEastAsia"/>
                      <w:color w:val="auto"/>
                      <w:sz w:val="21"/>
                      <w:szCs w:val="21"/>
                      <w:highlight w:val="none"/>
                      <w:lang w:val="en-US" w:eastAsia="zh-CN"/>
                    </w:rPr>
                    <w:t>并定期</w:t>
                  </w:r>
                  <w:r>
                    <w:rPr>
                      <w:rFonts w:hint="default" w:ascii="Times New Roman" w:hAnsi="Times New Roman" w:cs="Times New Roman" w:eastAsiaTheme="minorEastAsia"/>
                      <w:color w:val="auto"/>
                      <w:sz w:val="21"/>
                      <w:szCs w:val="21"/>
                      <w:highlight w:val="none"/>
                    </w:rPr>
                    <w:t>喷洒除臭剂减轻臭气浓度对周边环境的影响。</w:t>
                  </w:r>
                </w:p>
              </w:tc>
              <w:tc>
                <w:tcPr>
                  <w:tcW w:w="630" w:type="pct"/>
                  <w:vAlign w:val="center"/>
                </w:tcPr>
                <w:p w14:paraId="1974624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新建</w:t>
                  </w:r>
                </w:p>
              </w:tc>
            </w:tr>
            <w:tr w14:paraId="272D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7732A54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253" w:type="pct"/>
                  <w:vMerge w:val="restart"/>
                  <w:vAlign w:val="center"/>
                </w:tcPr>
                <w:p w14:paraId="6CFC350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废水</w:t>
                  </w:r>
                </w:p>
              </w:tc>
              <w:tc>
                <w:tcPr>
                  <w:tcW w:w="437" w:type="pct"/>
                  <w:gridSpan w:val="2"/>
                  <w:vAlign w:val="center"/>
                </w:tcPr>
                <w:p w14:paraId="228BB82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实验室废水、软水制备</w:t>
                  </w:r>
                </w:p>
              </w:tc>
              <w:tc>
                <w:tcPr>
                  <w:tcW w:w="3329" w:type="pct"/>
                  <w:gridSpan w:val="2"/>
                  <w:vMerge w:val="restart"/>
                  <w:vAlign w:val="center"/>
                </w:tcPr>
                <w:p w14:paraId="38B1D774">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bCs/>
                      <w:color w:val="auto"/>
                      <w:sz w:val="21"/>
                      <w:szCs w:val="21"/>
                      <w:highlight w:val="none"/>
                      <w:lang w:val="en-US" w:eastAsia="zh-CN"/>
                    </w:rPr>
                  </w:pPr>
                  <w:r>
                    <w:rPr>
                      <w:rFonts w:hint="eastAsia" w:cs="Times New Roman" w:eastAsiaTheme="minorEastAsia"/>
                      <w:bCs/>
                      <w:color w:val="auto"/>
                      <w:sz w:val="21"/>
                      <w:szCs w:val="21"/>
                      <w:highlight w:val="none"/>
                      <w:lang w:val="en-US" w:eastAsia="zh-CN"/>
                    </w:rPr>
                    <w:t>依托现有项目已建生产废水处理系统处理达到《污水综合排放标准》（GB 8978-1996）中三级标准，排入寻甸县污水处理厂。</w:t>
                  </w:r>
                </w:p>
              </w:tc>
              <w:tc>
                <w:tcPr>
                  <w:tcW w:w="630" w:type="pct"/>
                  <w:vMerge w:val="restart"/>
                  <w:vAlign w:val="center"/>
                </w:tcPr>
                <w:p w14:paraId="19A3422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依托</w:t>
                  </w:r>
                </w:p>
              </w:tc>
            </w:tr>
            <w:tr w14:paraId="0C89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1A19295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253" w:type="pct"/>
                  <w:vMerge w:val="continue"/>
                  <w:vAlign w:val="center"/>
                </w:tcPr>
                <w:p w14:paraId="5253EE2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437" w:type="pct"/>
                  <w:gridSpan w:val="2"/>
                  <w:vAlign w:val="center"/>
                </w:tcPr>
                <w:p w14:paraId="78E36E0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生产设备清洗废水</w:t>
                  </w:r>
                </w:p>
              </w:tc>
              <w:tc>
                <w:tcPr>
                  <w:tcW w:w="3329" w:type="pct"/>
                  <w:gridSpan w:val="2"/>
                  <w:vMerge w:val="continue"/>
                  <w:vAlign w:val="center"/>
                </w:tcPr>
                <w:p w14:paraId="6F50CBD1">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bCs/>
                      <w:color w:val="auto"/>
                      <w:sz w:val="21"/>
                      <w:szCs w:val="21"/>
                      <w:highlight w:val="none"/>
                    </w:rPr>
                  </w:pPr>
                </w:p>
              </w:tc>
              <w:tc>
                <w:tcPr>
                  <w:tcW w:w="630" w:type="pct"/>
                  <w:vMerge w:val="continue"/>
                  <w:vAlign w:val="center"/>
                </w:tcPr>
                <w:p w14:paraId="09A7FC6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r>
            <w:tr w14:paraId="1E0D2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7C4AD5C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253" w:type="pct"/>
                  <w:vMerge w:val="continue"/>
                  <w:vAlign w:val="center"/>
                </w:tcPr>
                <w:p w14:paraId="5DF7A97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437" w:type="pct"/>
                  <w:gridSpan w:val="2"/>
                  <w:vAlign w:val="center"/>
                </w:tcPr>
                <w:p w14:paraId="012D8F1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地面冲洗废水</w:t>
                  </w:r>
                </w:p>
              </w:tc>
              <w:tc>
                <w:tcPr>
                  <w:tcW w:w="3329" w:type="pct"/>
                  <w:gridSpan w:val="2"/>
                  <w:vMerge w:val="restart"/>
                  <w:vAlign w:val="center"/>
                </w:tcPr>
                <w:p w14:paraId="350EE28F">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收集于25m</w:t>
                  </w:r>
                  <w:r>
                    <w:rPr>
                      <w:rFonts w:hint="eastAsia" w:cs="Times New Roman" w:eastAsiaTheme="minorEastAsia"/>
                      <w:color w:val="auto"/>
                      <w:kern w:val="0"/>
                      <w:sz w:val="21"/>
                      <w:szCs w:val="21"/>
                      <w:highlight w:val="none"/>
                      <w:vertAlign w:val="superscript"/>
                      <w:lang w:val="en-US" w:eastAsia="zh-CN"/>
                    </w:rPr>
                    <w:t>3</w:t>
                  </w:r>
                  <w:r>
                    <w:rPr>
                      <w:rFonts w:hint="eastAsia" w:cs="Times New Roman" w:eastAsiaTheme="minorEastAsia"/>
                      <w:color w:val="auto"/>
                      <w:kern w:val="0"/>
                      <w:sz w:val="21"/>
                      <w:szCs w:val="21"/>
                      <w:highlight w:val="none"/>
                      <w:lang w:val="en-US" w:eastAsia="zh-CN"/>
                    </w:rPr>
                    <w:t>封闭式渗滤液收集池泵至</w:t>
                  </w:r>
                  <w:r>
                    <w:rPr>
                      <w:rFonts w:hint="eastAsia" w:cs="Times New Roman" w:eastAsiaTheme="minorEastAsia"/>
                      <w:bCs/>
                      <w:color w:val="auto"/>
                      <w:sz w:val="21"/>
                      <w:szCs w:val="21"/>
                      <w:highlight w:val="none"/>
                      <w:lang w:val="en-US" w:eastAsia="zh-CN"/>
                    </w:rPr>
                    <w:t>现有项目已建生产废水处理系统处理达到《污水综合排放标准》（GB 8978-1996）中三级标准，排入寻甸县污水处理厂。</w:t>
                  </w:r>
                  <w:r>
                    <w:rPr>
                      <w:rFonts w:hint="eastAsia" w:cs="Times New Roman" w:eastAsiaTheme="minorEastAsia"/>
                      <w:color w:val="auto"/>
                      <w:kern w:val="0"/>
                      <w:sz w:val="21"/>
                      <w:szCs w:val="21"/>
                      <w:highlight w:val="none"/>
                      <w:lang w:val="en-US" w:eastAsia="zh-CN"/>
                    </w:rPr>
                    <w:t>密闭式收集池配套浮球压力阀（5m</w:t>
                  </w:r>
                  <w:r>
                    <w:rPr>
                      <w:rFonts w:hint="eastAsia" w:cs="Times New Roman" w:eastAsiaTheme="minorEastAsia"/>
                      <w:color w:val="auto"/>
                      <w:kern w:val="0"/>
                      <w:sz w:val="21"/>
                      <w:szCs w:val="21"/>
                      <w:highlight w:val="none"/>
                      <w:vertAlign w:val="superscript"/>
                      <w:lang w:val="en-US" w:eastAsia="zh-CN"/>
                    </w:rPr>
                    <w:t>3</w:t>
                  </w:r>
                  <w:r>
                    <w:rPr>
                      <w:rFonts w:hint="eastAsia" w:cs="Times New Roman" w:eastAsiaTheme="minorEastAsia"/>
                      <w:color w:val="auto"/>
                      <w:kern w:val="0"/>
                      <w:sz w:val="21"/>
                      <w:szCs w:val="21"/>
                      <w:highlight w:val="none"/>
                      <w:lang w:val="en-US" w:eastAsia="zh-CN"/>
                    </w:rPr>
                    <w:t>时自行启动和每日工作结束后废水全部泵至污水处理站）和耐腐蚀输送管道（管径DN100，材质为UPVC），通过提升泵泵往污水处理站处理。</w:t>
                  </w:r>
                </w:p>
              </w:tc>
              <w:tc>
                <w:tcPr>
                  <w:tcW w:w="630" w:type="pct"/>
                  <w:vMerge w:val="restart"/>
                  <w:vAlign w:val="center"/>
                </w:tcPr>
                <w:p w14:paraId="34D1AF7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新建+依托</w:t>
                  </w:r>
                </w:p>
              </w:tc>
            </w:tr>
            <w:tr w14:paraId="4FCC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2BA1969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253" w:type="pct"/>
                  <w:vMerge w:val="continue"/>
                  <w:vAlign w:val="center"/>
                </w:tcPr>
                <w:p w14:paraId="19B7D30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437" w:type="pct"/>
                  <w:gridSpan w:val="2"/>
                  <w:vAlign w:val="center"/>
                </w:tcPr>
                <w:p w14:paraId="61F0C1F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渗滤液</w:t>
                  </w:r>
                </w:p>
              </w:tc>
              <w:tc>
                <w:tcPr>
                  <w:tcW w:w="3329" w:type="pct"/>
                  <w:gridSpan w:val="2"/>
                  <w:vMerge w:val="continue"/>
                  <w:vAlign w:val="center"/>
                </w:tcPr>
                <w:p w14:paraId="6C67707C">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kern w:val="0"/>
                      <w:sz w:val="21"/>
                      <w:szCs w:val="21"/>
                      <w:highlight w:val="none"/>
                    </w:rPr>
                  </w:pPr>
                </w:p>
              </w:tc>
              <w:tc>
                <w:tcPr>
                  <w:tcW w:w="630" w:type="pct"/>
                  <w:vMerge w:val="continue"/>
                  <w:vAlign w:val="center"/>
                </w:tcPr>
                <w:p w14:paraId="08CFA05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r>
            <w:tr w14:paraId="03D27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69F0847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253" w:type="pct"/>
                  <w:vMerge w:val="continue"/>
                  <w:vAlign w:val="center"/>
                </w:tcPr>
                <w:p w14:paraId="0D0F2F5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437" w:type="pct"/>
                  <w:gridSpan w:val="2"/>
                  <w:vAlign w:val="center"/>
                </w:tcPr>
                <w:p w14:paraId="1A970AB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雨水</w:t>
                  </w:r>
                </w:p>
              </w:tc>
              <w:tc>
                <w:tcPr>
                  <w:tcW w:w="3329" w:type="pct"/>
                  <w:gridSpan w:val="2"/>
                  <w:vAlign w:val="center"/>
                </w:tcPr>
                <w:p w14:paraId="2F831BF2">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color w:val="auto"/>
                      <w:kern w:val="0"/>
                      <w:sz w:val="21"/>
                      <w:szCs w:val="21"/>
                      <w:highlight w:val="none"/>
                      <w:vertAlign w:val="baseline"/>
                      <w:lang w:val="en-US" w:eastAsia="zh-CN"/>
                    </w:rPr>
                  </w:pPr>
                  <w:r>
                    <w:rPr>
                      <w:rFonts w:hint="eastAsia" w:cs="Times New Roman" w:eastAsiaTheme="minorEastAsia"/>
                      <w:color w:val="auto"/>
                      <w:kern w:val="0"/>
                      <w:sz w:val="21"/>
                      <w:szCs w:val="21"/>
                      <w:highlight w:val="none"/>
                      <w:lang w:val="en-US" w:eastAsia="zh-CN"/>
                    </w:rPr>
                    <w:t>固体复合微生物肥生产区低洼处设置1个30m</w:t>
                  </w:r>
                  <w:r>
                    <w:rPr>
                      <w:rFonts w:hint="eastAsia" w:cs="Times New Roman" w:eastAsiaTheme="minorEastAsia"/>
                      <w:color w:val="auto"/>
                      <w:kern w:val="0"/>
                      <w:sz w:val="21"/>
                      <w:szCs w:val="21"/>
                      <w:highlight w:val="none"/>
                      <w:vertAlign w:val="superscript"/>
                      <w:lang w:val="en-US" w:eastAsia="zh-CN"/>
                    </w:rPr>
                    <w:t>3</w:t>
                  </w:r>
                  <w:r>
                    <w:rPr>
                      <w:rFonts w:hint="eastAsia" w:cs="Times New Roman" w:eastAsiaTheme="minorEastAsia"/>
                      <w:color w:val="auto"/>
                      <w:kern w:val="0"/>
                      <w:sz w:val="21"/>
                      <w:szCs w:val="21"/>
                      <w:highlight w:val="none"/>
                      <w:vertAlign w:val="baseline"/>
                      <w:lang w:val="en-US" w:eastAsia="zh-CN"/>
                    </w:rPr>
                    <w:t>的初期雨水收集池，初期雨水经收集池处理后回用于道路降尘。</w:t>
                  </w:r>
                </w:p>
              </w:tc>
              <w:tc>
                <w:tcPr>
                  <w:tcW w:w="630" w:type="pct"/>
                  <w:vAlign w:val="center"/>
                </w:tcPr>
                <w:p w14:paraId="53D3EA5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新建</w:t>
                  </w:r>
                </w:p>
              </w:tc>
            </w:tr>
            <w:tr w14:paraId="07EC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3D35B0E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253" w:type="pct"/>
                  <w:vMerge w:val="restart"/>
                  <w:vAlign w:val="center"/>
                </w:tcPr>
                <w:p w14:paraId="4FD09CE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固废</w:t>
                  </w:r>
                </w:p>
              </w:tc>
              <w:tc>
                <w:tcPr>
                  <w:tcW w:w="437" w:type="pct"/>
                  <w:gridSpan w:val="2"/>
                  <w:shd w:val="clear" w:color="auto" w:fill="auto"/>
                  <w:vAlign w:val="center"/>
                </w:tcPr>
                <w:p w14:paraId="111F537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sz w:val="21"/>
                      <w:szCs w:val="21"/>
                      <w:highlight w:val="none"/>
                    </w:rPr>
                    <w:t>一般固废</w:t>
                  </w:r>
                </w:p>
              </w:tc>
              <w:tc>
                <w:tcPr>
                  <w:tcW w:w="3329" w:type="pct"/>
                  <w:gridSpan w:val="2"/>
                  <w:shd w:val="clear" w:color="auto" w:fill="auto"/>
                  <w:vAlign w:val="center"/>
                </w:tcPr>
                <w:p w14:paraId="79D182AC">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kern w:val="0"/>
                      <w:sz w:val="21"/>
                      <w:szCs w:val="21"/>
                      <w:highlight w:val="none"/>
                      <w:lang w:val="en-US" w:eastAsia="zh-CN"/>
                    </w:rPr>
                    <w:t>固体复合微生物肥生产区设置20m</w:t>
                  </w:r>
                  <w:r>
                    <w:rPr>
                      <w:rFonts w:hint="eastAsia" w:cs="Times New Roman" w:eastAsiaTheme="minorEastAsia"/>
                      <w:color w:val="auto"/>
                      <w:kern w:val="0"/>
                      <w:sz w:val="21"/>
                      <w:szCs w:val="21"/>
                      <w:highlight w:val="none"/>
                      <w:vertAlign w:val="superscript"/>
                      <w:lang w:val="en-US" w:eastAsia="zh-CN"/>
                    </w:rPr>
                    <w:t>2</w:t>
                  </w:r>
                  <w:r>
                    <w:rPr>
                      <w:rFonts w:hint="eastAsia" w:cs="Times New Roman" w:eastAsiaTheme="minorEastAsia"/>
                      <w:color w:val="auto"/>
                      <w:kern w:val="0"/>
                      <w:sz w:val="21"/>
                      <w:szCs w:val="21"/>
                      <w:highlight w:val="none"/>
                      <w:lang w:val="en-US" w:eastAsia="zh-CN"/>
                    </w:rPr>
                    <w:t>一般固废暂存间暂存收集的废包装袋等固废；液体复合微生物肥生产区设置10m</w:t>
                  </w:r>
                  <w:r>
                    <w:rPr>
                      <w:rFonts w:hint="eastAsia" w:cs="Times New Roman" w:eastAsiaTheme="minorEastAsia"/>
                      <w:color w:val="auto"/>
                      <w:kern w:val="0"/>
                      <w:sz w:val="21"/>
                      <w:szCs w:val="21"/>
                      <w:highlight w:val="none"/>
                      <w:vertAlign w:val="superscript"/>
                      <w:lang w:val="en-US" w:eastAsia="zh-CN"/>
                    </w:rPr>
                    <w:t>2</w:t>
                  </w:r>
                  <w:r>
                    <w:rPr>
                      <w:rFonts w:hint="eastAsia" w:cs="Times New Roman" w:eastAsiaTheme="minorEastAsia"/>
                      <w:color w:val="auto"/>
                      <w:kern w:val="0"/>
                      <w:sz w:val="21"/>
                      <w:szCs w:val="21"/>
                      <w:highlight w:val="none"/>
                      <w:lang w:val="en-US" w:eastAsia="zh-CN"/>
                    </w:rPr>
                    <w:t>一般固废暂存间暂存收集的废包装袋等固废；筛分、布袋收尘灰、不合格产品等产生即回用于生产。</w:t>
                  </w:r>
                </w:p>
              </w:tc>
              <w:tc>
                <w:tcPr>
                  <w:tcW w:w="630" w:type="pct"/>
                  <w:shd w:val="clear" w:color="auto" w:fill="auto"/>
                  <w:vAlign w:val="center"/>
                </w:tcPr>
                <w:p w14:paraId="758EF22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rPr>
                    <w:t>新建</w:t>
                  </w:r>
                </w:p>
              </w:tc>
            </w:tr>
            <w:tr w14:paraId="09814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1894A83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253" w:type="pct"/>
                  <w:vMerge w:val="continue"/>
                  <w:vAlign w:val="center"/>
                </w:tcPr>
                <w:p w14:paraId="1A06417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437" w:type="pct"/>
                  <w:gridSpan w:val="2"/>
                  <w:shd w:val="clear" w:color="auto" w:fill="auto"/>
                  <w:vAlign w:val="center"/>
                </w:tcPr>
                <w:p w14:paraId="7D0A32E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sz w:val="21"/>
                      <w:szCs w:val="21"/>
                      <w:highlight w:val="none"/>
                    </w:rPr>
                    <w:t>危险废物</w:t>
                  </w:r>
                </w:p>
              </w:tc>
              <w:tc>
                <w:tcPr>
                  <w:tcW w:w="3329" w:type="pct"/>
                  <w:gridSpan w:val="2"/>
                  <w:shd w:val="clear" w:color="auto" w:fill="auto"/>
                  <w:vAlign w:val="center"/>
                </w:tcPr>
                <w:p w14:paraId="0B4F4BAB">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eastAsiaTheme="minorEastAsia"/>
                      <w:color w:val="auto"/>
                      <w:sz w:val="21"/>
                      <w:szCs w:val="21"/>
                      <w:highlight w:val="none"/>
                      <w:lang w:val="en-US" w:eastAsia="zh-CN"/>
                    </w:rPr>
                    <w:t>本项目产生的</w:t>
                  </w:r>
                  <w:r>
                    <w:rPr>
                      <w:rFonts w:hint="default" w:ascii="Times New Roman" w:hAnsi="Times New Roman" w:cs="Times New Roman" w:eastAsiaTheme="minorEastAsia"/>
                      <w:color w:val="auto"/>
                      <w:sz w:val="21"/>
                      <w:szCs w:val="21"/>
                      <w:highlight w:val="none"/>
                    </w:rPr>
                    <w:t>废机油收集于专用容器，</w:t>
                  </w:r>
                  <w:r>
                    <w:rPr>
                      <w:rFonts w:hint="eastAsia" w:ascii="Times New Roman" w:hAnsi="Times New Roman" w:cs="Times New Roman" w:eastAsiaTheme="minorEastAsia"/>
                      <w:color w:val="auto"/>
                      <w:sz w:val="21"/>
                      <w:szCs w:val="21"/>
                      <w:highlight w:val="none"/>
                      <w:lang w:val="en-US" w:eastAsia="zh-CN"/>
                    </w:rPr>
                    <w:t>依托</w:t>
                  </w:r>
                  <w:r>
                    <w:rPr>
                      <w:rFonts w:hint="eastAsia" w:cs="Times New Roman" w:eastAsiaTheme="minorEastAsia"/>
                      <w:color w:val="auto"/>
                      <w:sz w:val="21"/>
                      <w:szCs w:val="21"/>
                      <w:highlight w:val="none"/>
                      <w:lang w:val="en-US" w:eastAsia="zh-CN"/>
                    </w:rPr>
                    <w:t>现有项目建设和</w:t>
                  </w:r>
                  <w:r>
                    <w:rPr>
                      <w:rFonts w:hint="eastAsia" w:ascii="Times New Roman" w:hAnsi="Times New Roman" w:cs="Times New Roman" w:eastAsiaTheme="minorEastAsia"/>
                      <w:color w:val="auto"/>
                      <w:sz w:val="21"/>
                      <w:szCs w:val="21"/>
                      <w:highlight w:val="none"/>
                      <w:lang w:val="en-US" w:eastAsia="zh-CN"/>
                    </w:rPr>
                    <w:t>已通过</w:t>
                  </w:r>
                  <w:r>
                    <w:rPr>
                      <w:rFonts w:hint="default" w:ascii="Times New Roman" w:hAnsi="Times New Roman" w:cs="Times New Roman" w:eastAsiaTheme="minorEastAsia"/>
                      <w:color w:val="auto"/>
                      <w:sz w:val="21"/>
                      <w:szCs w:val="21"/>
                      <w:highlight w:val="none"/>
                    </w:rPr>
                    <w:t>竣工验收</w:t>
                  </w:r>
                  <w:r>
                    <w:rPr>
                      <w:rFonts w:hint="eastAsia" w:ascii="Times New Roman" w:hAnsi="Times New Roman" w:cs="Times New Roman" w:eastAsiaTheme="minorEastAsia"/>
                      <w:color w:val="auto"/>
                      <w:sz w:val="21"/>
                      <w:szCs w:val="21"/>
                      <w:highlight w:val="none"/>
                      <w:lang w:val="en-US" w:eastAsia="zh-CN"/>
                    </w:rPr>
                    <w:t>的6m</w:t>
                  </w:r>
                  <w:r>
                    <w:rPr>
                      <w:rFonts w:hint="eastAsia" w:ascii="Times New Roman" w:hAnsi="Times New Roman" w:cs="Times New Roman" w:eastAsiaTheme="minorEastAsia"/>
                      <w:color w:val="auto"/>
                      <w:sz w:val="21"/>
                      <w:szCs w:val="21"/>
                      <w:highlight w:val="none"/>
                      <w:vertAlign w:val="superscript"/>
                      <w:lang w:val="en-US" w:eastAsia="zh-CN"/>
                    </w:rPr>
                    <w:t>2</w:t>
                  </w:r>
                  <w:r>
                    <w:rPr>
                      <w:rFonts w:hint="eastAsia" w:ascii="Times New Roman" w:hAnsi="Times New Roman" w:cs="Times New Roman" w:eastAsiaTheme="minorEastAsia"/>
                      <w:color w:val="auto"/>
                      <w:sz w:val="21"/>
                      <w:szCs w:val="21"/>
                      <w:highlight w:val="none"/>
                      <w:lang w:val="en-US" w:eastAsia="zh-CN"/>
                    </w:rPr>
                    <w:t>危废暂存间暂存，和现有项目产生的危废一起委托云南泽森环保科技有限公司处置</w:t>
                  </w:r>
                  <w:r>
                    <w:rPr>
                      <w:rFonts w:hint="default" w:ascii="Times New Roman" w:hAnsi="Times New Roman" w:cs="Times New Roman" w:eastAsiaTheme="minorEastAsia"/>
                      <w:color w:val="auto"/>
                      <w:sz w:val="21"/>
                      <w:szCs w:val="21"/>
                      <w:highlight w:val="none"/>
                    </w:rPr>
                    <w:t>。</w:t>
                  </w:r>
                </w:p>
              </w:tc>
              <w:tc>
                <w:tcPr>
                  <w:tcW w:w="630" w:type="pct"/>
                  <w:vAlign w:val="center"/>
                </w:tcPr>
                <w:p w14:paraId="7C1695E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依托</w:t>
                  </w:r>
                </w:p>
              </w:tc>
            </w:tr>
            <w:tr w14:paraId="075C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19D2C82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690" w:type="pct"/>
                  <w:gridSpan w:val="3"/>
                  <w:vAlign w:val="center"/>
                </w:tcPr>
                <w:p w14:paraId="465567B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噪声</w:t>
                  </w:r>
                </w:p>
              </w:tc>
              <w:tc>
                <w:tcPr>
                  <w:tcW w:w="3329" w:type="pct"/>
                  <w:gridSpan w:val="2"/>
                  <w:vAlign w:val="center"/>
                </w:tcPr>
                <w:p w14:paraId="5578D8BB">
                  <w:pPr>
                    <w:keepNext w:val="0"/>
                    <w:keepLines w:val="0"/>
                    <w:pageBreakBefore w:val="0"/>
                    <w:widowControl w:val="0"/>
                    <w:kinsoku/>
                    <w:wordWrap/>
                    <w:overflowPunct/>
                    <w:topLinePunct w:val="0"/>
                    <w:autoSpaceDE/>
                    <w:autoSpaceDN/>
                    <w:bidi w:val="0"/>
                    <w:adjustRightInd/>
                    <w:snapToGrid/>
                    <w:spacing w:line="340" w:lineRule="exact"/>
                    <w:ind w:firstLine="420" w:firstLineChars="200"/>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建筑隔声、基础减震</w:t>
                  </w:r>
                </w:p>
              </w:tc>
              <w:tc>
                <w:tcPr>
                  <w:tcW w:w="630" w:type="pct"/>
                  <w:vAlign w:val="center"/>
                </w:tcPr>
                <w:p w14:paraId="181F647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新建</w:t>
                  </w:r>
                </w:p>
              </w:tc>
            </w:tr>
            <w:tr w14:paraId="20C4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 w:type="pct"/>
                  <w:vMerge w:val="continue"/>
                  <w:vAlign w:val="center"/>
                </w:tcPr>
                <w:p w14:paraId="11738CD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p>
              </w:tc>
              <w:tc>
                <w:tcPr>
                  <w:tcW w:w="690" w:type="pct"/>
                  <w:gridSpan w:val="3"/>
                  <w:vAlign w:val="center"/>
                </w:tcPr>
                <w:p w14:paraId="18EF94B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绿化</w:t>
                  </w:r>
                </w:p>
              </w:tc>
              <w:tc>
                <w:tcPr>
                  <w:tcW w:w="3329" w:type="pct"/>
                  <w:gridSpan w:val="2"/>
                  <w:vAlign w:val="center"/>
                </w:tcPr>
                <w:p w14:paraId="3A29CEB5">
                  <w:pPr>
                    <w:keepNext w:val="0"/>
                    <w:keepLines w:val="0"/>
                    <w:pageBreakBefore w:val="0"/>
                    <w:widowControl w:val="0"/>
                    <w:kinsoku/>
                    <w:wordWrap/>
                    <w:overflowPunct/>
                    <w:topLinePunct w:val="0"/>
                    <w:autoSpaceDE/>
                    <w:autoSpaceDN/>
                    <w:bidi w:val="0"/>
                    <w:adjustRightInd/>
                    <w:snapToGrid/>
                    <w:spacing w:line="340" w:lineRule="exact"/>
                    <w:ind w:firstLine="420" w:firstLineChars="200"/>
                    <w:jc w:val="center"/>
                    <w:textAlignment w:val="auto"/>
                    <w:rPr>
                      <w:rFonts w:hint="default" w:ascii="Times New Roman" w:hAnsi="Times New Roman" w:cs="Times New Roman" w:eastAsiaTheme="minorEastAsia"/>
                      <w:color w:val="auto"/>
                      <w:kern w:val="0"/>
                      <w:sz w:val="21"/>
                      <w:szCs w:val="21"/>
                      <w:highlight w:val="none"/>
                      <w:vertAlign w:val="superscript"/>
                    </w:rPr>
                  </w:pPr>
                  <w:r>
                    <w:rPr>
                      <w:rFonts w:hint="default" w:ascii="Times New Roman" w:hAnsi="Times New Roman" w:cs="Times New Roman" w:eastAsiaTheme="minorEastAsia"/>
                      <w:color w:val="auto"/>
                      <w:kern w:val="0"/>
                      <w:sz w:val="21"/>
                      <w:szCs w:val="21"/>
                      <w:highlight w:val="none"/>
                      <w:shd w:val="clear" w:color="auto" w:fill="FFFFFF" w:themeFill="background1"/>
                    </w:rPr>
                    <w:t>绿化面积300m</w:t>
                  </w:r>
                  <w:r>
                    <w:rPr>
                      <w:rFonts w:hint="default" w:ascii="Times New Roman" w:hAnsi="Times New Roman" w:cs="Times New Roman" w:eastAsiaTheme="minorEastAsia"/>
                      <w:color w:val="auto"/>
                      <w:kern w:val="0"/>
                      <w:sz w:val="21"/>
                      <w:szCs w:val="21"/>
                      <w:highlight w:val="none"/>
                      <w:shd w:val="clear" w:color="auto" w:fill="FFFFFF" w:themeFill="background1"/>
                      <w:vertAlign w:val="superscript"/>
                    </w:rPr>
                    <w:t>2</w:t>
                  </w:r>
                </w:p>
              </w:tc>
              <w:tc>
                <w:tcPr>
                  <w:tcW w:w="630" w:type="pct"/>
                  <w:vAlign w:val="center"/>
                </w:tcPr>
                <w:p w14:paraId="70EBCA7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已建</w:t>
                  </w:r>
                </w:p>
              </w:tc>
            </w:tr>
          </w:tbl>
          <w:p w14:paraId="26F1A2CE">
            <w:pPr>
              <w:pStyle w:val="5"/>
              <w:keepNext w:val="0"/>
              <w:keepLines w:val="0"/>
              <w:pageBreakBefore w:val="0"/>
              <w:widowControl/>
              <w:kinsoku/>
              <w:wordWrap/>
              <w:overflowPunct/>
              <w:topLinePunct w:val="0"/>
              <w:autoSpaceDE/>
              <w:autoSpaceDN/>
              <w:bidi w:val="0"/>
              <w:adjustRightInd/>
              <w:snapToGrid/>
              <w:spacing w:before="0" w:after="0" w:line="430" w:lineRule="exact"/>
              <w:ind w:firstLine="482"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（1）主体工程依托可行性</w:t>
            </w:r>
          </w:p>
          <w:p w14:paraId="1EFF7B86">
            <w:pPr>
              <w:keepNext w:val="0"/>
              <w:keepLines w:val="0"/>
              <w:pageBreakBefore w:val="0"/>
              <w:widowControl/>
              <w:kinsoku/>
              <w:wordWrap/>
              <w:overflowPunct/>
              <w:topLinePunct w:val="0"/>
              <w:autoSpaceDE/>
              <w:autoSpaceDN/>
              <w:bidi w:val="0"/>
              <w:adjustRightInd/>
              <w:snapToGrid/>
              <w:spacing w:line="430" w:lineRule="exact"/>
              <w:ind w:firstLine="482" w:firstLineChars="200"/>
              <w:jc w:val="left"/>
              <w:textAlignment w:val="auto"/>
              <w:rPr>
                <w:rStyle w:val="29"/>
                <w:rFonts w:hint="default" w:ascii="Times New Roman" w:hAnsi="Times New Roman" w:eastAsia="宋体" w:cs="Times New Roman"/>
                <w:bCs/>
                <w:color w:val="auto"/>
                <w:kern w:val="0"/>
                <w:sz w:val="24"/>
                <w:szCs w:val="24"/>
                <w:highlight w:val="none"/>
                <w:lang w:bidi="ar"/>
              </w:rPr>
            </w:pPr>
            <w:r>
              <w:rPr>
                <w:rStyle w:val="29"/>
                <w:rFonts w:hint="default" w:ascii="Times New Roman" w:hAnsi="Times New Roman" w:eastAsia="宋体" w:cs="Times New Roman"/>
                <w:bCs/>
                <w:color w:val="auto"/>
                <w:kern w:val="0"/>
                <w:sz w:val="24"/>
                <w:szCs w:val="24"/>
                <w:highlight w:val="none"/>
                <w:lang w:bidi="ar"/>
              </w:rPr>
              <w:t>①</w:t>
            </w:r>
            <w:r>
              <w:rPr>
                <w:rFonts w:hint="default" w:ascii="Times New Roman" w:hAnsi="Times New Roman" w:eastAsia="宋体" w:cs="Times New Roman"/>
                <w:b/>
                <w:bCs/>
                <w:color w:val="auto"/>
                <w:kern w:val="0"/>
                <w:sz w:val="24"/>
                <w:szCs w:val="24"/>
                <w:highlight w:val="none"/>
              </w:rPr>
              <w:t>依托果蔬干饲料生产线进行物料利用可行性分析</w:t>
            </w:r>
          </w:p>
          <w:p w14:paraId="4A32907B">
            <w:pPr>
              <w:keepNext w:val="0"/>
              <w:keepLines w:val="0"/>
              <w:pageBreakBefore w:val="0"/>
              <w:kinsoku/>
              <w:wordWrap/>
              <w:overflowPunct/>
              <w:topLinePunct w:val="0"/>
              <w:autoSpaceDE/>
              <w:autoSpaceDN/>
              <w:bidi w:val="0"/>
              <w:adjustRightInd/>
              <w:snapToGrid/>
              <w:spacing w:line="430" w:lineRule="exact"/>
              <w:ind w:firstLine="480" w:firstLineChars="200"/>
              <w:textAlignment w:val="auto"/>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val="en-US" w:eastAsia="zh-CN"/>
              </w:rPr>
              <w:t>根据调查，现有</w:t>
            </w:r>
            <w:r>
              <w:rPr>
                <w:rFonts w:hint="default" w:ascii="Times New Roman" w:hAnsi="Times New Roman" w:eastAsia="宋体" w:cs="Times New Roman"/>
                <w:color w:val="auto"/>
                <w:kern w:val="0"/>
                <w:sz w:val="24"/>
                <w:szCs w:val="24"/>
                <w:highlight w:val="none"/>
              </w:rPr>
              <w:t>果蔬干</w:t>
            </w:r>
            <w:r>
              <w:rPr>
                <w:rFonts w:hint="default" w:ascii="Times New Roman" w:hAnsi="Times New Roman" w:eastAsia="宋体" w:cs="Times New Roman"/>
                <w:color w:val="auto"/>
                <w:kern w:val="0"/>
                <w:sz w:val="24"/>
                <w:szCs w:val="24"/>
                <w:highlight w:val="none"/>
                <w:lang w:val="en-US" w:eastAsia="zh-CN"/>
              </w:rPr>
              <w:t>饲料</w:t>
            </w:r>
            <w:r>
              <w:rPr>
                <w:rFonts w:hint="default" w:ascii="Times New Roman" w:hAnsi="Times New Roman" w:eastAsia="宋体" w:cs="Times New Roman"/>
                <w:color w:val="auto"/>
                <w:kern w:val="0"/>
                <w:sz w:val="24"/>
                <w:szCs w:val="24"/>
                <w:highlight w:val="none"/>
              </w:rPr>
              <w:t>生产线运行正常，</w:t>
            </w:r>
            <w:r>
              <w:rPr>
                <w:rFonts w:hint="default" w:ascii="Times New Roman" w:hAnsi="Times New Roman" w:eastAsia="宋体" w:cs="Times New Roman"/>
                <w:color w:val="auto"/>
                <w:kern w:val="0"/>
                <w:sz w:val="24"/>
                <w:szCs w:val="24"/>
                <w:highlight w:val="none"/>
                <w:lang w:val="en-US" w:eastAsia="zh-CN"/>
              </w:rPr>
              <w:t>生产线脱水生产线可</w:t>
            </w:r>
            <w:r>
              <w:rPr>
                <w:rFonts w:hint="default" w:ascii="Times New Roman" w:hAnsi="Times New Roman" w:eastAsia="宋体" w:cs="Times New Roman"/>
                <w:color w:val="auto"/>
                <w:kern w:val="0"/>
                <w:sz w:val="24"/>
                <w:szCs w:val="24"/>
                <w:highlight w:val="none"/>
              </w:rPr>
              <w:t>日加工1000吨果蔬废弃物，产生果蔬渣300</w:t>
            </w:r>
            <w:r>
              <w:rPr>
                <w:rFonts w:hint="default" w:ascii="Times New Roman" w:hAnsi="Times New Roman" w:eastAsia="宋体" w:cs="Times New Roman"/>
                <w:color w:val="auto"/>
                <w:kern w:val="0"/>
                <w:sz w:val="24"/>
                <w:szCs w:val="24"/>
                <w:highlight w:val="none"/>
                <w:lang w:val="en-US" w:eastAsia="zh-CN"/>
              </w:rPr>
              <w:t>t/d</w:t>
            </w:r>
            <w:r>
              <w:rPr>
                <w:rFonts w:hint="default" w:ascii="Times New Roman" w:hAnsi="Times New Roman" w:eastAsia="宋体" w:cs="Times New Roman"/>
                <w:color w:val="auto"/>
                <w:kern w:val="0"/>
                <w:sz w:val="24"/>
                <w:szCs w:val="24"/>
                <w:highlight w:val="none"/>
              </w:rPr>
              <w:t>。基于对烘干成本控制</w:t>
            </w:r>
            <w:r>
              <w:rPr>
                <w:rFonts w:hint="default" w:ascii="Times New Roman" w:hAnsi="Times New Roman" w:eastAsia="宋体" w:cs="Times New Roman"/>
                <w:color w:val="auto"/>
                <w:kern w:val="0"/>
                <w:sz w:val="24"/>
                <w:szCs w:val="24"/>
                <w:highlight w:val="none"/>
                <w:lang w:val="en-US" w:eastAsia="zh-CN"/>
              </w:rPr>
              <w:t>和</w:t>
            </w:r>
            <w:r>
              <w:rPr>
                <w:rFonts w:hint="eastAsia" w:cs="Times New Roman"/>
                <w:color w:val="auto"/>
                <w:kern w:val="0"/>
                <w:sz w:val="24"/>
                <w:szCs w:val="24"/>
                <w:highlight w:val="none"/>
                <w:lang w:val="en-US" w:eastAsia="zh-CN"/>
              </w:rPr>
              <w:t>复合微生物肥</w:t>
            </w:r>
            <w:r>
              <w:rPr>
                <w:rFonts w:hint="default" w:ascii="Times New Roman" w:hAnsi="Times New Roman" w:eastAsia="宋体" w:cs="Times New Roman"/>
                <w:color w:val="auto"/>
                <w:kern w:val="0"/>
                <w:sz w:val="24"/>
                <w:szCs w:val="24"/>
                <w:highlight w:val="none"/>
                <w:lang w:val="en-US" w:eastAsia="zh-CN"/>
              </w:rPr>
              <w:t>的发展前景</w:t>
            </w:r>
            <w:r>
              <w:rPr>
                <w:rFonts w:hint="default" w:ascii="Times New Roman" w:hAnsi="Times New Roman" w:eastAsia="宋体" w:cs="Times New Roman"/>
                <w:color w:val="auto"/>
                <w:kern w:val="0"/>
                <w:sz w:val="24"/>
                <w:szCs w:val="24"/>
                <w:highlight w:val="none"/>
              </w:rPr>
              <w:t>，公司决定对原有的</w:t>
            </w:r>
            <w:r>
              <w:rPr>
                <w:rFonts w:hint="default" w:ascii="Times New Roman" w:hAnsi="Times New Roman" w:eastAsia="宋体" w:cs="Times New Roman"/>
                <w:color w:val="auto"/>
                <w:kern w:val="0"/>
                <w:sz w:val="24"/>
                <w:szCs w:val="24"/>
                <w:highlight w:val="none"/>
                <w:lang w:bidi="ar"/>
              </w:rPr>
              <w:t>果蔬废弃物处理生产线实施改造与再利用：通过技术调整，将生产线上经过粉碎、压榨脱水后形成的果蔬渣中的90%（约270</w:t>
            </w:r>
            <w:r>
              <w:rPr>
                <w:rFonts w:hint="default" w:ascii="Times New Roman" w:hAnsi="Times New Roman" w:eastAsia="宋体" w:cs="Times New Roman"/>
                <w:color w:val="auto"/>
                <w:kern w:val="0"/>
                <w:sz w:val="24"/>
                <w:szCs w:val="24"/>
                <w:highlight w:val="none"/>
                <w:lang w:val="en-US" w:eastAsia="zh-CN" w:bidi="ar"/>
              </w:rPr>
              <w:t>t/d</w:t>
            </w:r>
            <w:r>
              <w:rPr>
                <w:rFonts w:hint="default" w:ascii="Times New Roman" w:hAnsi="Times New Roman" w:eastAsia="宋体" w:cs="Times New Roman"/>
                <w:color w:val="auto"/>
                <w:kern w:val="0"/>
                <w:sz w:val="24"/>
                <w:szCs w:val="24"/>
                <w:highlight w:val="none"/>
                <w:lang w:bidi="ar"/>
              </w:rPr>
              <w:t>）直接作为</w:t>
            </w:r>
            <w:r>
              <w:rPr>
                <w:rFonts w:hint="default" w:ascii="Times New Roman" w:hAnsi="Times New Roman" w:eastAsia="宋体" w:cs="Times New Roman"/>
                <w:color w:val="auto"/>
                <w:kern w:val="0"/>
                <w:sz w:val="24"/>
                <w:szCs w:val="24"/>
                <w:highlight w:val="none"/>
                <w:lang w:eastAsia="zh-CN" w:bidi="ar"/>
              </w:rPr>
              <w:t>固体</w:t>
            </w:r>
            <w:r>
              <w:rPr>
                <w:rFonts w:hint="eastAsia" w:cs="Times New Roman"/>
                <w:color w:val="auto"/>
                <w:kern w:val="0"/>
                <w:sz w:val="24"/>
                <w:szCs w:val="24"/>
                <w:highlight w:val="none"/>
                <w:lang w:eastAsia="zh-CN" w:bidi="ar"/>
              </w:rPr>
              <w:t>复合微生物肥</w:t>
            </w:r>
            <w:r>
              <w:rPr>
                <w:rFonts w:hint="default" w:ascii="Times New Roman" w:hAnsi="Times New Roman" w:eastAsia="宋体" w:cs="Times New Roman"/>
                <w:color w:val="auto"/>
                <w:kern w:val="0"/>
                <w:sz w:val="24"/>
                <w:szCs w:val="24"/>
                <w:highlight w:val="none"/>
                <w:lang w:bidi="ar"/>
              </w:rPr>
              <w:t>的生产原料，从而大幅减少需要烘干的果蔬渣量。这一改造不仅显著降低了烘干工序的能源消耗，也使得烘干过程中产生的废气排放量相应减少，有效减轻了对大气环境的影响。</w:t>
            </w:r>
            <w:r>
              <w:rPr>
                <w:rFonts w:hint="default" w:ascii="Times New Roman" w:hAnsi="Times New Roman" w:eastAsia="宋体" w:cs="Times New Roman"/>
                <w:color w:val="auto"/>
                <w:kern w:val="0"/>
                <w:sz w:val="24"/>
                <w:szCs w:val="24"/>
                <w:highlight w:val="none"/>
                <w:lang w:val="en-US" w:eastAsia="zh-CN" w:bidi="ar"/>
              </w:rPr>
              <w:t>其调整</w:t>
            </w:r>
            <w:r>
              <w:rPr>
                <w:rFonts w:hint="default" w:ascii="Times New Roman" w:hAnsi="Times New Roman" w:eastAsia="宋体" w:cs="Times New Roman"/>
                <w:color w:val="auto"/>
                <w:kern w:val="0"/>
                <w:sz w:val="24"/>
                <w:szCs w:val="24"/>
                <w:highlight w:val="none"/>
                <w:lang w:bidi="ar"/>
              </w:rPr>
              <w:t>无论是从环境保护的角度，还是从企业运营的经济效益来看，该方案的依托利用具备可行性。</w:t>
            </w:r>
          </w:p>
          <w:p w14:paraId="10DD9F7F">
            <w:pPr>
              <w:pStyle w:val="25"/>
              <w:keepNext w:val="0"/>
              <w:keepLines w:val="0"/>
              <w:pageBreakBefore w:val="0"/>
              <w:widowControl w:val="0"/>
              <w:kinsoku/>
              <w:wordWrap/>
              <w:overflowPunct/>
              <w:topLinePunct w:val="0"/>
              <w:autoSpaceDE/>
              <w:autoSpaceDN/>
              <w:bidi w:val="0"/>
              <w:adjustRightInd/>
              <w:snapToGrid/>
              <w:spacing w:after="0" w:line="430" w:lineRule="exact"/>
              <w:ind w:left="0" w:leftChars="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bidi="ar"/>
              </w:rPr>
              <w:t>根据竣工验收报告，</w:t>
            </w:r>
            <w:r>
              <w:rPr>
                <w:rFonts w:hint="default" w:ascii="Times New Roman" w:hAnsi="Times New Roman" w:eastAsia="宋体" w:cs="Times New Roman"/>
                <w:color w:val="auto"/>
                <w:kern w:val="0"/>
                <w:sz w:val="24"/>
                <w:szCs w:val="24"/>
                <w:highlight w:val="none"/>
              </w:rPr>
              <w:t>目前已建成的果蔬干生产线脱水将产生700</w:t>
            </w:r>
            <w:r>
              <w:rPr>
                <w:rFonts w:hint="default" w:ascii="Times New Roman" w:hAnsi="Times New Roman" w:eastAsia="宋体" w:cs="Times New Roman"/>
                <w:color w:val="auto"/>
                <w:kern w:val="0"/>
                <w:sz w:val="24"/>
                <w:szCs w:val="24"/>
                <w:highlight w:val="no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/d</w:t>
            </w:r>
            <w:r>
              <w:rPr>
                <w:rFonts w:hint="default" w:ascii="Times New Roman" w:hAnsi="Times New Roman" w:eastAsia="宋体" w:cs="Times New Roman"/>
                <w:color w:val="auto"/>
                <w:kern w:val="0"/>
                <w:sz w:val="24"/>
                <w:szCs w:val="24"/>
                <w:highlight w:val="none"/>
              </w:rPr>
              <w:t>尾菜废水，</w:t>
            </w:r>
            <w:r>
              <w:rPr>
                <w:rFonts w:hint="default" w:ascii="Times New Roman" w:hAnsi="Times New Roman" w:eastAsia="宋体" w:cs="Times New Roman"/>
                <w:color w:val="auto"/>
                <w:kern w:val="0"/>
                <w:sz w:val="24"/>
                <w:szCs w:val="24"/>
                <w:highlight w:val="none"/>
                <w:lang w:bidi="ar"/>
              </w:rPr>
              <w:t>改造方案利用菜渣压榨脱水过程中产生的</w:t>
            </w:r>
            <w:r>
              <w:rPr>
                <w:rFonts w:hint="default" w:ascii="Times New Roman" w:hAnsi="Times New Roman" w:eastAsia="宋体" w:cs="Times New Roman"/>
                <w:color w:val="auto"/>
                <w:kern w:val="0"/>
                <w:sz w:val="24"/>
                <w:szCs w:val="24"/>
                <w:highlight w:val="none"/>
                <w:lang w:val="en-US" w:eastAsia="zh-CN" w:bidi="ar"/>
              </w:rPr>
              <w:t>部分</w:t>
            </w:r>
            <w:r>
              <w:rPr>
                <w:rFonts w:hint="default" w:ascii="Times New Roman" w:hAnsi="Times New Roman" w:eastAsia="宋体" w:cs="Times New Roman"/>
                <w:color w:val="auto"/>
                <w:kern w:val="0"/>
                <w:sz w:val="24"/>
                <w:szCs w:val="24"/>
                <w:highlight w:val="none"/>
                <w:lang w:bidi="ar"/>
              </w:rPr>
              <w:t>尾菜废水</w:t>
            </w:r>
            <w:r>
              <w:rPr>
                <w:rFonts w:hint="default" w:ascii="Times New Roman" w:hAnsi="Times New Roman" w:eastAsia="宋体" w:cs="Times New Roman"/>
                <w:color w:val="auto"/>
                <w:kern w:val="0"/>
                <w:sz w:val="24"/>
                <w:szCs w:val="24"/>
                <w:highlight w:val="none"/>
                <w:lang w:eastAsia="zh-CN" w:bidi="ar"/>
              </w:rPr>
              <w:t>（</w:t>
            </w:r>
            <w:r>
              <w:rPr>
                <w:rFonts w:hint="eastAsia" w:cs="Times New Roman"/>
                <w:color w:val="auto"/>
                <w:kern w:val="0"/>
                <w:sz w:val="24"/>
                <w:szCs w:val="24"/>
                <w:highlight w:val="none"/>
                <w:lang w:val="en-US" w:eastAsia="zh-CN" w:bidi="ar"/>
              </w:rPr>
              <w:t>42.9</w:t>
            </w:r>
            <w:r>
              <w:rPr>
                <w:rFonts w:hint="default" w:ascii="Times New Roman" w:hAnsi="Times New Roman" w:eastAsia="宋体" w:cs="Times New Roman"/>
                <w:color w:val="auto"/>
                <w:kern w:val="0"/>
                <w:sz w:val="24"/>
                <w:szCs w:val="24"/>
                <w:highlight w:val="none"/>
                <w:lang w:val="en-US" w:eastAsia="zh-CN" w:bidi="ar"/>
              </w:rPr>
              <w:t>m</w:t>
            </w:r>
            <w:r>
              <w:rPr>
                <w:rFonts w:hint="default"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vertAlign w:val="baseline"/>
                <w:lang w:val="en-US" w:eastAsia="zh-CN" w:bidi="ar"/>
              </w:rPr>
              <w:t>/d</w:t>
            </w:r>
            <w:r>
              <w:rPr>
                <w:rFonts w:hint="default" w:ascii="Times New Roman" w:hAnsi="Times New Roman" w:eastAsia="宋体" w:cs="Times New Roman"/>
                <w:color w:val="auto"/>
                <w:kern w:val="0"/>
                <w:sz w:val="24"/>
                <w:szCs w:val="24"/>
                <w:highlight w:val="none"/>
                <w:lang w:eastAsia="zh-CN" w:bidi="ar"/>
              </w:rPr>
              <w:t>）</w:t>
            </w:r>
            <w:r>
              <w:rPr>
                <w:rFonts w:hint="default" w:ascii="Times New Roman" w:hAnsi="Times New Roman" w:eastAsia="宋体" w:cs="Times New Roman"/>
                <w:color w:val="auto"/>
                <w:kern w:val="0"/>
                <w:sz w:val="24"/>
                <w:szCs w:val="24"/>
                <w:highlight w:val="none"/>
                <w:lang w:bidi="ar"/>
              </w:rPr>
              <w:t>，通过适宜的技术工艺将其制备成</w:t>
            </w:r>
            <w:r>
              <w:rPr>
                <w:rFonts w:hint="default" w:ascii="Times New Roman" w:hAnsi="Times New Roman" w:eastAsia="宋体" w:cs="Times New Roman"/>
                <w:color w:val="auto"/>
                <w:kern w:val="0"/>
                <w:sz w:val="24"/>
                <w:szCs w:val="24"/>
                <w:highlight w:val="none"/>
                <w:lang w:eastAsia="zh-CN" w:bidi="ar"/>
              </w:rPr>
              <w:t>液体复合微生物肥料</w:t>
            </w:r>
            <w:r>
              <w:rPr>
                <w:rFonts w:hint="default" w:ascii="Times New Roman" w:hAnsi="Times New Roman" w:eastAsia="宋体" w:cs="Times New Roman"/>
                <w:color w:val="auto"/>
                <w:kern w:val="0"/>
                <w:sz w:val="24"/>
                <w:szCs w:val="24"/>
                <w:highlight w:val="none"/>
                <w:lang w:bidi="ar"/>
              </w:rPr>
              <w:t>。这一举措实现了对废弃资源的深度与综合利用，将原本可能成为污染源的废水转化为具有农业应用价值的产品，从而显著降低了高浓度有机污水的排放量。因此，从提升资源利用效率、发展循环经济的层面进行评估，该方案的依托利用同样具有显著的</w:t>
            </w:r>
            <w:r>
              <w:rPr>
                <w:rFonts w:hint="default" w:ascii="Times New Roman" w:hAnsi="Times New Roman" w:eastAsia="宋体" w:cs="Times New Roman"/>
                <w:color w:val="auto"/>
                <w:kern w:val="0"/>
                <w:sz w:val="24"/>
                <w:szCs w:val="24"/>
                <w:highlight w:val="none"/>
              </w:rPr>
              <w:t>可行性与积极意义。</w:t>
            </w:r>
          </w:p>
          <w:p w14:paraId="213C7254">
            <w:pPr>
              <w:keepNext w:val="0"/>
              <w:keepLines w:val="0"/>
              <w:pageBreakBefore w:val="0"/>
              <w:widowControl/>
              <w:kinsoku/>
              <w:wordWrap/>
              <w:overflowPunct/>
              <w:topLinePunct w:val="0"/>
              <w:autoSpaceDE/>
              <w:autoSpaceDN/>
              <w:bidi w:val="0"/>
              <w:adjustRightInd/>
              <w:snapToGrid/>
              <w:spacing w:line="430" w:lineRule="exact"/>
              <w:ind w:firstLine="482" w:firstLineChars="200"/>
              <w:jc w:val="left"/>
              <w:textAlignment w:val="auto"/>
              <w:rPr>
                <w:rStyle w:val="29"/>
                <w:rFonts w:hint="default" w:ascii="Times New Roman" w:hAnsi="Times New Roman" w:eastAsia="宋体" w:cs="Times New Roman"/>
                <w:bCs/>
                <w:color w:val="auto"/>
                <w:kern w:val="0"/>
                <w:sz w:val="24"/>
                <w:szCs w:val="24"/>
                <w:highlight w:val="none"/>
                <w:lang w:bidi="ar"/>
              </w:rPr>
            </w:pPr>
            <w:r>
              <w:rPr>
                <w:rStyle w:val="29"/>
                <w:rFonts w:hint="default" w:ascii="Times New Roman" w:hAnsi="Times New Roman" w:eastAsia="宋体" w:cs="Times New Roman"/>
                <w:bCs/>
                <w:color w:val="auto"/>
                <w:kern w:val="0"/>
                <w:sz w:val="24"/>
                <w:szCs w:val="24"/>
                <w:highlight w:val="none"/>
                <w:lang w:bidi="ar"/>
              </w:rPr>
              <w:t>②现有厂房结构依托可行性</w:t>
            </w:r>
          </w:p>
          <w:p w14:paraId="26FAB3EB">
            <w:pPr>
              <w:keepNext w:val="0"/>
              <w:keepLines w:val="0"/>
              <w:pageBreakBefore w:val="0"/>
              <w:widowControl/>
              <w:kinsoku/>
              <w:wordWrap/>
              <w:overflowPunct/>
              <w:topLinePunct w:val="0"/>
              <w:autoSpaceDE/>
              <w:autoSpaceDN/>
              <w:bidi w:val="0"/>
              <w:adjustRightInd/>
              <w:snapToGrid/>
              <w:spacing w:line="430" w:lineRule="exact"/>
              <w:ind w:firstLine="480" w:firstLineChars="200"/>
              <w:jc w:val="left"/>
              <w:textAlignment w:val="auto"/>
              <w:rPr>
                <w:rFonts w:hint="default" w:ascii="Times New Roman" w:hAnsi="Times New Roman" w:eastAsia="宋体" w:cs="Times New Roman"/>
                <w:color w:val="auto"/>
                <w:sz w:val="24"/>
                <w:szCs w:val="24"/>
                <w:highlight w:val="none"/>
              </w:rPr>
            </w:pPr>
            <w:r>
              <w:rPr>
                <w:rFonts w:hint="eastAsia" w:cs="Times New Roman"/>
                <w:color w:val="auto"/>
                <w:kern w:val="0"/>
                <w:sz w:val="24"/>
                <w:szCs w:val="24"/>
                <w:highlight w:val="none"/>
                <w:lang w:val="en-US" w:eastAsia="zh-CN" w:bidi="ar"/>
              </w:rPr>
              <w:t>扩建的</w:t>
            </w:r>
            <w:r>
              <w:rPr>
                <w:rFonts w:hint="default" w:ascii="Times New Roman" w:hAnsi="Times New Roman" w:eastAsia="宋体" w:cs="Times New Roman"/>
                <w:color w:val="auto"/>
                <w:kern w:val="0"/>
                <w:sz w:val="24"/>
                <w:szCs w:val="24"/>
                <w:highlight w:val="none"/>
                <w:lang w:bidi="ar"/>
              </w:rPr>
              <w:t>液</w:t>
            </w:r>
            <w:r>
              <w:rPr>
                <w:rFonts w:hint="eastAsia" w:cs="Times New Roman"/>
                <w:color w:val="auto"/>
                <w:kern w:val="0"/>
                <w:sz w:val="24"/>
                <w:szCs w:val="24"/>
                <w:highlight w:val="none"/>
                <w:lang w:val="en-US" w:eastAsia="zh-CN" w:bidi="ar"/>
              </w:rPr>
              <w:t>体复合微生物肥生产</w:t>
            </w:r>
            <w:r>
              <w:rPr>
                <w:rFonts w:hint="default" w:ascii="Times New Roman" w:hAnsi="Times New Roman" w:eastAsia="宋体" w:cs="Times New Roman"/>
                <w:color w:val="auto"/>
                <w:kern w:val="0"/>
                <w:sz w:val="24"/>
                <w:szCs w:val="24"/>
                <w:highlight w:val="none"/>
                <w:lang w:bidi="ar"/>
              </w:rPr>
              <w:t>车间、实验室利用现有闲置轻钢结构建构筑物。建筑结构安全、层高、防火、防渗等均满足现行规范要求，且已通过竣工验收，可直接满足本项目生产、办公、生活使用要求，无需新增占地及重复建设，依托可行。</w:t>
            </w:r>
          </w:p>
          <w:p w14:paraId="7AD50912">
            <w:pPr>
              <w:pStyle w:val="5"/>
              <w:keepNext w:val="0"/>
              <w:keepLines w:val="0"/>
              <w:pageBreakBefore w:val="0"/>
              <w:widowControl/>
              <w:kinsoku/>
              <w:wordWrap/>
              <w:overflowPunct/>
              <w:topLinePunct w:val="0"/>
              <w:autoSpaceDE/>
              <w:autoSpaceDN/>
              <w:bidi w:val="0"/>
              <w:adjustRightInd/>
              <w:snapToGrid/>
              <w:spacing w:before="0" w:after="0" w:line="430" w:lineRule="exact"/>
              <w:ind w:firstLine="482"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（2）辅助工程依托可行性</w:t>
            </w:r>
          </w:p>
          <w:p w14:paraId="59C9FB69">
            <w:pPr>
              <w:keepNext w:val="0"/>
              <w:keepLines w:val="0"/>
              <w:pageBreakBefore w:val="0"/>
              <w:widowControl/>
              <w:kinsoku/>
              <w:wordWrap/>
              <w:overflowPunct/>
              <w:topLinePunct w:val="0"/>
              <w:autoSpaceDE/>
              <w:autoSpaceDN/>
              <w:bidi w:val="0"/>
              <w:adjustRightInd/>
              <w:snapToGrid/>
              <w:spacing w:line="430" w:lineRule="exact"/>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现有值班室、休息室、办公室、员工宿舍、食堂、卫生间、配电室、车辆清洗设施、场内道路、计量衡等辅助设施均已建成并正常运行，设施规模、服务能力可覆盖本项目新增员工及生产需求。仅新增少量连接道路，其余均直接依托使用，</w:t>
            </w:r>
            <w:r>
              <w:rPr>
                <w:rStyle w:val="29"/>
                <w:rFonts w:hint="default" w:ascii="Times New Roman" w:hAnsi="Times New Roman" w:eastAsia="宋体" w:cs="Times New Roman"/>
                <w:b w:val="0"/>
                <w:color w:val="auto"/>
                <w:kern w:val="0"/>
                <w:sz w:val="24"/>
                <w:szCs w:val="24"/>
                <w:highlight w:val="none"/>
                <w:lang w:bidi="ar"/>
              </w:rPr>
              <w:t>不新增冗余设施，不重复投资</w:t>
            </w:r>
            <w:r>
              <w:rPr>
                <w:rFonts w:hint="default" w:ascii="Times New Roman" w:hAnsi="Times New Roman" w:eastAsia="宋体" w:cs="Times New Roman"/>
                <w:color w:val="auto"/>
                <w:kern w:val="0"/>
                <w:sz w:val="24"/>
                <w:szCs w:val="24"/>
                <w:highlight w:val="none"/>
                <w:lang w:bidi="ar"/>
              </w:rPr>
              <w:t>，运行管理模式成熟，依托条件可靠。</w:t>
            </w:r>
          </w:p>
          <w:p w14:paraId="34BEDF5C">
            <w:pPr>
              <w:pStyle w:val="5"/>
              <w:keepNext w:val="0"/>
              <w:keepLines w:val="0"/>
              <w:pageBreakBefore w:val="0"/>
              <w:widowControl/>
              <w:kinsoku/>
              <w:wordWrap/>
              <w:overflowPunct/>
              <w:topLinePunct w:val="0"/>
              <w:autoSpaceDE/>
              <w:autoSpaceDN/>
              <w:bidi w:val="0"/>
              <w:adjustRightInd/>
              <w:snapToGrid/>
              <w:spacing w:before="0" w:after="0" w:line="430" w:lineRule="exact"/>
              <w:ind w:firstLine="482"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（3）公用工程依托可行性</w:t>
            </w:r>
          </w:p>
          <w:p w14:paraId="198B9BB3">
            <w:pPr>
              <w:keepNext w:val="0"/>
              <w:keepLines w:val="0"/>
              <w:pageBreakBefore w:val="0"/>
              <w:widowControl/>
              <w:numPr>
                <w:ilvl w:val="0"/>
                <w:numId w:val="0"/>
              </w:numPr>
              <w:kinsoku/>
              <w:wordWrap/>
              <w:overflowPunct/>
              <w:topLinePunct w:val="0"/>
              <w:autoSpaceDE/>
              <w:autoSpaceDN/>
              <w:bidi w:val="0"/>
              <w:adjustRightInd/>
              <w:snapToGrid/>
              <w:spacing w:line="430" w:lineRule="exact"/>
              <w:ind w:leftChars="0" w:firstLine="482" w:firstLineChars="200"/>
              <w:jc w:val="left"/>
              <w:textAlignment w:val="auto"/>
              <w:rPr>
                <w:rFonts w:hint="default" w:ascii="Times New Roman" w:hAnsi="Times New Roman" w:eastAsia="宋体" w:cs="Times New Roman"/>
                <w:color w:val="auto"/>
                <w:sz w:val="24"/>
                <w:szCs w:val="24"/>
                <w:highlight w:val="none"/>
              </w:rPr>
            </w:pPr>
            <w:r>
              <w:rPr>
                <w:rStyle w:val="29"/>
                <w:rFonts w:hint="default" w:ascii="Times New Roman" w:hAnsi="Times New Roman" w:eastAsia="宋体" w:cs="Times New Roman"/>
                <w:bCs/>
                <w:color w:val="auto"/>
                <w:kern w:val="0"/>
                <w:sz w:val="24"/>
                <w:szCs w:val="24"/>
                <w:highlight w:val="none"/>
                <w:lang w:bidi="ar"/>
              </w:rPr>
              <w:t>①</w:t>
            </w:r>
            <w:r>
              <w:rPr>
                <w:rStyle w:val="29"/>
                <w:rFonts w:hint="default" w:ascii="Times New Roman" w:hAnsi="Times New Roman" w:eastAsia="宋体" w:cs="Times New Roman"/>
                <w:bCs/>
                <w:color w:val="auto"/>
                <w:sz w:val="24"/>
                <w:szCs w:val="24"/>
                <w:highlight w:val="none"/>
              </w:rPr>
              <w:t>供水、供电、通讯：</w:t>
            </w:r>
            <w:r>
              <w:rPr>
                <w:rFonts w:hint="default" w:ascii="Times New Roman" w:hAnsi="Times New Roman" w:eastAsia="宋体" w:cs="Times New Roman"/>
                <w:color w:val="auto"/>
                <w:sz w:val="24"/>
                <w:szCs w:val="24"/>
                <w:highlight w:val="none"/>
              </w:rPr>
              <w:t>项目供水、供电均依托现有市政接入管网及厂区内部供配电系统，现有管网管径、供电容量、线路布设均满足本项目新增用水、用电负荷需求，通讯信号覆盖良好，无需新建管线及变配电设施，依托稳定可靠。</w:t>
            </w:r>
          </w:p>
          <w:p w14:paraId="1BE0DC40">
            <w:pPr>
              <w:keepNext w:val="0"/>
              <w:keepLines w:val="0"/>
              <w:pageBreakBefore w:val="0"/>
              <w:widowControl/>
              <w:numPr>
                <w:ilvl w:val="0"/>
                <w:numId w:val="0"/>
              </w:numPr>
              <w:kinsoku/>
              <w:wordWrap/>
              <w:overflowPunct/>
              <w:topLinePunct w:val="0"/>
              <w:autoSpaceDE/>
              <w:autoSpaceDN/>
              <w:bidi w:val="0"/>
              <w:adjustRightInd/>
              <w:snapToGrid/>
              <w:spacing w:line="430" w:lineRule="exact"/>
              <w:ind w:leftChars="0" w:firstLine="482" w:firstLineChars="200"/>
              <w:jc w:val="left"/>
              <w:textAlignment w:val="auto"/>
              <w:rPr>
                <w:rFonts w:hint="default" w:ascii="Times New Roman" w:hAnsi="Times New Roman" w:eastAsia="宋体" w:cs="Times New Roman"/>
                <w:color w:val="auto"/>
                <w:sz w:val="24"/>
                <w:szCs w:val="24"/>
                <w:highlight w:val="none"/>
              </w:rPr>
            </w:pPr>
            <w:r>
              <w:rPr>
                <w:rStyle w:val="29"/>
                <w:rFonts w:hint="default" w:ascii="Times New Roman" w:hAnsi="Times New Roman" w:eastAsia="宋体" w:cs="Times New Roman"/>
                <w:bCs/>
                <w:color w:val="auto"/>
                <w:kern w:val="0"/>
                <w:sz w:val="24"/>
                <w:szCs w:val="24"/>
                <w:highlight w:val="none"/>
                <w:lang w:bidi="ar"/>
              </w:rPr>
              <w:t>②</w:t>
            </w:r>
            <w:r>
              <w:rPr>
                <w:rStyle w:val="29"/>
                <w:rFonts w:hint="default" w:ascii="Times New Roman" w:hAnsi="Times New Roman" w:eastAsia="宋体" w:cs="Times New Roman"/>
                <w:bCs/>
                <w:color w:val="auto"/>
                <w:sz w:val="24"/>
                <w:szCs w:val="24"/>
                <w:highlight w:val="none"/>
              </w:rPr>
              <w:t>排水系统：</w:t>
            </w:r>
            <w:r>
              <w:rPr>
                <w:rFonts w:hint="default" w:ascii="Times New Roman" w:hAnsi="Times New Roman" w:eastAsia="宋体" w:cs="Times New Roman"/>
                <w:color w:val="auto"/>
                <w:sz w:val="24"/>
                <w:szCs w:val="24"/>
                <w:highlight w:val="none"/>
              </w:rPr>
              <w:t>原项目已建成完善的</w:t>
            </w:r>
            <w:r>
              <w:rPr>
                <w:rStyle w:val="29"/>
                <w:rFonts w:hint="default" w:ascii="Times New Roman" w:hAnsi="Times New Roman" w:eastAsia="宋体" w:cs="Times New Roman"/>
                <w:b w:val="0"/>
                <w:color w:val="auto"/>
                <w:sz w:val="24"/>
                <w:szCs w:val="24"/>
                <w:highlight w:val="none"/>
              </w:rPr>
              <w:t>雨污分流系统</w:t>
            </w:r>
            <w:r>
              <w:rPr>
                <w:rFonts w:hint="default" w:ascii="Times New Roman" w:hAnsi="Times New Roman" w:eastAsia="宋体" w:cs="Times New Roman"/>
                <w:color w:val="auto"/>
                <w:sz w:val="24"/>
                <w:szCs w:val="24"/>
                <w:highlight w:val="none"/>
              </w:rPr>
              <w:t>并通过环保竣工验收，可直接为本项目扩建区域服务，雨水经现有雨水沟收集外排，污水统一收集进入污水处理系统，排水体制清晰、管网完善，依托可行。</w:t>
            </w:r>
          </w:p>
          <w:p w14:paraId="1C6E3BE6">
            <w:pPr>
              <w:pStyle w:val="5"/>
              <w:keepNext w:val="0"/>
              <w:keepLines w:val="0"/>
              <w:pageBreakBefore w:val="0"/>
              <w:widowControl/>
              <w:kinsoku/>
              <w:wordWrap/>
              <w:overflowPunct/>
              <w:topLinePunct w:val="0"/>
              <w:autoSpaceDE/>
              <w:autoSpaceDN/>
              <w:bidi w:val="0"/>
              <w:adjustRightInd/>
              <w:snapToGrid/>
              <w:spacing w:before="0" w:after="0" w:line="430" w:lineRule="exact"/>
              <w:ind w:firstLine="482"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（4）环保工程依托可行性</w:t>
            </w:r>
          </w:p>
          <w:p w14:paraId="4BFCA651">
            <w:pPr>
              <w:pStyle w:val="6"/>
              <w:keepNext w:val="0"/>
              <w:keepLines w:val="0"/>
              <w:pageBreakBefore w:val="0"/>
              <w:widowControl/>
              <w:kinsoku/>
              <w:wordWrap/>
              <w:overflowPunct/>
              <w:topLinePunct w:val="0"/>
              <w:autoSpaceDE/>
              <w:autoSpaceDN/>
              <w:bidi w:val="0"/>
              <w:adjustRightInd/>
              <w:snapToGrid/>
              <w:spacing w:line="430" w:lineRule="exact"/>
              <w:ind w:left="0" w:firstLine="482"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①废水处理设施依托可行性</w:t>
            </w:r>
          </w:p>
          <w:p w14:paraId="314759E0">
            <w:pPr>
              <w:keepNext w:val="0"/>
              <w:keepLines w:val="0"/>
              <w:pageBreakBefore w:val="0"/>
              <w:widowControl/>
              <w:kinsoku/>
              <w:wordWrap/>
              <w:overflowPunct/>
              <w:topLinePunct w:val="0"/>
              <w:autoSpaceDE/>
              <w:autoSpaceDN/>
              <w:bidi w:val="0"/>
              <w:adjustRightInd/>
              <w:snapToGrid/>
              <w:spacing w:line="430" w:lineRule="exact"/>
              <w:ind w:firstLine="480" w:firstLineChars="200"/>
              <w:jc w:val="left"/>
              <w:textAlignment w:val="auto"/>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现有污水处理系统处理规模</w:t>
            </w:r>
            <w:r>
              <w:rPr>
                <w:rStyle w:val="29"/>
                <w:rFonts w:hint="default" w:ascii="Times New Roman" w:hAnsi="Times New Roman" w:eastAsia="宋体" w:cs="Times New Roman"/>
                <w:b w:val="0"/>
                <w:color w:val="auto"/>
                <w:kern w:val="0"/>
                <w:sz w:val="24"/>
                <w:szCs w:val="24"/>
                <w:highlight w:val="none"/>
                <w:lang w:bidi="ar"/>
              </w:rPr>
              <w:t>900m³/d</w:t>
            </w:r>
            <w:r>
              <w:rPr>
                <w:rFonts w:hint="default" w:ascii="Times New Roman" w:hAnsi="Times New Roman" w:eastAsia="宋体" w:cs="Times New Roman"/>
                <w:color w:val="auto"/>
                <w:kern w:val="0"/>
                <w:sz w:val="24"/>
                <w:szCs w:val="24"/>
                <w:highlight w:val="none"/>
                <w:lang w:bidi="ar"/>
              </w:rPr>
              <w:t>，采用“固液分离—絮凝反应—臭氧强氧化—IC厌氧—水解酸化—接触氧化—混凝沉淀”工艺，已通过竣工环保验收，可稳定达到污水综合排放标准》（GB 8978-1996）中三级标准</w:t>
            </w:r>
            <w:r>
              <w:rPr>
                <w:rFonts w:hint="eastAsia" w:cs="Times New Roman"/>
                <w:color w:val="auto"/>
                <w:kern w:val="0"/>
                <w:sz w:val="24"/>
                <w:szCs w:val="24"/>
                <w:highlight w:val="none"/>
                <w:lang w:val="en-US" w:eastAsia="zh-CN" w:bidi="ar"/>
              </w:rPr>
              <w:t>和</w:t>
            </w:r>
            <w:r>
              <w:rPr>
                <w:rFonts w:hint="default" w:ascii="Times New Roman" w:hAnsi="Times New Roman" w:eastAsia="宋体" w:cs="Times New Roman"/>
                <w:color w:val="auto"/>
                <w:kern w:val="0"/>
                <w:sz w:val="24"/>
                <w:szCs w:val="24"/>
                <w:highlight w:val="none"/>
                <w:lang w:bidi="ar"/>
              </w:rPr>
              <w:t>《污水排入城镇下水道水质标准》（GB/T31962-2015）表1A等级</w:t>
            </w:r>
            <w:r>
              <w:rPr>
                <w:rFonts w:hint="eastAsia" w:cs="Times New Roman"/>
                <w:color w:val="auto"/>
                <w:kern w:val="0"/>
                <w:sz w:val="24"/>
                <w:szCs w:val="24"/>
                <w:highlight w:val="none"/>
                <w:lang w:val="en-US" w:eastAsia="zh-CN" w:bidi="ar"/>
              </w:rPr>
              <w:t>两者取严后标准限值</w:t>
            </w:r>
            <w:r>
              <w:rPr>
                <w:rFonts w:hint="default" w:ascii="Times New Roman" w:hAnsi="Times New Roman" w:eastAsia="宋体" w:cs="Times New Roman"/>
                <w:color w:val="auto"/>
                <w:kern w:val="0"/>
                <w:sz w:val="24"/>
                <w:szCs w:val="24"/>
                <w:highlight w:val="none"/>
                <w:lang w:bidi="ar"/>
              </w:rPr>
              <w:t>。</w:t>
            </w:r>
          </w:p>
          <w:p w14:paraId="3685615F">
            <w:pPr>
              <w:keepNext w:val="0"/>
              <w:keepLines w:val="0"/>
              <w:pageBreakBefore w:val="0"/>
              <w:widowControl/>
              <w:kinsoku/>
              <w:wordWrap/>
              <w:overflowPunct/>
              <w:topLinePunct w:val="0"/>
              <w:autoSpaceDE/>
              <w:autoSpaceDN/>
              <w:bidi w:val="0"/>
              <w:adjustRightInd/>
              <w:snapToGrid/>
              <w:spacing w:line="430" w:lineRule="exact"/>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本次扩建新增废水主要为</w:t>
            </w:r>
            <w:r>
              <w:rPr>
                <w:rFonts w:hint="eastAsia" w:cs="Times New Roman"/>
                <w:color w:val="auto"/>
                <w:kern w:val="0"/>
                <w:sz w:val="24"/>
                <w:szCs w:val="24"/>
                <w:highlight w:val="none"/>
                <w:lang w:val="en-US" w:eastAsia="zh-CN" w:bidi="ar"/>
              </w:rPr>
              <w:t>渗滤液、实验室废水、</w:t>
            </w:r>
            <w:r>
              <w:rPr>
                <w:rFonts w:hint="default" w:ascii="Times New Roman" w:hAnsi="Times New Roman" w:eastAsia="宋体" w:cs="Times New Roman"/>
                <w:color w:val="auto"/>
                <w:kern w:val="0"/>
                <w:sz w:val="24"/>
                <w:szCs w:val="24"/>
                <w:highlight w:val="none"/>
                <w:lang w:bidi="ar"/>
              </w:rPr>
              <w:t>地面冲洗、设备清洗废水等</w:t>
            </w:r>
            <w:r>
              <w:rPr>
                <w:rFonts w:hint="eastAsia" w:cs="Times New Roman"/>
                <w:color w:val="auto"/>
                <w:kern w:val="0"/>
                <w:sz w:val="24"/>
                <w:szCs w:val="24"/>
                <w:highlight w:val="none"/>
                <w:lang w:val="en-US" w:eastAsia="zh-CN" w:bidi="ar"/>
              </w:rPr>
              <w:t>废水</w:t>
            </w:r>
            <w:r>
              <w:rPr>
                <w:rFonts w:hint="default" w:ascii="Times New Roman" w:hAnsi="Times New Roman" w:eastAsia="宋体" w:cs="Times New Roman"/>
                <w:color w:val="auto"/>
                <w:kern w:val="0"/>
                <w:sz w:val="24"/>
                <w:szCs w:val="24"/>
                <w:highlight w:val="none"/>
                <w:lang w:bidi="ar"/>
              </w:rPr>
              <w:t>，水质与原有生产废水水质相近，</w:t>
            </w:r>
            <w:r>
              <w:rPr>
                <w:rFonts w:hint="eastAsia" w:cs="Times New Roman"/>
                <w:color w:val="auto"/>
                <w:kern w:val="0"/>
                <w:sz w:val="24"/>
                <w:szCs w:val="24"/>
                <w:highlight w:val="none"/>
                <w:lang w:val="en-US" w:eastAsia="zh-CN" w:bidi="ar"/>
              </w:rPr>
              <w:t>因扩建的液体复合微生物肥生产线利用菜渣压榨脱水过程中产生的部分尾菜废水作为原料，使用的废水量大于本项目废水产生量，则本项目扩建完成后全厂进入污水处理站的废水量</w:t>
            </w:r>
            <w:r>
              <w:rPr>
                <w:rFonts w:hint="default" w:ascii="Times New Roman" w:hAnsi="Times New Roman" w:eastAsia="宋体" w:cs="Times New Roman"/>
                <w:color w:val="auto"/>
                <w:kern w:val="0"/>
                <w:sz w:val="24"/>
                <w:szCs w:val="24"/>
                <w:highlight w:val="none"/>
                <w:lang w:bidi="ar"/>
              </w:rPr>
              <w:t>低于现有</w:t>
            </w:r>
            <w:r>
              <w:rPr>
                <w:rFonts w:hint="eastAsia" w:cs="Times New Roman"/>
                <w:color w:val="auto"/>
                <w:kern w:val="0"/>
                <w:sz w:val="24"/>
                <w:szCs w:val="24"/>
                <w:highlight w:val="none"/>
                <w:lang w:val="en-US" w:eastAsia="zh-CN" w:bidi="ar"/>
              </w:rPr>
              <w:t>项目污水处理</w:t>
            </w:r>
            <w:r>
              <w:rPr>
                <w:rFonts w:hint="default" w:ascii="Times New Roman" w:hAnsi="Times New Roman" w:eastAsia="宋体" w:cs="Times New Roman"/>
                <w:color w:val="auto"/>
                <w:kern w:val="0"/>
                <w:sz w:val="24"/>
                <w:szCs w:val="24"/>
                <w:highlight w:val="none"/>
                <w:lang w:bidi="ar"/>
              </w:rPr>
              <w:t>，现有调节池、废水收集池（800m³）、化粪池、隔油池等池体容积充足，可完全接纳并处理本项目废水，无需新建独立污水处理站，依托技术可行、环保可行。</w:t>
            </w:r>
          </w:p>
          <w:p w14:paraId="0F913FBF">
            <w:pPr>
              <w:keepNext w:val="0"/>
              <w:keepLines w:val="0"/>
              <w:pageBreakBefore w:val="0"/>
              <w:widowControl/>
              <w:kinsoku/>
              <w:wordWrap/>
              <w:overflowPunct/>
              <w:topLinePunct w:val="0"/>
              <w:autoSpaceDE/>
              <w:autoSpaceDN/>
              <w:bidi w:val="0"/>
              <w:adjustRightInd/>
              <w:snapToGrid/>
              <w:spacing w:line="430" w:lineRule="exact"/>
              <w:ind w:firstLine="482" w:firstLineChars="20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②固废处置依托可行性</w:t>
            </w:r>
          </w:p>
          <w:p w14:paraId="52474B11">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现有危险废物贮存库已按《危险废物贮存污染控制标准》（GB18597-2023）建设并验收，防渗、防雨、防晒措施到位，可满足本项目废机油等危废暂存要求。</w:t>
            </w:r>
          </w:p>
          <w:p w14:paraId="1417AC5C">
            <w:pPr>
              <w:keepNext w:val="0"/>
              <w:keepLines w:val="0"/>
              <w:pageBreakBefore w:val="0"/>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color w:val="auto"/>
                <w:kern w:val="0"/>
                <w:sz w:val="24"/>
                <w:szCs w:val="24"/>
                <w:highlight w:val="none"/>
              </w:rPr>
            </w:pPr>
            <w:r>
              <w:rPr>
                <w:rFonts w:hint="eastAsia" w:cs="Times New Roman" w:eastAsiaTheme="minorEastAsia"/>
                <w:b/>
                <w:bCs/>
                <w:color w:val="auto"/>
                <w:kern w:val="0"/>
                <w:sz w:val="24"/>
                <w:szCs w:val="24"/>
                <w:highlight w:val="none"/>
                <w:lang w:val="en-US" w:eastAsia="zh-CN"/>
              </w:rPr>
              <w:t>2</w:t>
            </w:r>
            <w:r>
              <w:rPr>
                <w:rFonts w:hint="default" w:ascii="Times New Roman" w:hAnsi="Times New Roman" w:cs="Times New Roman" w:eastAsiaTheme="minorEastAsia"/>
                <w:b/>
                <w:bCs/>
                <w:color w:val="auto"/>
                <w:kern w:val="0"/>
                <w:sz w:val="24"/>
                <w:szCs w:val="24"/>
                <w:highlight w:val="none"/>
              </w:rPr>
              <w:t>、产品方案</w:t>
            </w:r>
          </w:p>
          <w:p w14:paraId="6B3C0F73">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项目产品方案见表2-2。</w:t>
            </w:r>
          </w:p>
          <w:p w14:paraId="7A299A4C">
            <w:pPr>
              <w:jc w:val="center"/>
              <w:rPr>
                <w:b/>
                <w:bCs/>
                <w:color w:val="auto"/>
                <w:kern w:val="0"/>
                <w:highlight w:val="none"/>
              </w:rPr>
            </w:pPr>
            <w:r>
              <w:rPr>
                <w:b/>
                <w:bCs/>
                <w:color w:val="auto"/>
                <w:kern w:val="0"/>
                <w:highlight w:val="none"/>
              </w:rPr>
              <w:t>表2-2  建设项目主要产品及产能</w:t>
            </w:r>
          </w:p>
          <w:tbl>
            <w:tblPr>
              <w:tblStyle w:val="26"/>
              <w:tblW w:w="8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7"/>
              <w:gridCol w:w="1187"/>
              <w:gridCol w:w="1199"/>
              <w:gridCol w:w="1095"/>
              <w:gridCol w:w="696"/>
              <w:gridCol w:w="1053"/>
              <w:gridCol w:w="2172"/>
            </w:tblGrid>
            <w:tr w14:paraId="5570D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5" w:type="pct"/>
                  <w:tcBorders>
                    <w:top w:val="single" w:color="auto" w:sz="4" w:space="0"/>
                    <w:left w:val="single" w:color="auto" w:sz="4" w:space="0"/>
                    <w:bottom w:val="single" w:color="auto" w:sz="4" w:space="0"/>
                    <w:right w:val="single" w:color="auto" w:sz="4" w:space="0"/>
                  </w:tcBorders>
                  <w:vAlign w:val="center"/>
                </w:tcPr>
                <w:p w14:paraId="171BF5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kern w:val="0"/>
                      <w:sz w:val="21"/>
                      <w:szCs w:val="21"/>
                      <w:highlight w:val="none"/>
                    </w:rPr>
                  </w:pPr>
                  <w:r>
                    <w:rPr>
                      <w:rFonts w:hint="default" w:ascii="Times New Roman" w:hAnsi="Times New Roman" w:cs="Times New Roman" w:eastAsiaTheme="minorEastAsia"/>
                      <w:b/>
                      <w:bCs/>
                      <w:color w:val="auto"/>
                      <w:kern w:val="0"/>
                      <w:sz w:val="21"/>
                      <w:szCs w:val="21"/>
                      <w:highlight w:val="none"/>
                    </w:rPr>
                    <w:t>产品名称</w:t>
                  </w:r>
                </w:p>
              </w:tc>
              <w:tc>
                <w:tcPr>
                  <w:tcW w:w="682" w:type="pct"/>
                  <w:tcBorders>
                    <w:top w:val="single" w:color="auto" w:sz="4" w:space="0"/>
                    <w:left w:val="single" w:color="auto" w:sz="4" w:space="0"/>
                    <w:bottom w:val="single" w:color="auto" w:sz="4" w:space="0"/>
                    <w:right w:val="single" w:color="auto" w:sz="4" w:space="0"/>
                  </w:tcBorders>
                  <w:vAlign w:val="center"/>
                </w:tcPr>
                <w:p w14:paraId="52CDAED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kern w:val="0"/>
                      <w:sz w:val="21"/>
                      <w:szCs w:val="21"/>
                      <w:highlight w:val="none"/>
                    </w:rPr>
                  </w:pPr>
                  <w:r>
                    <w:rPr>
                      <w:rFonts w:hint="default" w:ascii="Times New Roman" w:hAnsi="Times New Roman" w:cs="Times New Roman" w:eastAsiaTheme="minorEastAsia"/>
                      <w:b/>
                      <w:bCs/>
                      <w:color w:val="auto"/>
                      <w:kern w:val="0"/>
                      <w:sz w:val="21"/>
                      <w:szCs w:val="21"/>
                      <w:highlight w:val="none"/>
                    </w:rPr>
                    <w:t>改扩建前产量（t/a）</w:t>
                  </w:r>
                </w:p>
              </w:tc>
              <w:tc>
                <w:tcPr>
                  <w:tcW w:w="689" w:type="pct"/>
                  <w:tcBorders>
                    <w:top w:val="single" w:color="auto" w:sz="4" w:space="0"/>
                    <w:left w:val="single" w:color="auto" w:sz="4" w:space="0"/>
                    <w:bottom w:val="single" w:color="auto" w:sz="4" w:space="0"/>
                    <w:right w:val="single" w:color="auto" w:sz="4" w:space="0"/>
                  </w:tcBorders>
                  <w:vAlign w:val="center"/>
                </w:tcPr>
                <w:p w14:paraId="011FFE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kern w:val="0"/>
                      <w:sz w:val="21"/>
                      <w:szCs w:val="21"/>
                      <w:highlight w:val="none"/>
                    </w:rPr>
                  </w:pPr>
                  <w:r>
                    <w:rPr>
                      <w:rFonts w:hint="eastAsia" w:cs="Times New Roman" w:eastAsiaTheme="minorEastAsia"/>
                      <w:b/>
                      <w:bCs/>
                      <w:color w:val="auto"/>
                      <w:kern w:val="0"/>
                      <w:sz w:val="21"/>
                      <w:szCs w:val="21"/>
                      <w:highlight w:val="none"/>
                      <w:lang w:val="en-US" w:eastAsia="zh-CN"/>
                    </w:rPr>
                    <w:t>改扩建后</w:t>
                  </w:r>
                  <w:r>
                    <w:rPr>
                      <w:rFonts w:hint="default" w:ascii="Times New Roman" w:hAnsi="Times New Roman" w:cs="Times New Roman" w:eastAsiaTheme="minorEastAsia"/>
                      <w:b/>
                      <w:bCs/>
                      <w:color w:val="auto"/>
                      <w:kern w:val="0"/>
                      <w:sz w:val="21"/>
                      <w:szCs w:val="21"/>
                      <w:highlight w:val="none"/>
                    </w:rPr>
                    <w:t>产量（t/a）</w:t>
                  </w:r>
                </w:p>
              </w:tc>
              <w:tc>
                <w:tcPr>
                  <w:tcW w:w="629" w:type="pct"/>
                  <w:tcBorders>
                    <w:top w:val="single" w:color="auto" w:sz="4" w:space="0"/>
                    <w:left w:val="single" w:color="auto" w:sz="4" w:space="0"/>
                    <w:bottom w:val="single" w:color="auto" w:sz="4" w:space="0"/>
                    <w:right w:val="single" w:color="auto" w:sz="4" w:space="0"/>
                  </w:tcBorders>
                  <w:shd w:val="clear" w:color="auto" w:fill="auto"/>
                  <w:vAlign w:val="center"/>
                </w:tcPr>
                <w:p w14:paraId="3B998E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kern w:val="0"/>
                      <w:sz w:val="21"/>
                      <w:szCs w:val="21"/>
                      <w:highlight w:val="none"/>
                    </w:rPr>
                  </w:pPr>
                  <w:r>
                    <w:rPr>
                      <w:rFonts w:hint="default" w:ascii="Times New Roman" w:hAnsi="Times New Roman" w:cs="Times New Roman" w:eastAsiaTheme="minorEastAsia"/>
                      <w:b/>
                      <w:bCs/>
                      <w:color w:val="auto"/>
                      <w:kern w:val="0"/>
                      <w:sz w:val="21"/>
                      <w:szCs w:val="21"/>
                      <w:highlight w:val="none"/>
                    </w:rPr>
                    <w:t>变化量</w:t>
                  </w:r>
                </w:p>
                <w:p w14:paraId="13A332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kern w:val="0"/>
                      <w:sz w:val="21"/>
                      <w:szCs w:val="21"/>
                      <w:highlight w:val="none"/>
                      <w:lang w:val="en-US" w:eastAsia="zh-CN" w:bidi="ar-SA"/>
                    </w:rPr>
                  </w:pPr>
                  <w:r>
                    <w:rPr>
                      <w:rFonts w:hint="default" w:ascii="Times New Roman" w:hAnsi="Times New Roman" w:cs="Times New Roman" w:eastAsiaTheme="minorEastAsia"/>
                      <w:b/>
                      <w:bCs/>
                      <w:color w:val="auto"/>
                      <w:kern w:val="0"/>
                      <w:sz w:val="21"/>
                      <w:szCs w:val="21"/>
                      <w:highlight w:val="none"/>
                    </w:rPr>
                    <w:t>（t/a）</w:t>
                  </w:r>
                </w:p>
              </w:tc>
              <w:tc>
                <w:tcPr>
                  <w:tcW w:w="400" w:type="pct"/>
                  <w:tcBorders>
                    <w:top w:val="single" w:color="auto" w:sz="4" w:space="0"/>
                    <w:left w:val="single" w:color="auto" w:sz="4" w:space="0"/>
                    <w:bottom w:val="single" w:color="auto" w:sz="4" w:space="0"/>
                    <w:right w:val="single" w:color="auto" w:sz="4" w:space="0"/>
                  </w:tcBorders>
                  <w:vAlign w:val="center"/>
                </w:tcPr>
                <w:p w14:paraId="436F91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kern w:val="0"/>
                      <w:sz w:val="21"/>
                      <w:szCs w:val="21"/>
                      <w:highlight w:val="none"/>
                    </w:rPr>
                  </w:pPr>
                  <w:r>
                    <w:rPr>
                      <w:rFonts w:hint="default" w:ascii="Times New Roman" w:hAnsi="Times New Roman" w:cs="Times New Roman" w:eastAsiaTheme="minorEastAsia"/>
                      <w:b/>
                      <w:bCs/>
                      <w:color w:val="auto"/>
                      <w:kern w:val="0"/>
                      <w:sz w:val="21"/>
                      <w:szCs w:val="21"/>
                      <w:highlight w:val="none"/>
                    </w:rPr>
                    <w:t>性状</w:t>
                  </w:r>
                </w:p>
              </w:tc>
              <w:tc>
                <w:tcPr>
                  <w:tcW w:w="605" w:type="pct"/>
                  <w:tcBorders>
                    <w:top w:val="single" w:color="auto" w:sz="4" w:space="0"/>
                    <w:left w:val="single" w:color="auto" w:sz="4" w:space="0"/>
                    <w:bottom w:val="single" w:color="auto" w:sz="4" w:space="0"/>
                    <w:right w:val="single" w:color="auto" w:sz="4" w:space="0"/>
                  </w:tcBorders>
                  <w:vAlign w:val="center"/>
                </w:tcPr>
                <w:p w14:paraId="588524F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kern w:val="0"/>
                      <w:sz w:val="21"/>
                      <w:szCs w:val="21"/>
                      <w:highlight w:val="none"/>
                    </w:rPr>
                  </w:pPr>
                  <w:r>
                    <w:rPr>
                      <w:rFonts w:hint="default" w:ascii="Times New Roman" w:hAnsi="Times New Roman" w:cs="Times New Roman" w:eastAsiaTheme="minorEastAsia"/>
                      <w:b/>
                      <w:bCs/>
                      <w:color w:val="auto"/>
                      <w:kern w:val="0"/>
                      <w:sz w:val="21"/>
                      <w:szCs w:val="21"/>
                      <w:highlight w:val="none"/>
                    </w:rPr>
                    <w:t>包装</w:t>
                  </w:r>
                </w:p>
                <w:p w14:paraId="2A2545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kern w:val="0"/>
                      <w:sz w:val="21"/>
                      <w:szCs w:val="21"/>
                      <w:highlight w:val="none"/>
                    </w:rPr>
                  </w:pPr>
                  <w:r>
                    <w:rPr>
                      <w:rFonts w:hint="default" w:ascii="Times New Roman" w:hAnsi="Times New Roman" w:cs="Times New Roman" w:eastAsiaTheme="minorEastAsia"/>
                      <w:b/>
                      <w:bCs/>
                      <w:color w:val="auto"/>
                      <w:kern w:val="0"/>
                      <w:sz w:val="21"/>
                      <w:szCs w:val="21"/>
                      <w:highlight w:val="none"/>
                    </w:rPr>
                    <w:t>方式</w:t>
                  </w:r>
                </w:p>
              </w:tc>
              <w:tc>
                <w:tcPr>
                  <w:tcW w:w="1247" w:type="pct"/>
                  <w:tcBorders>
                    <w:top w:val="single" w:color="auto" w:sz="4" w:space="0"/>
                    <w:left w:val="single" w:color="auto" w:sz="4" w:space="0"/>
                    <w:bottom w:val="single" w:color="auto" w:sz="4" w:space="0"/>
                    <w:right w:val="single" w:color="auto" w:sz="4" w:space="0"/>
                  </w:tcBorders>
                  <w:vAlign w:val="center"/>
                </w:tcPr>
                <w:p w14:paraId="72DAF8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kern w:val="0"/>
                      <w:sz w:val="21"/>
                      <w:szCs w:val="21"/>
                      <w:highlight w:val="none"/>
                    </w:rPr>
                  </w:pPr>
                  <w:r>
                    <w:rPr>
                      <w:rFonts w:hint="default" w:ascii="Times New Roman" w:hAnsi="Times New Roman" w:cs="Times New Roman" w:eastAsiaTheme="minorEastAsia"/>
                      <w:b/>
                      <w:bCs/>
                      <w:color w:val="auto"/>
                      <w:kern w:val="0"/>
                      <w:sz w:val="21"/>
                      <w:szCs w:val="21"/>
                      <w:highlight w:val="none"/>
                    </w:rPr>
                    <w:t>产品执行标准</w:t>
                  </w:r>
                </w:p>
              </w:tc>
            </w:tr>
            <w:tr w14:paraId="5777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5" w:type="pct"/>
                  <w:tcBorders>
                    <w:top w:val="single" w:color="auto" w:sz="4" w:space="0"/>
                    <w:left w:val="single" w:color="auto" w:sz="4" w:space="0"/>
                    <w:bottom w:val="single" w:color="auto" w:sz="4" w:space="0"/>
                    <w:right w:val="single" w:color="auto" w:sz="4" w:space="0"/>
                  </w:tcBorders>
                  <w:vAlign w:val="center"/>
                </w:tcPr>
                <w:p w14:paraId="75190A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cs="Times New Roman" w:eastAsiaTheme="minorEastAsia"/>
                      <w:color w:val="auto"/>
                      <w:kern w:val="0"/>
                      <w:sz w:val="21"/>
                      <w:szCs w:val="21"/>
                      <w:highlight w:val="none"/>
                      <w:lang w:eastAsia="zh-CN"/>
                    </w:rPr>
                  </w:pPr>
                  <w:r>
                    <w:rPr>
                      <w:rFonts w:hint="eastAsia" w:cs="Times New Roman" w:eastAsiaTheme="minorEastAsia"/>
                      <w:color w:val="auto"/>
                      <w:kern w:val="0"/>
                      <w:sz w:val="21"/>
                      <w:szCs w:val="21"/>
                      <w:highlight w:val="none"/>
                      <w:lang w:eastAsia="zh-CN"/>
                    </w:rPr>
                    <w:t>液体复合微生物肥料</w:t>
                  </w:r>
                </w:p>
              </w:tc>
              <w:tc>
                <w:tcPr>
                  <w:tcW w:w="682" w:type="pct"/>
                  <w:tcBorders>
                    <w:top w:val="single" w:color="auto" w:sz="4" w:space="0"/>
                    <w:left w:val="single" w:color="auto" w:sz="4" w:space="0"/>
                    <w:bottom w:val="single" w:color="auto" w:sz="4" w:space="0"/>
                    <w:right w:val="single" w:color="auto" w:sz="4" w:space="0"/>
                  </w:tcBorders>
                  <w:vAlign w:val="center"/>
                </w:tcPr>
                <w:p w14:paraId="5CB8A1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0</w:t>
                  </w:r>
                </w:p>
              </w:tc>
              <w:tc>
                <w:tcPr>
                  <w:tcW w:w="689" w:type="pct"/>
                  <w:tcBorders>
                    <w:left w:val="single" w:color="auto" w:sz="4" w:space="0"/>
                    <w:right w:val="single" w:color="auto" w:sz="4" w:space="0"/>
                  </w:tcBorders>
                  <w:vAlign w:val="center"/>
                </w:tcPr>
                <w:p w14:paraId="653B80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16000</w:t>
                  </w:r>
                </w:p>
              </w:tc>
              <w:tc>
                <w:tcPr>
                  <w:tcW w:w="629" w:type="pct"/>
                  <w:tcBorders>
                    <w:left w:val="single" w:color="auto" w:sz="4" w:space="0"/>
                    <w:right w:val="single" w:color="auto" w:sz="4" w:space="0"/>
                  </w:tcBorders>
                  <w:shd w:val="clear" w:color="auto" w:fill="auto"/>
                  <w:vAlign w:val="center"/>
                </w:tcPr>
                <w:p w14:paraId="6346AD2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+16000</w:t>
                  </w:r>
                </w:p>
              </w:tc>
              <w:tc>
                <w:tcPr>
                  <w:tcW w:w="400" w:type="pct"/>
                  <w:tcBorders>
                    <w:left w:val="single" w:color="auto" w:sz="4" w:space="0"/>
                    <w:right w:val="single" w:color="auto" w:sz="4" w:space="0"/>
                  </w:tcBorders>
                  <w:vAlign w:val="center"/>
                </w:tcPr>
                <w:p w14:paraId="36CFCB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液态</w:t>
                  </w:r>
                </w:p>
              </w:tc>
              <w:tc>
                <w:tcPr>
                  <w:tcW w:w="605" w:type="pct"/>
                  <w:tcBorders>
                    <w:left w:val="single" w:color="auto" w:sz="4" w:space="0"/>
                    <w:right w:val="single" w:color="auto" w:sz="4" w:space="0"/>
                  </w:tcBorders>
                  <w:vAlign w:val="center"/>
                </w:tcPr>
                <w:p w14:paraId="07E908F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桶装</w:t>
                  </w:r>
                </w:p>
                <w:p w14:paraId="5CCCBD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eastAsia" w:cs="Times New Roman" w:eastAsiaTheme="minorEastAsia"/>
                      <w:color w:val="auto"/>
                      <w:sz w:val="21"/>
                      <w:szCs w:val="21"/>
                      <w:highlight w:val="none"/>
                      <w:lang w:val="en-US" w:eastAsia="zh-CN"/>
                    </w:rPr>
                    <w:t>50</w:t>
                  </w:r>
                  <w:r>
                    <w:rPr>
                      <w:rFonts w:hint="default" w:ascii="Times New Roman" w:hAnsi="Times New Roman" w:cs="Times New Roman" w:eastAsiaTheme="minorEastAsia"/>
                      <w:color w:val="auto"/>
                      <w:sz w:val="21"/>
                      <w:szCs w:val="21"/>
                      <w:highlight w:val="none"/>
                    </w:rPr>
                    <w:t>kg/桶</w:t>
                  </w:r>
                </w:p>
              </w:tc>
              <w:tc>
                <w:tcPr>
                  <w:tcW w:w="1247" w:type="pct"/>
                  <w:vMerge w:val="restart"/>
                  <w:tcBorders>
                    <w:left w:val="single" w:color="auto" w:sz="4" w:space="0"/>
                    <w:right w:val="single" w:color="auto" w:sz="4" w:space="0"/>
                  </w:tcBorders>
                  <w:vAlign w:val="center"/>
                </w:tcPr>
                <w:p w14:paraId="022EE26F">
                  <w:pPr>
                    <w:keepNext w:val="0"/>
                    <w:keepLines w:val="0"/>
                    <w:pageBreakBefore w:val="0"/>
                    <w:widowControl w:val="0"/>
                    <w:tabs>
                      <w:tab w:val="left" w:pos="2395"/>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《复合微生物肥料》</w:t>
                  </w:r>
                </w:p>
                <w:p w14:paraId="3588AD90">
                  <w:pPr>
                    <w:keepNext w:val="0"/>
                    <w:keepLines w:val="0"/>
                    <w:pageBreakBefore w:val="0"/>
                    <w:widowControl w:val="0"/>
                    <w:tabs>
                      <w:tab w:val="left" w:pos="2395"/>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（NY/T 798-2015）</w:t>
                  </w:r>
                </w:p>
              </w:tc>
            </w:tr>
            <w:tr w14:paraId="2DF3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5" w:type="pct"/>
                  <w:tcBorders>
                    <w:top w:val="single" w:color="auto" w:sz="4" w:space="0"/>
                    <w:left w:val="single" w:color="auto" w:sz="4" w:space="0"/>
                    <w:bottom w:val="single" w:color="auto" w:sz="4" w:space="0"/>
                    <w:right w:val="single" w:color="auto" w:sz="4" w:space="0"/>
                  </w:tcBorders>
                  <w:vAlign w:val="center"/>
                </w:tcPr>
                <w:p w14:paraId="5B4983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cs="Times New Roman" w:eastAsiaTheme="minorEastAsia"/>
                      <w:color w:val="auto"/>
                      <w:kern w:val="0"/>
                      <w:sz w:val="21"/>
                      <w:szCs w:val="21"/>
                      <w:highlight w:val="none"/>
                      <w:lang w:eastAsia="zh-CN"/>
                    </w:rPr>
                  </w:pPr>
                  <w:r>
                    <w:rPr>
                      <w:rFonts w:hint="eastAsia" w:cs="Times New Roman" w:eastAsiaTheme="minorEastAsia"/>
                      <w:color w:val="auto"/>
                      <w:sz w:val="21"/>
                      <w:szCs w:val="21"/>
                      <w:highlight w:val="none"/>
                      <w:lang w:eastAsia="zh-CN"/>
                    </w:rPr>
                    <w:t>固体复合微生物肥料</w:t>
                  </w:r>
                </w:p>
              </w:tc>
              <w:tc>
                <w:tcPr>
                  <w:tcW w:w="682" w:type="pct"/>
                  <w:tcBorders>
                    <w:top w:val="single" w:color="auto" w:sz="4" w:space="0"/>
                    <w:left w:val="single" w:color="auto" w:sz="4" w:space="0"/>
                    <w:bottom w:val="single" w:color="auto" w:sz="4" w:space="0"/>
                    <w:right w:val="single" w:color="auto" w:sz="4" w:space="0"/>
                  </w:tcBorders>
                  <w:vAlign w:val="center"/>
                </w:tcPr>
                <w:p w14:paraId="2E44AED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0</w:t>
                  </w:r>
                </w:p>
              </w:tc>
              <w:tc>
                <w:tcPr>
                  <w:tcW w:w="689" w:type="pct"/>
                  <w:tcBorders>
                    <w:left w:val="single" w:color="auto" w:sz="4" w:space="0"/>
                    <w:right w:val="single" w:color="auto" w:sz="4" w:space="0"/>
                  </w:tcBorders>
                  <w:vAlign w:val="center"/>
                </w:tcPr>
                <w:p w14:paraId="295323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86000</w:t>
                  </w:r>
                </w:p>
              </w:tc>
              <w:tc>
                <w:tcPr>
                  <w:tcW w:w="629" w:type="pct"/>
                  <w:tcBorders>
                    <w:left w:val="single" w:color="auto" w:sz="4" w:space="0"/>
                    <w:right w:val="single" w:color="auto" w:sz="4" w:space="0"/>
                  </w:tcBorders>
                  <w:shd w:val="clear" w:color="auto" w:fill="auto"/>
                  <w:vAlign w:val="center"/>
                </w:tcPr>
                <w:p w14:paraId="4EAB03F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SA"/>
                    </w:rPr>
                    <w:t>+86000</w:t>
                  </w:r>
                </w:p>
              </w:tc>
              <w:tc>
                <w:tcPr>
                  <w:tcW w:w="400" w:type="pct"/>
                  <w:tcBorders>
                    <w:left w:val="single" w:color="auto" w:sz="4" w:space="0"/>
                    <w:right w:val="single" w:color="auto" w:sz="4" w:space="0"/>
                  </w:tcBorders>
                  <w:vAlign w:val="center"/>
                </w:tcPr>
                <w:p w14:paraId="758B70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固态</w:t>
                  </w:r>
                </w:p>
              </w:tc>
              <w:tc>
                <w:tcPr>
                  <w:tcW w:w="605" w:type="pct"/>
                  <w:tcBorders>
                    <w:left w:val="single" w:color="auto" w:sz="4" w:space="0"/>
                    <w:right w:val="single" w:color="auto" w:sz="4" w:space="0"/>
                  </w:tcBorders>
                  <w:vAlign w:val="center"/>
                </w:tcPr>
                <w:p w14:paraId="01720A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袋装</w:t>
                  </w:r>
                </w:p>
                <w:p w14:paraId="0F13A2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eastAsia" w:cs="Times New Roman" w:eastAsiaTheme="minorEastAsia"/>
                      <w:color w:val="auto"/>
                      <w:kern w:val="0"/>
                      <w:sz w:val="21"/>
                      <w:szCs w:val="21"/>
                      <w:highlight w:val="none"/>
                      <w:lang w:val="en-US" w:eastAsia="zh-CN"/>
                    </w:rPr>
                    <w:t>100</w:t>
                  </w:r>
                  <w:r>
                    <w:rPr>
                      <w:rFonts w:hint="default" w:ascii="Times New Roman" w:hAnsi="Times New Roman" w:cs="Times New Roman" w:eastAsiaTheme="minorEastAsia"/>
                      <w:color w:val="auto"/>
                      <w:kern w:val="0"/>
                      <w:sz w:val="21"/>
                      <w:szCs w:val="21"/>
                      <w:highlight w:val="none"/>
                    </w:rPr>
                    <w:t>kg/袋</w:t>
                  </w:r>
                </w:p>
              </w:tc>
              <w:tc>
                <w:tcPr>
                  <w:tcW w:w="1247" w:type="pct"/>
                  <w:vMerge w:val="continue"/>
                  <w:tcBorders>
                    <w:left w:val="single" w:color="auto" w:sz="4" w:space="0"/>
                    <w:right w:val="single" w:color="auto" w:sz="4" w:space="0"/>
                  </w:tcBorders>
                  <w:vAlign w:val="center"/>
                </w:tcPr>
                <w:p w14:paraId="7F4FA8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p>
              </w:tc>
            </w:tr>
            <w:tr w14:paraId="187C7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5" w:type="pct"/>
                  <w:tcBorders>
                    <w:top w:val="single" w:color="auto" w:sz="4" w:space="0"/>
                    <w:left w:val="single" w:color="auto" w:sz="4" w:space="0"/>
                    <w:right w:val="single" w:color="auto" w:sz="4" w:space="0"/>
                  </w:tcBorders>
                  <w:vAlign w:val="center"/>
                </w:tcPr>
                <w:p w14:paraId="7DB71E3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蔬菜</w:t>
                  </w:r>
                </w:p>
                <w:p w14:paraId="750E09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bCs/>
                      <w:color w:val="auto"/>
                      <w:sz w:val="21"/>
                      <w:szCs w:val="21"/>
                      <w:highlight w:val="none"/>
                    </w:rPr>
                    <w:t>干饲料</w:t>
                  </w:r>
                </w:p>
              </w:tc>
              <w:tc>
                <w:tcPr>
                  <w:tcW w:w="682" w:type="pct"/>
                  <w:tcBorders>
                    <w:top w:val="single" w:color="auto" w:sz="4" w:space="0"/>
                    <w:left w:val="single" w:color="auto" w:sz="4" w:space="0"/>
                    <w:bottom w:val="single" w:color="auto" w:sz="4" w:space="0"/>
                    <w:right w:val="single" w:color="auto" w:sz="4" w:space="0"/>
                  </w:tcBorders>
                  <w:vAlign w:val="center"/>
                </w:tcPr>
                <w:p w14:paraId="368E78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31000</w:t>
                  </w:r>
                </w:p>
              </w:tc>
              <w:tc>
                <w:tcPr>
                  <w:tcW w:w="689" w:type="pct"/>
                  <w:tcBorders>
                    <w:left w:val="single" w:color="auto" w:sz="4" w:space="0"/>
                    <w:right w:val="single" w:color="auto" w:sz="4" w:space="0"/>
                  </w:tcBorders>
                  <w:vAlign w:val="center"/>
                </w:tcPr>
                <w:p w14:paraId="3B504F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lang w:val="en-US" w:eastAsia="zh-CN"/>
                    </w:rPr>
                  </w:pPr>
                  <w:r>
                    <w:rPr>
                      <w:rFonts w:hint="default" w:ascii="Times New Roman" w:hAnsi="Times New Roman" w:cs="Times New Roman" w:eastAsiaTheme="minorEastAsia"/>
                      <w:color w:val="auto"/>
                      <w:kern w:val="0"/>
                      <w:sz w:val="21"/>
                      <w:szCs w:val="21"/>
                      <w:highlight w:val="none"/>
                    </w:rPr>
                    <w:t>3</w:t>
                  </w:r>
                  <w:r>
                    <w:rPr>
                      <w:rFonts w:hint="eastAsia" w:cs="Times New Roman" w:eastAsiaTheme="minorEastAsia"/>
                      <w:color w:val="auto"/>
                      <w:kern w:val="0"/>
                      <w:sz w:val="21"/>
                      <w:szCs w:val="21"/>
                      <w:highlight w:val="none"/>
                      <w:lang w:val="en-US" w:eastAsia="zh-CN"/>
                    </w:rPr>
                    <w:t>600</w:t>
                  </w:r>
                </w:p>
              </w:tc>
              <w:tc>
                <w:tcPr>
                  <w:tcW w:w="629" w:type="pct"/>
                  <w:tcBorders>
                    <w:left w:val="single" w:color="auto" w:sz="4" w:space="0"/>
                    <w:right w:val="single" w:color="auto" w:sz="4" w:space="0"/>
                  </w:tcBorders>
                  <w:shd w:val="clear" w:color="auto" w:fill="auto"/>
                  <w:vAlign w:val="center"/>
                </w:tcPr>
                <w:p w14:paraId="73A80B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rPr>
                    <w:t>-27</w:t>
                  </w:r>
                  <w:r>
                    <w:rPr>
                      <w:rFonts w:hint="eastAsia" w:cs="Times New Roman" w:eastAsiaTheme="minorEastAsia"/>
                      <w:color w:val="auto"/>
                      <w:kern w:val="0"/>
                      <w:sz w:val="21"/>
                      <w:szCs w:val="21"/>
                      <w:highlight w:val="none"/>
                      <w:lang w:val="en-US" w:eastAsia="zh-CN"/>
                    </w:rPr>
                    <w:t>4</w:t>
                  </w:r>
                  <w:r>
                    <w:rPr>
                      <w:rFonts w:hint="default" w:ascii="Times New Roman" w:hAnsi="Times New Roman" w:cs="Times New Roman" w:eastAsiaTheme="minorEastAsia"/>
                      <w:color w:val="auto"/>
                      <w:kern w:val="0"/>
                      <w:sz w:val="21"/>
                      <w:szCs w:val="21"/>
                      <w:highlight w:val="none"/>
                    </w:rPr>
                    <w:t>00</w:t>
                  </w:r>
                </w:p>
              </w:tc>
              <w:tc>
                <w:tcPr>
                  <w:tcW w:w="400" w:type="pct"/>
                  <w:tcBorders>
                    <w:left w:val="single" w:color="auto" w:sz="4" w:space="0"/>
                    <w:right w:val="single" w:color="auto" w:sz="4" w:space="0"/>
                  </w:tcBorders>
                  <w:vAlign w:val="center"/>
                </w:tcPr>
                <w:p w14:paraId="12F8A1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颗粒</w:t>
                  </w:r>
                </w:p>
              </w:tc>
              <w:tc>
                <w:tcPr>
                  <w:tcW w:w="605" w:type="pct"/>
                  <w:tcBorders>
                    <w:left w:val="single" w:color="auto" w:sz="4" w:space="0"/>
                    <w:right w:val="single" w:color="auto" w:sz="4" w:space="0"/>
                  </w:tcBorders>
                  <w:vAlign w:val="center"/>
                </w:tcPr>
                <w:p w14:paraId="674AE1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袋装</w:t>
                  </w:r>
                </w:p>
                <w:p w14:paraId="3EB817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50kg/袋</w:t>
                  </w:r>
                </w:p>
              </w:tc>
              <w:tc>
                <w:tcPr>
                  <w:tcW w:w="1247" w:type="pct"/>
                  <w:tcBorders>
                    <w:left w:val="single" w:color="auto" w:sz="4" w:space="0"/>
                    <w:right w:val="single" w:color="auto" w:sz="4" w:space="0"/>
                  </w:tcBorders>
                  <w:vAlign w:val="center"/>
                </w:tcPr>
                <w:p w14:paraId="3760D2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目前无蔬菜干饲料相关的产品质量标准</w:t>
                  </w:r>
                </w:p>
              </w:tc>
            </w:tr>
          </w:tbl>
          <w:p w14:paraId="7998C26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kern w:val="0"/>
                <w:sz w:val="24"/>
                <w:highlight w:val="none"/>
              </w:rPr>
            </w:pPr>
            <w:r>
              <w:rPr>
                <w:rFonts w:hint="default" w:ascii="Times New Roman" w:hAnsi="Times New Roman" w:cs="Times New Roman" w:eastAsiaTheme="minorEastAsia"/>
                <w:color w:val="auto"/>
                <w:kern w:val="0"/>
                <w:sz w:val="24"/>
                <w:highlight w:val="none"/>
                <w:lang w:val="en-US" w:eastAsia="zh-CN"/>
              </w:rPr>
              <w:t>项目</w:t>
            </w:r>
            <w:r>
              <w:rPr>
                <w:rFonts w:hint="default" w:ascii="Times New Roman" w:hAnsi="Times New Roman" w:cs="Times New Roman" w:eastAsiaTheme="minorEastAsia"/>
                <w:color w:val="auto"/>
                <w:kern w:val="0"/>
                <w:sz w:val="24"/>
                <w:highlight w:val="none"/>
              </w:rPr>
              <w:t>产品满足</w:t>
            </w:r>
            <w:r>
              <w:rPr>
                <w:rFonts w:hint="eastAsia" w:cs="Times New Roman" w:eastAsiaTheme="minorEastAsia"/>
                <w:color w:val="auto"/>
                <w:kern w:val="0"/>
                <w:sz w:val="24"/>
                <w:highlight w:val="none"/>
                <w:lang w:eastAsia="zh-CN"/>
              </w:rPr>
              <w:t>《</w:t>
            </w:r>
            <w:r>
              <w:rPr>
                <w:rFonts w:hint="default" w:ascii="Times New Roman" w:hAnsi="Times New Roman" w:cs="Times New Roman" w:eastAsiaTheme="minorEastAsia"/>
                <w:color w:val="auto"/>
                <w:kern w:val="0"/>
                <w:sz w:val="24"/>
                <w:highlight w:val="none"/>
              </w:rPr>
              <w:t>复合微生物肥料</w:t>
            </w:r>
            <w:r>
              <w:rPr>
                <w:rFonts w:hint="eastAsia" w:cs="Times New Roman" w:eastAsiaTheme="minorEastAsia"/>
                <w:color w:val="auto"/>
                <w:kern w:val="0"/>
                <w:sz w:val="24"/>
                <w:highlight w:val="none"/>
                <w:lang w:eastAsia="zh-CN"/>
              </w:rPr>
              <w:t>》</w:t>
            </w:r>
            <w:r>
              <w:rPr>
                <w:rFonts w:hint="default" w:ascii="Times New Roman" w:hAnsi="Times New Roman" w:cs="Times New Roman" w:eastAsiaTheme="minorEastAsia"/>
                <w:color w:val="auto"/>
                <w:kern w:val="0"/>
                <w:sz w:val="24"/>
                <w:highlight w:val="none"/>
              </w:rPr>
              <w:t>（NY/T 798-2015）标准，</w:t>
            </w:r>
            <w:r>
              <w:rPr>
                <w:rFonts w:hint="eastAsia" w:cs="Times New Roman" w:eastAsiaTheme="minorEastAsia"/>
                <w:color w:val="auto"/>
                <w:kern w:val="0"/>
                <w:sz w:val="24"/>
                <w:highlight w:val="none"/>
                <w:lang w:val="en-US" w:eastAsia="zh-CN"/>
              </w:rPr>
              <w:t>项目</w:t>
            </w:r>
            <w:r>
              <w:rPr>
                <w:rFonts w:hint="default" w:ascii="Times New Roman" w:hAnsi="Times New Roman" w:cs="Times New Roman" w:eastAsiaTheme="minorEastAsia"/>
                <w:color w:val="auto"/>
                <w:kern w:val="0"/>
                <w:sz w:val="24"/>
                <w:highlight w:val="none"/>
              </w:rPr>
              <w:t>产品</w:t>
            </w:r>
            <w:r>
              <w:rPr>
                <w:rFonts w:hint="eastAsia" w:cs="Times New Roman" w:eastAsiaTheme="minorEastAsia"/>
                <w:color w:val="auto"/>
                <w:kern w:val="0"/>
                <w:sz w:val="24"/>
                <w:highlight w:val="none"/>
                <w:lang w:val="en-US" w:eastAsia="zh-CN"/>
              </w:rPr>
              <w:t>除水分、酸碱度等厂内实验室自行检测外，其他质量指标</w:t>
            </w:r>
            <w:r>
              <w:rPr>
                <w:rFonts w:hint="default" w:ascii="Times New Roman" w:hAnsi="Times New Roman" w:cs="Times New Roman" w:eastAsiaTheme="minorEastAsia"/>
                <w:color w:val="auto"/>
                <w:kern w:val="0"/>
                <w:sz w:val="24"/>
                <w:highlight w:val="none"/>
              </w:rPr>
              <w:t>检验委托第三方检验机构对生物</w:t>
            </w:r>
            <w:r>
              <w:rPr>
                <w:rFonts w:hint="eastAsia" w:cs="Times New Roman" w:eastAsiaTheme="minorEastAsia"/>
                <w:color w:val="auto"/>
                <w:kern w:val="0"/>
                <w:sz w:val="24"/>
                <w:highlight w:val="none"/>
                <w:lang w:eastAsia="zh-CN"/>
              </w:rPr>
              <w:t>复合微生物肥</w:t>
            </w:r>
            <w:r>
              <w:rPr>
                <w:rFonts w:hint="default" w:ascii="Times New Roman" w:hAnsi="Times New Roman" w:cs="Times New Roman" w:eastAsiaTheme="minorEastAsia"/>
                <w:color w:val="auto"/>
                <w:kern w:val="0"/>
                <w:sz w:val="24"/>
                <w:highlight w:val="none"/>
              </w:rPr>
              <w:t>产品中有机质、水分等含量是否达到《复合微生物肥料》（NY/T 798-2015）标准要求</w:t>
            </w:r>
            <w:r>
              <w:rPr>
                <w:rFonts w:hint="eastAsia" w:cs="Times New Roman" w:eastAsiaTheme="minorEastAsia"/>
                <w:color w:val="auto"/>
                <w:kern w:val="0"/>
                <w:sz w:val="24"/>
                <w:highlight w:val="none"/>
                <w:lang w:eastAsia="zh-CN"/>
              </w:rPr>
              <w:t>，</w:t>
            </w:r>
            <w:r>
              <w:rPr>
                <w:rFonts w:hint="default" w:ascii="Times New Roman" w:hAnsi="Times New Roman" w:cs="Times New Roman" w:eastAsiaTheme="minorEastAsia"/>
                <w:color w:val="auto"/>
                <w:kern w:val="0"/>
                <w:sz w:val="24"/>
                <w:highlight w:val="none"/>
              </w:rPr>
              <w:t>质量指标见表2-3。</w:t>
            </w:r>
          </w:p>
          <w:p w14:paraId="746771B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highlight w:val="none"/>
              </w:rPr>
            </w:pPr>
            <w:r>
              <w:rPr>
                <w:rFonts w:hint="eastAsia"/>
                <w:b/>
                <w:bCs/>
                <w:color w:val="auto"/>
                <w:kern w:val="0"/>
                <w:highlight w:val="none"/>
              </w:rPr>
              <w:t>表2-3  《复合微生物肥料》（NY/T 798-2015）质量指标</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85"/>
              <w:gridCol w:w="3423"/>
              <w:gridCol w:w="1668"/>
              <w:gridCol w:w="1668"/>
              <w:gridCol w:w="1164"/>
            </w:tblGrid>
            <w:tr w14:paraId="7636134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85" w:type="dxa"/>
                  <w:vMerge w:val="restart"/>
                  <w:noWrap w:val="0"/>
                  <w:vAlign w:val="center"/>
                </w:tcPr>
                <w:p w14:paraId="32083DCF">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bCs/>
                      <w:color w:val="auto"/>
                      <w:sz w:val="21"/>
                      <w:highlight w:val="none"/>
                      <w:lang w:eastAsia="zh-CN"/>
                    </w:rPr>
                  </w:pPr>
                  <w:r>
                    <w:rPr>
                      <w:rFonts w:hint="default" w:ascii="Times New Roman" w:hAnsi="Times New Roman" w:cs="Times New Roman" w:eastAsiaTheme="minorEastAsia"/>
                      <w:b/>
                      <w:bCs/>
                      <w:color w:val="auto"/>
                      <w:sz w:val="21"/>
                      <w:highlight w:val="none"/>
                      <w:lang w:eastAsia="zh-CN"/>
                    </w:rPr>
                    <w:t>序号</w:t>
                  </w:r>
                </w:p>
              </w:tc>
              <w:tc>
                <w:tcPr>
                  <w:tcW w:w="3423" w:type="dxa"/>
                  <w:vMerge w:val="restart"/>
                  <w:noWrap w:val="0"/>
                  <w:vAlign w:val="center"/>
                </w:tcPr>
                <w:p w14:paraId="09558E60">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bCs/>
                      <w:color w:val="auto"/>
                      <w:sz w:val="21"/>
                      <w:highlight w:val="none"/>
                      <w:lang w:eastAsia="zh-CN"/>
                    </w:rPr>
                  </w:pPr>
                  <w:r>
                    <w:rPr>
                      <w:rFonts w:hint="default" w:ascii="Times New Roman" w:hAnsi="Times New Roman" w:cs="Times New Roman" w:eastAsiaTheme="minorEastAsia"/>
                      <w:b/>
                      <w:bCs/>
                      <w:color w:val="auto"/>
                      <w:sz w:val="21"/>
                      <w:highlight w:val="none"/>
                      <w:lang w:eastAsia="zh-CN"/>
                    </w:rPr>
                    <w:t>项目</w:t>
                  </w:r>
                </w:p>
              </w:tc>
              <w:tc>
                <w:tcPr>
                  <w:tcW w:w="3336" w:type="dxa"/>
                  <w:gridSpan w:val="2"/>
                  <w:noWrap w:val="0"/>
                  <w:vAlign w:val="center"/>
                </w:tcPr>
                <w:p w14:paraId="18C4BE17">
                  <w:pPr>
                    <w:keepNext w:val="0"/>
                    <w:keepLines w:val="0"/>
                    <w:pageBreakBefore w:val="0"/>
                    <w:widowControl w:val="0"/>
                    <w:tabs>
                      <w:tab w:val="center" w:pos="526"/>
                    </w:tabs>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bCs/>
                      <w:color w:val="auto"/>
                      <w:sz w:val="21"/>
                      <w:highlight w:val="none"/>
                      <w:lang w:val="en-US" w:eastAsia="zh-CN"/>
                    </w:rPr>
                  </w:pPr>
                  <w:r>
                    <w:rPr>
                      <w:rFonts w:hint="eastAsia" w:cs="Times New Roman" w:eastAsiaTheme="minorEastAsia"/>
                      <w:b/>
                      <w:bCs/>
                      <w:color w:val="auto"/>
                      <w:sz w:val="21"/>
                      <w:highlight w:val="none"/>
                      <w:lang w:val="en-US" w:eastAsia="zh-CN"/>
                    </w:rPr>
                    <w:t>剂型</w:t>
                  </w:r>
                </w:p>
              </w:tc>
              <w:tc>
                <w:tcPr>
                  <w:tcW w:w="1164" w:type="dxa"/>
                  <w:vMerge w:val="restart"/>
                  <w:noWrap w:val="0"/>
                  <w:vAlign w:val="center"/>
                </w:tcPr>
                <w:p w14:paraId="60C09B94">
                  <w:pPr>
                    <w:keepNext w:val="0"/>
                    <w:keepLines w:val="0"/>
                    <w:pageBreakBefore w:val="0"/>
                    <w:widowControl w:val="0"/>
                    <w:tabs>
                      <w:tab w:val="center" w:pos="526"/>
                    </w:tabs>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bCs/>
                      <w:color w:val="auto"/>
                      <w:sz w:val="21"/>
                      <w:highlight w:val="none"/>
                      <w:lang w:val="en-US" w:eastAsia="zh-CN"/>
                    </w:rPr>
                  </w:pPr>
                  <w:r>
                    <w:rPr>
                      <w:rFonts w:hint="eastAsia" w:cs="Times New Roman" w:eastAsiaTheme="minorEastAsia"/>
                      <w:b/>
                      <w:bCs/>
                      <w:color w:val="auto"/>
                      <w:sz w:val="21"/>
                      <w:highlight w:val="none"/>
                      <w:lang w:val="en-US" w:eastAsia="zh-CN"/>
                    </w:rPr>
                    <w:t>备注</w:t>
                  </w:r>
                </w:p>
              </w:tc>
            </w:tr>
            <w:tr w14:paraId="16F1A83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85" w:type="dxa"/>
                  <w:vMerge w:val="continue"/>
                  <w:noWrap w:val="0"/>
                  <w:vAlign w:val="center"/>
                </w:tcPr>
                <w:p w14:paraId="1B491A4A">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bCs/>
                      <w:color w:val="auto"/>
                      <w:sz w:val="21"/>
                      <w:highlight w:val="none"/>
                      <w:lang w:eastAsia="zh-CN"/>
                    </w:rPr>
                  </w:pPr>
                </w:p>
              </w:tc>
              <w:tc>
                <w:tcPr>
                  <w:tcW w:w="3423" w:type="dxa"/>
                  <w:vMerge w:val="continue"/>
                  <w:noWrap w:val="0"/>
                  <w:vAlign w:val="center"/>
                </w:tcPr>
                <w:p w14:paraId="6DE4B4C8">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bCs/>
                      <w:color w:val="auto"/>
                      <w:sz w:val="21"/>
                      <w:highlight w:val="none"/>
                      <w:lang w:eastAsia="zh-CN"/>
                    </w:rPr>
                  </w:pPr>
                </w:p>
              </w:tc>
              <w:tc>
                <w:tcPr>
                  <w:tcW w:w="1668" w:type="dxa"/>
                  <w:noWrap w:val="0"/>
                  <w:vAlign w:val="center"/>
                </w:tcPr>
                <w:p w14:paraId="5EEC3E20">
                  <w:pPr>
                    <w:keepNext w:val="0"/>
                    <w:keepLines w:val="0"/>
                    <w:pageBreakBefore w:val="0"/>
                    <w:widowControl w:val="0"/>
                    <w:tabs>
                      <w:tab w:val="center" w:pos="526"/>
                    </w:tabs>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bCs/>
                      <w:color w:val="auto"/>
                      <w:sz w:val="21"/>
                      <w:highlight w:val="none"/>
                      <w:lang w:val="en-US" w:eastAsia="zh-CN"/>
                    </w:rPr>
                  </w:pPr>
                  <w:r>
                    <w:rPr>
                      <w:rFonts w:hint="eastAsia" w:cs="Times New Roman" w:eastAsiaTheme="minorEastAsia"/>
                      <w:b/>
                      <w:bCs/>
                      <w:color w:val="auto"/>
                      <w:sz w:val="21"/>
                      <w:highlight w:val="none"/>
                      <w:lang w:val="en-US" w:eastAsia="zh-CN"/>
                    </w:rPr>
                    <w:t>液体</w:t>
                  </w:r>
                </w:p>
              </w:tc>
              <w:tc>
                <w:tcPr>
                  <w:tcW w:w="1668" w:type="dxa"/>
                  <w:noWrap w:val="0"/>
                  <w:vAlign w:val="center"/>
                </w:tcPr>
                <w:p w14:paraId="06745A36">
                  <w:pPr>
                    <w:keepNext w:val="0"/>
                    <w:keepLines w:val="0"/>
                    <w:pageBreakBefore w:val="0"/>
                    <w:widowControl w:val="0"/>
                    <w:tabs>
                      <w:tab w:val="center" w:pos="526"/>
                    </w:tabs>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bCs/>
                      <w:color w:val="auto"/>
                      <w:sz w:val="21"/>
                      <w:highlight w:val="none"/>
                      <w:lang w:val="en-US" w:eastAsia="zh-CN"/>
                    </w:rPr>
                  </w:pPr>
                  <w:r>
                    <w:rPr>
                      <w:rFonts w:hint="eastAsia" w:cs="Times New Roman" w:eastAsiaTheme="minorEastAsia"/>
                      <w:b/>
                      <w:bCs/>
                      <w:color w:val="auto"/>
                      <w:sz w:val="21"/>
                      <w:highlight w:val="none"/>
                      <w:lang w:val="en-US" w:eastAsia="zh-CN"/>
                    </w:rPr>
                    <w:t>固体</w:t>
                  </w:r>
                </w:p>
              </w:tc>
              <w:tc>
                <w:tcPr>
                  <w:tcW w:w="1164" w:type="dxa"/>
                  <w:vMerge w:val="continue"/>
                  <w:noWrap w:val="0"/>
                  <w:vAlign w:val="center"/>
                </w:tcPr>
                <w:p w14:paraId="6524DA40">
                  <w:pPr>
                    <w:keepNext w:val="0"/>
                    <w:keepLines w:val="0"/>
                    <w:pageBreakBefore w:val="0"/>
                    <w:widowControl w:val="0"/>
                    <w:tabs>
                      <w:tab w:val="center" w:pos="526"/>
                    </w:tabs>
                    <w:kinsoku/>
                    <w:wordWrap/>
                    <w:overflowPunct/>
                    <w:topLinePunct w:val="0"/>
                    <w:autoSpaceDE/>
                    <w:autoSpaceDN/>
                    <w:bidi w:val="0"/>
                    <w:adjustRightInd/>
                    <w:snapToGrid/>
                    <w:spacing w:line="320" w:lineRule="exact"/>
                    <w:ind w:firstLine="0" w:firstLineChars="0"/>
                    <w:jc w:val="center"/>
                    <w:textAlignment w:val="auto"/>
                    <w:rPr>
                      <w:rFonts w:hint="eastAsia" w:cs="Times New Roman" w:eastAsiaTheme="minorEastAsia"/>
                      <w:b/>
                      <w:bCs/>
                      <w:color w:val="auto"/>
                      <w:sz w:val="21"/>
                      <w:highlight w:val="none"/>
                      <w:lang w:val="en-US" w:eastAsia="zh-CN"/>
                    </w:rPr>
                  </w:pPr>
                </w:p>
              </w:tc>
            </w:tr>
            <w:tr w14:paraId="639A918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85" w:type="dxa"/>
                  <w:noWrap w:val="0"/>
                  <w:vAlign w:val="center"/>
                </w:tcPr>
                <w:p w14:paraId="4E5C232E">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r>
                    <w:rPr>
                      <w:rFonts w:hint="default" w:ascii="Times New Roman" w:hAnsi="Times New Roman" w:cs="Times New Roman" w:eastAsiaTheme="minorEastAsia"/>
                      <w:color w:val="auto"/>
                      <w:sz w:val="21"/>
                      <w:highlight w:val="none"/>
                      <w:lang w:val="en-US" w:eastAsia="zh-CN"/>
                    </w:rPr>
                    <w:t>1</w:t>
                  </w:r>
                </w:p>
              </w:tc>
              <w:tc>
                <w:tcPr>
                  <w:tcW w:w="3423" w:type="dxa"/>
                  <w:shd w:val="clear" w:color="auto" w:fill="auto"/>
                  <w:noWrap w:val="0"/>
                  <w:vAlign w:val="center"/>
                </w:tcPr>
                <w:p w14:paraId="583CF271">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eastAsia" w:cs="Times New Roman" w:eastAsiaTheme="minorEastAsia"/>
                      <w:color w:val="auto"/>
                      <w:sz w:val="21"/>
                      <w:highlight w:val="none"/>
                      <w:lang w:val="en-US" w:eastAsia="zh-CN"/>
                    </w:rPr>
                    <w:t>酸碱度（pH）</w:t>
                  </w:r>
                </w:p>
              </w:tc>
              <w:tc>
                <w:tcPr>
                  <w:tcW w:w="1668" w:type="dxa"/>
                  <w:shd w:val="clear" w:color="auto" w:fill="auto"/>
                  <w:noWrap w:val="0"/>
                  <w:vAlign w:val="center"/>
                </w:tcPr>
                <w:p w14:paraId="3082FA97">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eastAsia" w:cs="Times New Roman" w:eastAsiaTheme="minorEastAsia"/>
                      <w:color w:val="auto"/>
                      <w:kern w:val="2"/>
                      <w:sz w:val="21"/>
                      <w:szCs w:val="24"/>
                      <w:highlight w:val="none"/>
                      <w:lang w:val="en-US" w:eastAsia="zh-CN" w:bidi="ar-SA"/>
                    </w:rPr>
                    <w:t>5.5-8.5</w:t>
                  </w:r>
                </w:p>
              </w:tc>
              <w:tc>
                <w:tcPr>
                  <w:tcW w:w="1668" w:type="dxa"/>
                  <w:shd w:val="clear" w:color="auto" w:fill="auto"/>
                  <w:noWrap w:val="0"/>
                  <w:vAlign w:val="center"/>
                </w:tcPr>
                <w:p w14:paraId="649B8F55">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eastAsia" w:cs="Times New Roman" w:eastAsiaTheme="minorEastAsia"/>
                      <w:color w:val="auto"/>
                      <w:kern w:val="2"/>
                      <w:sz w:val="21"/>
                      <w:szCs w:val="24"/>
                      <w:highlight w:val="none"/>
                      <w:lang w:val="en-US" w:eastAsia="zh-CN" w:bidi="ar-SA"/>
                    </w:rPr>
                    <w:t>5.5-8.5</w:t>
                  </w:r>
                </w:p>
              </w:tc>
              <w:tc>
                <w:tcPr>
                  <w:tcW w:w="1164" w:type="dxa"/>
                  <w:vMerge w:val="restart"/>
                  <w:noWrap w:val="0"/>
                  <w:vAlign w:val="center"/>
                </w:tcPr>
                <w:p w14:paraId="2E752FB1">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r>
                    <w:rPr>
                      <w:rFonts w:hint="default" w:ascii="Times New Roman" w:hAnsi="Times New Roman" w:cs="Times New Roman" w:eastAsiaTheme="minorEastAsia"/>
                      <w:color w:val="auto"/>
                      <w:sz w:val="21"/>
                      <w:highlight w:val="none"/>
                      <w:lang w:val="en-US" w:eastAsia="zh-CN"/>
                    </w:rPr>
                    <w:t>厂内检验</w:t>
                  </w:r>
                </w:p>
              </w:tc>
            </w:tr>
            <w:tr w14:paraId="04721B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85" w:type="dxa"/>
                  <w:noWrap w:val="0"/>
                  <w:vAlign w:val="center"/>
                </w:tcPr>
                <w:p w14:paraId="027DD92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r>
                    <w:rPr>
                      <w:rFonts w:hint="eastAsia" w:cs="Times New Roman" w:eastAsiaTheme="minorEastAsia"/>
                      <w:color w:val="auto"/>
                      <w:sz w:val="21"/>
                      <w:highlight w:val="none"/>
                      <w:lang w:val="en-US" w:eastAsia="zh-CN"/>
                    </w:rPr>
                    <w:t>2</w:t>
                  </w:r>
                </w:p>
              </w:tc>
              <w:tc>
                <w:tcPr>
                  <w:tcW w:w="3423" w:type="dxa"/>
                  <w:shd w:val="clear" w:color="auto" w:fill="auto"/>
                  <w:noWrap w:val="0"/>
                  <w:vAlign w:val="center"/>
                </w:tcPr>
                <w:p w14:paraId="3B02FE71">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kern w:val="2"/>
                      <w:sz w:val="21"/>
                      <w:szCs w:val="24"/>
                      <w:highlight w:val="none"/>
                      <w:lang w:val="en-US" w:eastAsia="zh-CN" w:bidi="ar-SA"/>
                    </w:rPr>
                    <w:t>杂菌率，%</w:t>
                  </w:r>
                </w:p>
              </w:tc>
              <w:tc>
                <w:tcPr>
                  <w:tcW w:w="1668" w:type="dxa"/>
                  <w:shd w:val="clear" w:color="auto" w:fill="auto"/>
                  <w:noWrap w:val="0"/>
                  <w:vAlign w:val="center"/>
                </w:tcPr>
                <w:p w14:paraId="2BE39C70">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eastAsia" w:cs="Times New Roman" w:eastAsiaTheme="minorEastAsia"/>
                      <w:color w:val="auto"/>
                      <w:kern w:val="2"/>
                      <w:sz w:val="21"/>
                      <w:szCs w:val="24"/>
                      <w:highlight w:val="none"/>
                      <w:lang w:val="en-US" w:eastAsia="zh-CN" w:bidi="ar-SA"/>
                    </w:rPr>
                    <w:t>≤15.0</w:t>
                  </w:r>
                </w:p>
              </w:tc>
              <w:tc>
                <w:tcPr>
                  <w:tcW w:w="1668" w:type="dxa"/>
                  <w:shd w:val="clear" w:color="auto" w:fill="auto"/>
                  <w:noWrap w:val="0"/>
                  <w:vAlign w:val="center"/>
                </w:tcPr>
                <w:p w14:paraId="17B58F1C">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eastAsia" w:cs="Times New Roman" w:eastAsiaTheme="minorEastAsia"/>
                      <w:color w:val="auto"/>
                      <w:kern w:val="2"/>
                      <w:sz w:val="21"/>
                      <w:szCs w:val="24"/>
                      <w:highlight w:val="none"/>
                      <w:lang w:val="en-US" w:eastAsia="zh-CN" w:bidi="ar-SA"/>
                    </w:rPr>
                    <w:t>≤30.0</w:t>
                  </w:r>
                </w:p>
              </w:tc>
              <w:tc>
                <w:tcPr>
                  <w:tcW w:w="1164" w:type="dxa"/>
                  <w:vMerge w:val="continue"/>
                  <w:noWrap w:val="0"/>
                  <w:vAlign w:val="center"/>
                </w:tcPr>
                <w:p w14:paraId="47C49EDC">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p>
              </w:tc>
            </w:tr>
            <w:tr w14:paraId="34DB63C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85" w:type="dxa"/>
                  <w:noWrap w:val="0"/>
                  <w:vAlign w:val="center"/>
                </w:tcPr>
                <w:p w14:paraId="35D54692">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r>
                    <w:rPr>
                      <w:rFonts w:hint="eastAsia" w:cs="Times New Roman" w:eastAsiaTheme="minorEastAsia"/>
                      <w:color w:val="auto"/>
                      <w:sz w:val="21"/>
                      <w:highlight w:val="none"/>
                      <w:lang w:val="en-US" w:eastAsia="zh-CN"/>
                    </w:rPr>
                    <w:t>3</w:t>
                  </w:r>
                </w:p>
              </w:tc>
              <w:tc>
                <w:tcPr>
                  <w:tcW w:w="3423" w:type="dxa"/>
                  <w:shd w:val="clear" w:color="auto" w:fill="auto"/>
                  <w:noWrap w:val="0"/>
                  <w:vAlign w:val="center"/>
                </w:tcPr>
                <w:p w14:paraId="44366CF2">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kern w:val="2"/>
                      <w:sz w:val="21"/>
                      <w:szCs w:val="24"/>
                      <w:highlight w:val="none"/>
                      <w:lang w:val="en-US" w:eastAsia="zh-CN" w:bidi="ar-SA"/>
                    </w:rPr>
                    <w:t>水分，%</w:t>
                  </w:r>
                </w:p>
              </w:tc>
              <w:tc>
                <w:tcPr>
                  <w:tcW w:w="1668" w:type="dxa"/>
                  <w:shd w:val="clear" w:color="auto" w:fill="auto"/>
                  <w:noWrap w:val="0"/>
                  <w:vAlign w:val="center"/>
                </w:tcPr>
                <w:p w14:paraId="3DE412B4">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eastAsia" w:cs="Times New Roman" w:eastAsiaTheme="minorEastAsia"/>
                      <w:color w:val="auto"/>
                      <w:kern w:val="2"/>
                      <w:sz w:val="21"/>
                      <w:szCs w:val="24"/>
                      <w:highlight w:val="none"/>
                      <w:lang w:val="en-US" w:eastAsia="zh-CN" w:bidi="ar-SA"/>
                    </w:rPr>
                    <w:t>-</w:t>
                  </w:r>
                </w:p>
              </w:tc>
              <w:tc>
                <w:tcPr>
                  <w:tcW w:w="1668" w:type="dxa"/>
                  <w:shd w:val="clear" w:color="auto" w:fill="auto"/>
                  <w:noWrap w:val="0"/>
                  <w:vAlign w:val="center"/>
                </w:tcPr>
                <w:p w14:paraId="07D85E06">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eastAsia" w:cs="Times New Roman" w:eastAsiaTheme="minorEastAsia"/>
                      <w:color w:val="auto"/>
                      <w:kern w:val="2"/>
                      <w:sz w:val="21"/>
                      <w:szCs w:val="24"/>
                      <w:highlight w:val="none"/>
                      <w:lang w:val="en-US" w:eastAsia="zh-CN" w:bidi="ar-SA"/>
                    </w:rPr>
                    <w:t>≤30.0</w:t>
                  </w:r>
                </w:p>
              </w:tc>
              <w:tc>
                <w:tcPr>
                  <w:tcW w:w="1164" w:type="dxa"/>
                  <w:vMerge w:val="continue"/>
                  <w:noWrap w:val="0"/>
                  <w:vAlign w:val="center"/>
                </w:tcPr>
                <w:p w14:paraId="4D314F09">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p>
              </w:tc>
            </w:tr>
            <w:tr w14:paraId="741CC45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85" w:type="dxa"/>
                  <w:noWrap w:val="0"/>
                  <w:vAlign w:val="center"/>
                </w:tcPr>
                <w:p w14:paraId="083E422F">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r>
                    <w:rPr>
                      <w:rFonts w:hint="eastAsia" w:cs="Times New Roman" w:eastAsiaTheme="minorEastAsia"/>
                      <w:color w:val="auto"/>
                      <w:sz w:val="21"/>
                      <w:highlight w:val="none"/>
                      <w:lang w:val="en-US" w:eastAsia="zh-CN"/>
                    </w:rPr>
                    <w:t>4</w:t>
                  </w:r>
                </w:p>
              </w:tc>
              <w:tc>
                <w:tcPr>
                  <w:tcW w:w="3423" w:type="dxa"/>
                  <w:shd w:val="clear" w:color="auto" w:fill="auto"/>
                  <w:noWrap w:val="0"/>
                  <w:vAlign w:val="center"/>
                </w:tcPr>
                <w:p w14:paraId="081317FB">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sz w:val="21"/>
                      <w:highlight w:val="none"/>
                      <w:lang w:val="en-US" w:eastAsia="zh-CN"/>
                    </w:rPr>
                    <w:t>有机质（以烘干基计），%</w:t>
                  </w:r>
                </w:p>
              </w:tc>
              <w:tc>
                <w:tcPr>
                  <w:tcW w:w="1668" w:type="dxa"/>
                  <w:shd w:val="clear" w:color="auto" w:fill="auto"/>
                  <w:noWrap w:val="0"/>
                  <w:vAlign w:val="center"/>
                </w:tcPr>
                <w:p w14:paraId="71A69D41">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eastAsia" w:cs="Times New Roman" w:eastAsiaTheme="minorEastAsia"/>
                      <w:color w:val="auto"/>
                      <w:kern w:val="2"/>
                      <w:sz w:val="21"/>
                      <w:szCs w:val="24"/>
                      <w:highlight w:val="none"/>
                      <w:lang w:val="en-US" w:eastAsia="zh-CN" w:bidi="ar-SA"/>
                    </w:rPr>
                    <w:t>-</w:t>
                  </w:r>
                </w:p>
              </w:tc>
              <w:tc>
                <w:tcPr>
                  <w:tcW w:w="1668" w:type="dxa"/>
                  <w:shd w:val="clear" w:color="auto" w:fill="auto"/>
                  <w:noWrap w:val="0"/>
                  <w:vAlign w:val="center"/>
                </w:tcPr>
                <w:p w14:paraId="5231B893">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eastAsia" w:cs="Times New Roman" w:eastAsiaTheme="minorEastAsia"/>
                      <w:color w:val="auto"/>
                      <w:kern w:val="2"/>
                      <w:sz w:val="21"/>
                      <w:szCs w:val="24"/>
                      <w:highlight w:val="none"/>
                      <w:lang w:val="en-US" w:eastAsia="zh-CN" w:bidi="ar-SA"/>
                    </w:rPr>
                    <w:t>≥20</w:t>
                  </w:r>
                </w:p>
              </w:tc>
              <w:tc>
                <w:tcPr>
                  <w:tcW w:w="1164" w:type="dxa"/>
                  <w:vMerge w:val="restart"/>
                  <w:noWrap w:val="0"/>
                  <w:vAlign w:val="center"/>
                </w:tcPr>
                <w:p w14:paraId="7B2B1868">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r>
                    <w:rPr>
                      <w:rFonts w:hint="default" w:ascii="Times New Roman" w:hAnsi="Times New Roman" w:cs="Times New Roman" w:eastAsiaTheme="minorEastAsia"/>
                      <w:color w:val="auto"/>
                      <w:sz w:val="21"/>
                      <w:highlight w:val="none"/>
                      <w:lang w:val="en-US" w:eastAsia="zh-CN"/>
                    </w:rPr>
                    <w:t>外委检验</w:t>
                  </w:r>
                </w:p>
              </w:tc>
            </w:tr>
            <w:tr w14:paraId="54D905C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85" w:type="dxa"/>
                  <w:shd w:val="clear" w:color="auto" w:fill="auto"/>
                  <w:noWrap w:val="0"/>
                  <w:vAlign w:val="center"/>
                </w:tcPr>
                <w:p w14:paraId="327C41EC">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eastAsia" w:cs="Times New Roman" w:eastAsiaTheme="minorEastAsia"/>
                      <w:color w:val="auto"/>
                      <w:kern w:val="2"/>
                      <w:sz w:val="21"/>
                      <w:szCs w:val="24"/>
                      <w:highlight w:val="none"/>
                      <w:lang w:val="en-US" w:eastAsia="zh-CN" w:bidi="ar-SA"/>
                    </w:rPr>
                    <w:t>5</w:t>
                  </w:r>
                </w:p>
              </w:tc>
              <w:tc>
                <w:tcPr>
                  <w:tcW w:w="3423" w:type="dxa"/>
                  <w:shd w:val="clear" w:color="auto" w:fill="auto"/>
                  <w:noWrap w:val="0"/>
                  <w:vAlign w:val="center"/>
                </w:tcPr>
                <w:p w14:paraId="270B0BF4">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sz w:val="21"/>
                      <w:szCs w:val="24"/>
                      <w:highlight w:val="none"/>
                    </w:rPr>
                    <w:t>总养分（</w:t>
                  </w:r>
                  <w:r>
                    <w:rPr>
                      <w:rFonts w:hint="default" w:ascii="Times New Roman" w:hAnsi="Times New Roman" w:cs="Times New Roman" w:eastAsiaTheme="minorEastAsia"/>
                      <w:color w:val="auto"/>
                      <w:sz w:val="21"/>
                      <w:szCs w:val="24"/>
                      <w:highlight w:val="none"/>
                      <w:lang w:val="en-US" w:eastAsia="zh-CN"/>
                    </w:rPr>
                    <w:t>N</w:t>
                  </w:r>
                  <w:r>
                    <w:rPr>
                      <w:rFonts w:hint="default" w:ascii="Times New Roman" w:hAnsi="Times New Roman" w:cs="Times New Roman" w:eastAsiaTheme="minorEastAsia"/>
                      <w:color w:val="auto"/>
                      <w:sz w:val="21"/>
                      <w:szCs w:val="24"/>
                      <w:highlight w:val="none"/>
                    </w:rPr>
                    <w:t>+</w:t>
                  </w:r>
                  <w:r>
                    <w:rPr>
                      <w:rFonts w:hint="default" w:ascii="Times New Roman" w:hAnsi="Times New Roman" w:cs="Times New Roman" w:eastAsiaTheme="minorEastAsia"/>
                      <w:color w:val="auto"/>
                      <w:sz w:val="21"/>
                      <w:szCs w:val="24"/>
                      <w:highlight w:val="none"/>
                      <w:lang w:val="en-US" w:eastAsia="zh-CN"/>
                    </w:rPr>
                    <w:t>P</w:t>
                  </w:r>
                  <w:r>
                    <w:rPr>
                      <w:rFonts w:hint="default" w:ascii="Times New Roman" w:hAnsi="Times New Roman" w:cs="Times New Roman" w:eastAsiaTheme="minorEastAsia"/>
                      <w:color w:val="auto"/>
                      <w:sz w:val="21"/>
                      <w:szCs w:val="24"/>
                      <w:highlight w:val="none"/>
                      <w:vertAlign w:val="subscript"/>
                      <w:lang w:val="en-US" w:eastAsia="zh-CN"/>
                    </w:rPr>
                    <w:t>2</w:t>
                  </w:r>
                  <w:r>
                    <w:rPr>
                      <w:rFonts w:hint="default" w:ascii="Times New Roman" w:hAnsi="Times New Roman" w:cs="Times New Roman" w:eastAsiaTheme="minorEastAsia"/>
                      <w:color w:val="auto"/>
                      <w:sz w:val="21"/>
                      <w:szCs w:val="24"/>
                      <w:highlight w:val="none"/>
                      <w:lang w:val="en-US" w:eastAsia="zh-CN"/>
                    </w:rPr>
                    <w:t>O</w:t>
                  </w:r>
                  <w:r>
                    <w:rPr>
                      <w:rFonts w:hint="default" w:ascii="Times New Roman" w:hAnsi="Times New Roman" w:cs="Times New Roman" w:eastAsiaTheme="minorEastAsia"/>
                      <w:color w:val="auto"/>
                      <w:sz w:val="21"/>
                      <w:szCs w:val="24"/>
                      <w:highlight w:val="none"/>
                      <w:vertAlign w:val="subscript"/>
                      <w:lang w:val="en-US" w:eastAsia="zh-CN"/>
                    </w:rPr>
                    <w:t>5</w:t>
                  </w:r>
                  <w:r>
                    <w:rPr>
                      <w:rFonts w:hint="default" w:ascii="Times New Roman" w:hAnsi="Times New Roman" w:cs="Times New Roman" w:eastAsiaTheme="minorEastAsia"/>
                      <w:color w:val="auto"/>
                      <w:sz w:val="21"/>
                      <w:szCs w:val="24"/>
                      <w:highlight w:val="none"/>
                    </w:rPr>
                    <w:t>+</w:t>
                  </w:r>
                  <w:r>
                    <w:rPr>
                      <w:rFonts w:hint="default" w:ascii="Times New Roman" w:hAnsi="Times New Roman" w:cs="Times New Roman" w:eastAsiaTheme="minorEastAsia"/>
                      <w:color w:val="auto"/>
                      <w:sz w:val="21"/>
                      <w:szCs w:val="24"/>
                      <w:highlight w:val="none"/>
                      <w:lang w:val="en-US" w:eastAsia="zh-CN"/>
                    </w:rPr>
                    <w:t>K</w:t>
                  </w:r>
                  <w:r>
                    <w:rPr>
                      <w:rFonts w:hint="default" w:ascii="Times New Roman" w:hAnsi="Times New Roman" w:cs="Times New Roman" w:eastAsiaTheme="minorEastAsia"/>
                      <w:color w:val="auto"/>
                      <w:sz w:val="21"/>
                      <w:szCs w:val="24"/>
                      <w:highlight w:val="none"/>
                      <w:vertAlign w:val="subscript"/>
                      <w:lang w:val="en-US" w:eastAsia="zh-CN"/>
                    </w:rPr>
                    <w:t>2</w:t>
                  </w:r>
                  <w:r>
                    <w:rPr>
                      <w:rFonts w:hint="default" w:ascii="Times New Roman" w:hAnsi="Times New Roman" w:cs="Times New Roman" w:eastAsiaTheme="minorEastAsia"/>
                      <w:color w:val="auto"/>
                      <w:sz w:val="21"/>
                      <w:szCs w:val="24"/>
                      <w:highlight w:val="none"/>
                      <w:lang w:val="en-US" w:eastAsia="zh-CN"/>
                    </w:rPr>
                    <w:t>O</w:t>
                  </w:r>
                  <w:r>
                    <w:rPr>
                      <w:rFonts w:hint="default" w:ascii="Times New Roman" w:hAnsi="Times New Roman" w:cs="Times New Roman" w:eastAsiaTheme="minorEastAsia"/>
                      <w:color w:val="auto"/>
                      <w:sz w:val="21"/>
                      <w:szCs w:val="24"/>
                      <w:highlight w:val="none"/>
                    </w:rPr>
                    <w:t>）</w:t>
                  </w:r>
                  <w:r>
                    <w:rPr>
                      <w:rFonts w:hint="eastAsia" w:cs="Times New Roman" w:eastAsiaTheme="minorEastAsia"/>
                      <w:color w:val="auto"/>
                      <w:sz w:val="21"/>
                      <w:szCs w:val="24"/>
                      <w:highlight w:val="none"/>
                      <w:lang w:eastAsia="zh-CN"/>
                    </w:rPr>
                    <w:t>，</w:t>
                  </w:r>
                  <w:r>
                    <w:rPr>
                      <w:rFonts w:hint="eastAsia" w:cs="Times New Roman" w:eastAsiaTheme="minorEastAsia"/>
                      <w:color w:val="auto"/>
                      <w:sz w:val="21"/>
                      <w:szCs w:val="24"/>
                      <w:highlight w:val="none"/>
                      <w:lang w:val="en-US" w:eastAsia="zh-CN"/>
                    </w:rPr>
                    <w:t>%</w:t>
                  </w:r>
                </w:p>
              </w:tc>
              <w:tc>
                <w:tcPr>
                  <w:tcW w:w="1668" w:type="dxa"/>
                  <w:shd w:val="clear" w:color="auto" w:fill="auto"/>
                  <w:noWrap w:val="0"/>
                  <w:vAlign w:val="center"/>
                </w:tcPr>
                <w:p w14:paraId="7D45FC9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eastAsia" w:cs="Times New Roman" w:eastAsiaTheme="minorEastAsia"/>
                      <w:color w:val="auto"/>
                      <w:kern w:val="2"/>
                      <w:sz w:val="21"/>
                      <w:szCs w:val="24"/>
                      <w:highlight w:val="none"/>
                      <w:lang w:val="en-US" w:eastAsia="zh-CN" w:bidi="ar-SA"/>
                    </w:rPr>
                    <w:t>6-20</w:t>
                  </w:r>
                </w:p>
              </w:tc>
              <w:tc>
                <w:tcPr>
                  <w:tcW w:w="1668" w:type="dxa"/>
                  <w:shd w:val="clear" w:color="auto" w:fill="auto"/>
                  <w:noWrap w:val="0"/>
                  <w:vAlign w:val="center"/>
                </w:tcPr>
                <w:p w14:paraId="2909A73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eastAsia" w:cs="Times New Roman" w:eastAsiaTheme="minorEastAsia"/>
                      <w:color w:val="auto"/>
                      <w:kern w:val="2"/>
                      <w:sz w:val="21"/>
                      <w:szCs w:val="24"/>
                      <w:highlight w:val="none"/>
                      <w:lang w:val="en-US" w:eastAsia="zh-CN" w:bidi="ar-SA"/>
                    </w:rPr>
                    <w:t>8-25</w:t>
                  </w:r>
                </w:p>
              </w:tc>
              <w:tc>
                <w:tcPr>
                  <w:tcW w:w="1164" w:type="dxa"/>
                  <w:vMerge w:val="continue"/>
                  <w:noWrap w:val="0"/>
                  <w:vAlign w:val="center"/>
                </w:tcPr>
                <w:p w14:paraId="2E4A4FA4">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p>
              </w:tc>
            </w:tr>
            <w:tr w14:paraId="569B68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85" w:type="dxa"/>
                  <w:noWrap w:val="0"/>
                  <w:vAlign w:val="center"/>
                </w:tcPr>
                <w:p w14:paraId="3B204C01">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r>
                    <w:rPr>
                      <w:rFonts w:hint="eastAsia" w:cs="Times New Roman" w:eastAsiaTheme="minorEastAsia"/>
                      <w:color w:val="auto"/>
                      <w:kern w:val="2"/>
                      <w:sz w:val="21"/>
                      <w:szCs w:val="24"/>
                      <w:highlight w:val="none"/>
                      <w:lang w:val="en-US" w:eastAsia="zh-CN" w:bidi="ar-SA"/>
                    </w:rPr>
                    <w:t>6</w:t>
                  </w:r>
                </w:p>
              </w:tc>
              <w:tc>
                <w:tcPr>
                  <w:tcW w:w="3423" w:type="dxa"/>
                  <w:shd w:val="clear" w:color="auto" w:fill="auto"/>
                  <w:noWrap w:val="0"/>
                  <w:vAlign w:val="center"/>
                </w:tcPr>
                <w:p w14:paraId="66355885">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sz w:val="21"/>
                      <w:highlight w:val="none"/>
                      <w:lang w:val="en-US" w:eastAsia="zh-CN"/>
                    </w:rPr>
                    <w:t>有效活菌数(cfu)</w:t>
                  </w:r>
                  <w:r>
                    <w:rPr>
                      <w:rFonts w:hint="default" w:ascii="Times New Roman" w:hAnsi="Times New Roman" w:cs="Times New Roman" w:eastAsiaTheme="minorEastAsia"/>
                      <w:color w:val="auto"/>
                      <w:sz w:val="21"/>
                      <w:highlight w:val="none"/>
                      <w:vertAlign w:val="superscript"/>
                      <w:lang w:val="en-US" w:eastAsia="zh-CN"/>
                    </w:rPr>
                    <w:t>a</w:t>
                  </w:r>
                  <w:r>
                    <w:rPr>
                      <w:rFonts w:hint="default" w:ascii="Times New Roman" w:hAnsi="Times New Roman" w:cs="Times New Roman" w:eastAsiaTheme="minorEastAsia"/>
                      <w:color w:val="auto"/>
                      <w:sz w:val="21"/>
                      <w:highlight w:val="none"/>
                      <w:lang w:val="en-US" w:eastAsia="zh-CN"/>
                    </w:rPr>
                    <w:t>，亿/g(mL)</w:t>
                  </w:r>
                </w:p>
              </w:tc>
              <w:tc>
                <w:tcPr>
                  <w:tcW w:w="1668" w:type="dxa"/>
                  <w:shd w:val="clear" w:color="auto" w:fill="auto"/>
                  <w:noWrap w:val="0"/>
                  <w:vAlign w:val="center"/>
                </w:tcPr>
                <w:p w14:paraId="01B21EE5">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eastAsia" w:cs="Times New Roman" w:eastAsiaTheme="minorEastAsia"/>
                      <w:color w:val="auto"/>
                      <w:sz w:val="21"/>
                      <w:highlight w:val="none"/>
                      <w:lang w:val="en-US" w:eastAsia="zh-CN"/>
                    </w:rPr>
                    <w:t>≥0.50</w:t>
                  </w:r>
                </w:p>
              </w:tc>
              <w:tc>
                <w:tcPr>
                  <w:tcW w:w="1668" w:type="dxa"/>
                  <w:shd w:val="clear" w:color="auto" w:fill="auto"/>
                  <w:noWrap w:val="0"/>
                  <w:vAlign w:val="center"/>
                </w:tcPr>
                <w:p w14:paraId="0BB2B124">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eastAsia" w:cs="Times New Roman" w:eastAsiaTheme="minorEastAsia"/>
                      <w:color w:val="auto"/>
                      <w:sz w:val="21"/>
                      <w:highlight w:val="none"/>
                      <w:lang w:val="en-US" w:eastAsia="zh-CN"/>
                    </w:rPr>
                    <w:t>≥0.20</w:t>
                  </w:r>
                </w:p>
              </w:tc>
              <w:tc>
                <w:tcPr>
                  <w:tcW w:w="1164" w:type="dxa"/>
                  <w:vMerge w:val="continue"/>
                  <w:noWrap w:val="0"/>
                  <w:vAlign w:val="center"/>
                </w:tcPr>
                <w:p w14:paraId="713345E3">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p>
              </w:tc>
            </w:tr>
            <w:tr w14:paraId="05EE5D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85" w:type="dxa"/>
                  <w:noWrap w:val="0"/>
                  <w:vAlign w:val="center"/>
                </w:tcPr>
                <w:p w14:paraId="051AAAFA">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cs="Times New Roman" w:eastAsiaTheme="minorEastAsia"/>
                      <w:color w:val="auto"/>
                      <w:sz w:val="21"/>
                      <w:highlight w:val="none"/>
                      <w:lang w:val="en-US" w:eastAsia="zh-CN"/>
                    </w:rPr>
                  </w:pPr>
                  <w:r>
                    <w:rPr>
                      <w:rFonts w:hint="eastAsia" w:cs="Times New Roman" w:eastAsiaTheme="minorEastAsia"/>
                      <w:color w:val="auto"/>
                      <w:sz w:val="21"/>
                      <w:highlight w:val="none"/>
                      <w:lang w:val="en-US" w:eastAsia="zh-CN"/>
                    </w:rPr>
                    <w:t>7</w:t>
                  </w:r>
                </w:p>
              </w:tc>
              <w:tc>
                <w:tcPr>
                  <w:tcW w:w="3423" w:type="dxa"/>
                  <w:shd w:val="clear" w:color="auto" w:fill="auto"/>
                  <w:noWrap w:val="0"/>
                  <w:vAlign w:val="center"/>
                </w:tcPr>
                <w:p w14:paraId="73CB4EC6">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sz w:val="21"/>
                      <w:highlight w:val="none"/>
                      <w:lang w:val="en-US" w:eastAsia="zh-CN"/>
                    </w:rPr>
                    <w:t>总砷（As）</w:t>
                  </w:r>
                </w:p>
              </w:tc>
              <w:tc>
                <w:tcPr>
                  <w:tcW w:w="3336" w:type="dxa"/>
                  <w:gridSpan w:val="2"/>
                  <w:shd w:val="clear" w:color="auto" w:fill="auto"/>
                  <w:noWrap w:val="0"/>
                  <w:vAlign w:val="center"/>
                </w:tcPr>
                <w:p w14:paraId="460F6B9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sz w:val="21"/>
                      <w:highlight w:val="none"/>
                      <w:lang w:val="en-US" w:eastAsia="zh-CN"/>
                    </w:rPr>
                    <w:t>≤15mg/kg</w:t>
                  </w:r>
                </w:p>
              </w:tc>
              <w:tc>
                <w:tcPr>
                  <w:tcW w:w="1164" w:type="dxa"/>
                  <w:vMerge w:val="continue"/>
                  <w:noWrap w:val="0"/>
                  <w:vAlign w:val="center"/>
                </w:tcPr>
                <w:p w14:paraId="7A4D4766">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p>
              </w:tc>
            </w:tr>
            <w:tr w14:paraId="37B0E9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85" w:type="dxa"/>
                  <w:noWrap w:val="0"/>
                  <w:vAlign w:val="center"/>
                </w:tcPr>
                <w:p w14:paraId="2EA7270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r>
                    <w:rPr>
                      <w:rFonts w:hint="eastAsia" w:cs="Times New Roman" w:eastAsiaTheme="minorEastAsia"/>
                      <w:color w:val="auto"/>
                      <w:sz w:val="21"/>
                      <w:highlight w:val="none"/>
                      <w:lang w:val="en-US" w:eastAsia="zh-CN"/>
                    </w:rPr>
                    <w:t>8</w:t>
                  </w:r>
                </w:p>
              </w:tc>
              <w:tc>
                <w:tcPr>
                  <w:tcW w:w="3423" w:type="dxa"/>
                  <w:shd w:val="clear" w:color="auto" w:fill="auto"/>
                  <w:noWrap w:val="0"/>
                  <w:vAlign w:val="center"/>
                </w:tcPr>
                <w:p w14:paraId="0A40821C">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sz w:val="21"/>
                      <w:highlight w:val="none"/>
                      <w:lang w:val="en-US" w:eastAsia="zh-CN"/>
                    </w:rPr>
                    <w:t>总汞（Hg）</w:t>
                  </w:r>
                </w:p>
              </w:tc>
              <w:tc>
                <w:tcPr>
                  <w:tcW w:w="3336" w:type="dxa"/>
                  <w:gridSpan w:val="2"/>
                  <w:shd w:val="clear" w:color="auto" w:fill="auto"/>
                  <w:noWrap w:val="0"/>
                  <w:vAlign w:val="center"/>
                </w:tcPr>
                <w:p w14:paraId="45BE04B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sz w:val="21"/>
                      <w:highlight w:val="none"/>
                      <w:lang w:val="en-US" w:eastAsia="zh-CN"/>
                    </w:rPr>
                    <w:t>≤2mg/kg</w:t>
                  </w:r>
                </w:p>
              </w:tc>
              <w:tc>
                <w:tcPr>
                  <w:tcW w:w="1164" w:type="dxa"/>
                  <w:vMerge w:val="continue"/>
                  <w:noWrap w:val="0"/>
                  <w:vAlign w:val="center"/>
                </w:tcPr>
                <w:p w14:paraId="3684B636">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p>
              </w:tc>
            </w:tr>
            <w:tr w14:paraId="5FD0048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85" w:type="dxa"/>
                  <w:noWrap w:val="0"/>
                  <w:vAlign w:val="center"/>
                </w:tcPr>
                <w:p w14:paraId="05BDC9CB">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r>
                    <w:rPr>
                      <w:rFonts w:hint="eastAsia" w:cs="Times New Roman" w:eastAsiaTheme="minorEastAsia"/>
                      <w:color w:val="auto"/>
                      <w:sz w:val="21"/>
                      <w:highlight w:val="none"/>
                      <w:lang w:val="en-US" w:eastAsia="zh-CN"/>
                    </w:rPr>
                    <w:t>9</w:t>
                  </w:r>
                </w:p>
              </w:tc>
              <w:tc>
                <w:tcPr>
                  <w:tcW w:w="3423" w:type="dxa"/>
                  <w:shd w:val="clear" w:color="auto" w:fill="auto"/>
                  <w:noWrap w:val="0"/>
                  <w:vAlign w:val="center"/>
                </w:tcPr>
                <w:p w14:paraId="5043F662">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sz w:val="21"/>
                      <w:highlight w:val="none"/>
                      <w:lang w:val="en-US" w:eastAsia="zh-CN"/>
                    </w:rPr>
                    <w:t>总铅（Pb）</w:t>
                  </w:r>
                </w:p>
              </w:tc>
              <w:tc>
                <w:tcPr>
                  <w:tcW w:w="3336" w:type="dxa"/>
                  <w:gridSpan w:val="2"/>
                  <w:shd w:val="clear" w:color="auto" w:fill="auto"/>
                  <w:noWrap w:val="0"/>
                  <w:vAlign w:val="center"/>
                </w:tcPr>
                <w:p w14:paraId="63D4405E">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sz w:val="21"/>
                      <w:highlight w:val="none"/>
                      <w:lang w:val="en-US" w:eastAsia="zh-CN"/>
                    </w:rPr>
                    <w:t>≤50mg/kg</w:t>
                  </w:r>
                </w:p>
              </w:tc>
              <w:tc>
                <w:tcPr>
                  <w:tcW w:w="1164" w:type="dxa"/>
                  <w:vMerge w:val="continue"/>
                  <w:noWrap w:val="0"/>
                  <w:vAlign w:val="center"/>
                </w:tcPr>
                <w:p w14:paraId="64D5116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p>
              </w:tc>
            </w:tr>
            <w:tr w14:paraId="497EDC3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85" w:type="dxa"/>
                  <w:noWrap w:val="0"/>
                  <w:vAlign w:val="center"/>
                </w:tcPr>
                <w:p w14:paraId="767FD98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r>
                    <w:rPr>
                      <w:rFonts w:hint="eastAsia" w:cs="Times New Roman" w:eastAsiaTheme="minorEastAsia"/>
                      <w:color w:val="auto"/>
                      <w:sz w:val="21"/>
                      <w:highlight w:val="none"/>
                      <w:lang w:val="en-US" w:eastAsia="zh-CN"/>
                    </w:rPr>
                    <w:t>10</w:t>
                  </w:r>
                </w:p>
              </w:tc>
              <w:tc>
                <w:tcPr>
                  <w:tcW w:w="3423" w:type="dxa"/>
                  <w:shd w:val="clear" w:color="auto" w:fill="auto"/>
                  <w:noWrap w:val="0"/>
                  <w:vAlign w:val="center"/>
                </w:tcPr>
                <w:p w14:paraId="648C6AD3">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sz w:val="21"/>
                      <w:highlight w:val="none"/>
                      <w:lang w:val="en-US" w:eastAsia="zh-CN"/>
                    </w:rPr>
                    <w:t>总镉（Cd）</w:t>
                  </w:r>
                </w:p>
              </w:tc>
              <w:tc>
                <w:tcPr>
                  <w:tcW w:w="3336" w:type="dxa"/>
                  <w:gridSpan w:val="2"/>
                  <w:shd w:val="clear" w:color="auto" w:fill="auto"/>
                  <w:noWrap w:val="0"/>
                  <w:vAlign w:val="center"/>
                </w:tcPr>
                <w:p w14:paraId="3753358A">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sz w:val="21"/>
                      <w:highlight w:val="none"/>
                      <w:lang w:val="en-US" w:eastAsia="zh-CN"/>
                    </w:rPr>
                    <w:t>≤3mg/kg</w:t>
                  </w:r>
                </w:p>
              </w:tc>
              <w:tc>
                <w:tcPr>
                  <w:tcW w:w="1164" w:type="dxa"/>
                  <w:vMerge w:val="continue"/>
                  <w:noWrap w:val="0"/>
                  <w:vAlign w:val="center"/>
                </w:tcPr>
                <w:p w14:paraId="273466CB">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p>
              </w:tc>
            </w:tr>
            <w:tr w14:paraId="5B70FDB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85" w:type="dxa"/>
                  <w:noWrap w:val="0"/>
                  <w:vAlign w:val="center"/>
                </w:tcPr>
                <w:p w14:paraId="780B1C85">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r>
                    <w:rPr>
                      <w:rFonts w:hint="eastAsia" w:cs="Times New Roman" w:eastAsiaTheme="minorEastAsia"/>
                      <w:color w:val="auto"/>
                      <w:sz w:val="21"/>
                      <w:highlight w:val="none"/>
                      <w:lang w:val="en-US" w:eastAsia="zh-CN"/>
                    </w:rPr>
                    <w:t>11</w:t>
                  </w:r>
                </w:p>
              </w:tc>
              <w:tc>
                <w:tcPr>
                  <w:tcW w:w="3423" w:type="dxa"/>
                  <w:shd w:val="clear" w:color="auto" w:fill="auto"/>
                  <w:noWrap w:val="0"/>
                  <w:vAlign w:val="center"/>
                </w:tcPr>
                <w:p w14:paraId="1D2AEF30">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sz w:val="21"/>
                      <w:highlight w:val="none"/>
                      <w:lang w:val="en-US" w:eastAsia="zh-CN"/>
                    </w:rPr>
                    <w:t>总铬（Cr）</w:t>
                  </w:r>
                </w:p>
              </w:tc>
              <w:tc>
                <w:tcPr>
                  <w:tcW w:w="3336" w:type="dxa"/>
                  <w:gridSpan w:val="2"/>
                  <w:shd w:val="clear" w:color="auto" w:fill="auto"/>
                  <w:noWrap w:val="0"/>
                  <w:vAlign w:val="center"/>
                </w:tcPr>
                <w:p w14:paraId="2E167C24">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sz w:val="21"/>
                      <w:highlight w:val="none"/>
                      <w:lang w:val="en-US" w:eastAsia="zh-CN"/>
                    </w:rPr>
                    <w:t>≤150mg/kg</w:t>
                  </w:r>
                </w:p>
              </w:tc>
              <w:tc>
                <w:tcPr>
                  <w:tcW w:w="1164" w:type="dxa"/>
                  <w:vMerge w:val="continue"/>
                  <w:noWrap w:val="0"/>
                  <w:vAlign w:val="center"/>
                </w:tcPr>
                <w:p w14:paraId="3C4B9F02">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p>
              </w:tc>
            </w:tr>
            <w:tr w14:paraId="3D29D9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85" w:type="dxa"/>
                  <w:noWrap w:val="0"/>
                  <w:vAlign w:val="center"/>
                </w:tcPr>
                <w:p w14:paraId="4521C737">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r>
                    <w:rPr>
                      <w:rFonts w:hint="eastAsia" w:cs="Times New Roman" w:eastAsiaTheme="minorEastAsia"/>
                      <w:color w:val="auto"/>
                      <w:sz w:val="21"/>
                      <w:highlight w:val="none"/>
                      <w:lang w:val="en-US" w:eastAsia="zh-CN"/>
                    </w:rPr>
                    <w:t>12</w:t>
                  </w:r>
                </w:p>
              </w:tc>
              <w:tc>
                <w:tcPr>
                  <w:tcW w:w="3423" w:type="dxa"/>
                  <w:shd w:val="clear" w:color="auto" w:fill="auto"/>
                  <w:noWrap w:val="0"/>
                  <w:vAlign w:val="center"/>
                </w:tcPr>
                <w:p w14:paraId="1AFA0DFE">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sz w:val="21"/>
                      <w:highlight w:val="none"/>
                      <w:lang w:val="en-US" w:eastAsia="zh-CN"/>
                    </w:rPr>
                    <w:t>粪大肠菌群数</w:t>
                  </w:r>
                </w:p>
              </w:tc>
              <w:tc>
                <w:tcPr>
                  <w:tcW w:w="3336" w:type="dxa"/>
                  <w:gridSpan w:val="2"/>
                  <w:shd w:val="clear" w:color="auto" w:fill="auto"/>
                  <w:noWrap w:val="0"/>
                  <w:vAlign w:val="center"/>
                </w:tcPr>
                <w:p w14:paraId="3E53B72C">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eastAsiaTheme="minorEastAsia"/>
                      <w:color w:val="auto"/>
                      <w:sz w:val="21"/>
                      <w:highlight w:val="none"/>
                      <w:lang w:val="en-US" w:eastAsia="zh-CN"/>
                    </w:rPr>
                    <w:t>≤100个/g</w:t>
                  </w:r>
                </w:p>
              </w:tc>
              <w:tc>
                <w:tcPr>
                  <w:tcW w:w="1164" w:type="dxa"/>
                  <w:vMerge w:val="continue"/>
                  <w:noWrap w:val="0"/>
                  <w:vAlign w:val="center"/>
                </w:tcPr>
                <w:p w14:paraId="7DA4C95E">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p>
              </w:tc>
            </w:tr>
            <w:tr w14:paraId="7A70E50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85" w:type="dxa"/>
                  <w:noWrap w:val="0"/>
                  <w:vAlign w:val="center"/>
                </w:tcPr>
                <w:p w14:paraId="37AF7FC3">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r>
                    <w:rPr>
                      <w:rFonts w:hint="eastAsia" w:cs="Times New Roman" w:eastAsiaTheme="minorEastAsia"/>
                      <w:color w:val="auto"/>
                      <w:sz w:val="21"/>
                      <w:highlight w:val="none"/>
                      <w:lang w:val="en-US" w:eastAsia="zh-CN"/>
                    </w:rPr>
                    <w:t>13</w:t>
                  </w:r>
                </w:p>
              </w:tc>
              <w:tc>
                <w:tcPr>
                  <w:tcW w:w="3423" w:type="dxa"/>
                  <w:noWrap w:val="0"/>
                  <w:vAlign w:val="center"/>
                </w:tcPr>
                <w:p w14:paraId="6DF599F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r>
                    <w:rPr>
                      <w:rFonts w:hint="default" w:ascii="Times New Roman" w:hAnsi="Times New Roman" w:cs="Times New Roman" w:eastAsiaTheme="minorEastAsia"/>
                      <w:color w:val="auto"/>
                      <w:sz w:val="21"/>
                      <w:highlight w:val="none"/>
                      <w:lang w:val="en-US" w:eastAsia="zh-CN"/>
                    </w:rPr>
                    <w:t>蛔虫卵死亡率</w:t>
                  </w:r>
                </w:p>
              </w:tc>
              <w:tc>
                <w:tcPr>
                  <w:tcW w:w="3336" w:type="dxa"/>
                  <w:gridSpan w:val="2"/>
                  <w:noWrap w:val="0"/>
                  <w:vAlign w:val="center"/>
                </w:tcPr>
                <w:p w14:paraId="42199B0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r>
                    <w:rPr>
                      <w:rFonts w:hint="default" w:ascii="Times New Roman" w:hAnsi="Times New Roman" w:cs="Times New Roman" w:eastAsiaTheme="minorEastAsia"/>
                      <w:color w:val="auto"/>
                      <w:sz w:val="21"/>
                      <w:highlight w:val="none"/>
                      <w:lang w:val="en-US" w:eastAsia="zh-CN"/>
                    </w:rPr>
                    <w:t>≥95%</w:t>
                  </w:r>
                </w:p>
              </w:tc>
              <w:tc>
                <w:tcPr>
                  <w:tcW w:w="1164" w:type="dxa"/>
                  <w:vMerge w:val="continue"/>
                  <w:noWrap w:val="0"/>
                  <w:vAlign w:val="center"/>
                </w:tcPr>
                <w:p w14:paraId="479C003E">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auto"/>
                      <w:sz w:val="21"/>
                      <w:highlight w:val="none"/>
                      <w:lang w:val="en-US" w:eastAsia="zh-CN"/>
                    </w:rPr>
                  </w:pPr>
                </w:p>
              </w:tc>
            </w:tr>
          </w:tbl>
          <w:p w14:paraId="7EDC577C">
            <w:pPr>
              <w:keepNext w:val="0"/>
              <w:keepLines w:val="0"/>
              <w:pageBreakBefore w:val="0"/>
              <w:widowControl w:val="0"/>
              <w:kinsoku/>
              <w:wordWrap/>
              <w:overflowPunct/>
              <w:topLinePunct w:val="0"/>
              <w:autoSpaceDE/>
              <w:autoSpaceDN/>
              <w:bidi w:val="0"/>
              <w:adjustRightInd/>
              <w:snapToGrid/>
              <w:spacing w:line="440" w:lineRule="exact"/>
              <w:textAlignment w:val="auto"/>
              <w:rPr>
                <w:b/>
                <w:bCs/>
                <w:color w:val="auto"/>
                <w:kern w:val="0"/>
                <w:sz w:val="24"/>
                <w:highlight w:val="none"/>
              </w:rPr>
            </w:pPr>
            <w:r>
              <w:rPr>
                <w:rFonts w:hint="eastAsia"/>
                <w:b/>
                <w:bCs/>
                <w:color w:val="auto"/>
                <w:kern w:val="0"/>
                <w:sz w:val="24"/>
                <w:highlight w:val="none"/>
                <w:lang w:val="en-US" w:eastAsia="zh-CN"/>
              </w:rPr>
              <w:t>3</w:t>
            </w:r>
            <w:r>
              <w:rPr>
                <w:b/>
                <w:bCs/>
                <w:color w:val="auto"/>
                <w:kern w:val="0"/>
                <w:sz w:val="24"/>
                <w:highlight w:val="none"/>
              </w:rPr>
              <w:t>、主要生产设施</w:t>
            </w:r>
            <w:bookmarkStart w:id="29" w:name="表2-2__本项目主要生产设施一览表"/>
            <w:bookmarkEnd w:id="29"/>
          </w:p>
          <w:p w14:paraId="661520D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highlight w:val="none"/>
              </w:rPr>
            </w:pPr>
            <w:r>
              <w:rPr>
                <w:color w:val="auto"/>
                <w:kern w:val="0"/>
                <w:sz w:val="24"/>
                <w:highlight w:val="none"/>
              </w:rPr>
              <w:t>项目主要生产设备见表2-4。</w:t>
            </w:r>
          </w:p>
          <w:p w14:paraId="5398B3A3">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b/>
                <w:bCs/>
                <w:color w:val="auto"/>
                <w:kern w:val="0"/>
                <w:szCs w:val="21"/>
                <w:highlight w:val="none"/>
              </w:rPr>
            </w:pPr>
            <w:r>
              <w:rPr>
                <w:b/>
                <w:bCs/>
                <w:color w:val="auto"/>
                <w:kern w:val="0"/>
                <w:szCs w:val="21"/>
                <w:highlight w:val="none"/>
              </w:rPr>
              <w:t>表2-4  主要生产设施一览表</w:t>
            </w:r>
          </w:p>
          <w:tbl>
            <w:tblPr>
              <w:tblStyle w:val="26"/>
              <w:tblW w:w="8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6"/>
              <w:gridCol w:w="2416"/>
              <w:gridCol w:w="1170"/>
              <w:gridCol w:w="1138"/>
              <w:gridCol w:w="735"/>
              <w:gridCol w:w="1291"/>
            </w:tblGrid>
            <w:tr w14:paraId="689CE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24305985">
                  <w:pPr>
                    <w:keepNext w:val="0"/>
                    <w:keepLines w:val="0"/>
                    <w:pageBreakBefore w:val="0"/>
                    <w:widowControl/>
                    <w:kinsoku/>
                    <w:wordWrap/>
                    <w:overflowPunct/>
                    <w:topLinePunct w:val="0"/>
                    <w:autoSpaceDE/>
                    <w:autoSpaceDN/>
                    <w:bidi w:val="0"/>
                    <w:spacing w:line="320" w:lineRule="exact"/>
                    <w:jc w:val="center"/>
                    <w:textAlignment w:val="center"/>
                    <w:rPr>
                      <w:b/>
                      <w:bCs/>
                      <w:color w:val="auto"/>
                      <w:szCs w:val="21"/>
                      <w:highlight w:val="none"/>
                    </w:rPr>
                  </w:pPr>
                  <w:r>
                    <w:rPr>
                      <w:b/>
                      <w:bCs/>
                      <w:color w:val="auto"/>
                      <w:szCs w:val="21"/>
                      <w:highlight w:val="none"/>
                    </w:rPr>
                    <w:t>设备名称</w:t>
                  </w:r>
                </w:p>
              </w:tc>
              <w:tc>
                <w:tcPr>
                  <w:tcW w:w="1390" w:type="pct"/>
                  <w:vAlign w:val="center"/>
                </w:tcPr>
                <w:p w14:paraId="6DE70CF8">
                  <w:pPr>
                    <w:keepNext w:val="0"/>
                    <w:keepLines w:val="0"/>
                    <w:pageBreakBefore w:val="0"/>
                    <w:widowControl/>
                    <w:kinsoku/>
                    <w:wordWrap/>
                    <w:overflowPunct/>
                    <w:topLinePunct w:val="0"/>
                    <w:autoSpaceDE/>
                    <w:autoSpaceDN/>
                    <w:bidi w:val="0"/>
                    <w:spacing w:line="320" w:lineRule="exact"/>
                    <w:jc w:val="center"/>
                    <w:textAlignment w:val="center"/>
                    <w:rPr>
                      <w:b/>
                      <w:bCs/>
                      <w:color w:val="auto"/>
                      <w:szCs w:val="21"/>
                      <w:highlight w:val="none"/>
                    </w:rPr>
                  </w:pPr>
                  <w:r>
                    <w:rPr>
                      <w:b/>
                      <w:bCs/>
                      <w:color w:val="auto"/>
                      <w:szCs w:val="21"/>
                      <w:highlight w:val="none"/>
                    </w:rPr>
                    <w:t>规格型号</w:t>
                  </w:r>
                </w:p>
              </w:tc>
              <w:tc>
                <w:tcPr>
                  <w:tcW w:w="674" w:type="pct"/>
                  <w:vAlign w:val="center"/>
                </w:tcPr>
                <w:p w14:paraId="53E97523">
                  <w:pPr>
                    <w:keepNext w:val="0"/>
                    <w:keepLines w:val="0"/>
                    <w:pageBreakBefore w:val="0"/>
                    <w:widowControl/>
                    <w:kinsoku/>
                    <w:wordWrap/>
                    <w:overflowPunct/>
                    <w:topLinePunct w:val="0"/>
                    <w:autoSpaceDE/>
                    <w:autoSpaceDN/>
                    <w:bidi w:val="0"/>
                    <w:spacing w:line="320" w:lineRule="exact"/>
                    <w:jc w:val="center"/>
                    <w:textAlignment w:val="center"/>
                    <w:rPr>
                      <w:b/>
                      <w:bCs/>
                      <w:color w:val="auto"/>
                      <w:szCs w:val="21"/>
                      <w:highlight w:val="none"/>
                    </w:rPr>
                  </w:pPr>
                  <w:r>
                    <w:rPr>
                      <w:rFonts w:hint="eastAsia"/>
                      <w:b/>
                      <w:bCs/>
                      <w:color w:val="auto"/>
                      <w:szCs w:val="21"/>
                      <w:highlight w:val="none"/>
                      <w:lang w:val="en-US" w:eastAsia="zh-CN"/>
                    </w:rPr>
                    <w:t>改</w:t>
                  </w:r>
                  <w:r>
                    <w:rPr>
                      <w:rFonts w:hint="eastAsia"/>
                      <w:b/>
                      <w:bCs/>
                      <w:color w:val="auto"/>
                      <w:szCs w:val="21"/>
                      <w:highlight w:val="none"/>
                    </w:rPr>
                    <w:t>扩建前</w:t>
                  </w:r>
                  <w:r>
                    <w:rPr>
                      <w:b/>
                      <w:bCs/>
                      <w:color w:val="auto"/>
                      <w:szCs w:val="21"/>
                      <w:highlight w:val="none"/>
                    </w:rPr>
                    <w:t>数量</w:t>
                  </w:r>
                </w:p>
              </w:tc>
              <w:tc>
                <w:tcPr>
                  <w:tcW w:w="655" w:type="pct"/>
                  <w:vAlign w:val="center"/>
                </w:tcPr>
                <w:p w14:paraId="0F5A4D9E">
                  <w:pPr>
                    <w:keepNext w:val="0"/>
                    <w:keepLines w:val="0"/>
                    <w:pageBreakBefore w:val="0"/>
                    <w:widowControl/>
                    <w:kinsoku/>
                    <w:wordWrap/>
                    <w:overflowPunct/>
                    <w:topLinePunct w:val="0"/>
                    <w:autoSpaceDE/>
                    <w:autoSpaceDN/>
                    <w:bidi w:val="0"/>
                    <w:spacing w:line="320" w:lineRule="exact"/>
                    <w:jc w:val="center"/>
                    <w:textAlignment w:val="center"/>
                    <w:rPr>
                      <w:rFonts w:hint="eastAsia"/>
                      <w:b/>
                      <w:bCs/>
                      <w:color w:val="auto"/>
                      <w:szCs w:val="21"/>
                      <w:highlight w:val="none"/>
                      <w:lang w:val="en-US" w:eastAsia="zh-CN"/>
                    </w:rPr>
                  </w:pPr>
                  <w:r>
                    <w:rPr>
                      <w:rFonts w:hint="eastAsia"/>
                      <w:b/>
                      <w:bCs/>
                      <w:color w:val="auto"/>
                      <w:szCs w:val="21"/>
                      <w:highlight w:val="none"/>
                    </w:rPr>
                    <w:t>改扩建</w:t>
                  </w:r>
                  <w:r>
                    <w:rPr>
                      <w:rFonts w:hint="eastAsia"/>
                      <w:b/>
                      <w:bCs/>
                      <w:color w:val="auto"/>
                      <w:szCs w:val="21"/>
                      <w:highlight w:val="none"/>
                      <w:lang w:val="en-US" w:eastAsia="zh-CN"/>
                    </w:rPr>
                    <w:t>后</w:t>
                  </w:r>
                </w:p>
                <w:p w14:paraId="6A39A7AD">
                  <w:pPr>
                    <w:keepNext w:val="0"/>
                    <w:keepLines w:val="0"/>
                    <w:pageBreakBefore w:val="0"/>
                    <w:widowControl/>
                    <w:kinsoku/>
                    <w:wordWrap/>
                    <w:overflowPunct/>
                    <w:topLinePunct w:val="0"/>
                    <w:autoSpaceDE/>
                    <w:autoSpaceDN/>
                    <w:bidi w:val="0"/>
                    <w:spacing w:line="320" w:lineRule="exact"/>
                    <w:jc w:val="center"/>
                    <w:textAlignment w:val="center"/>
                    <w:rPr>
                      <w:rFonts w:ascii="Times New Roman" w:hAnsi="Times New Roman" w:eastAsia="宋体" w:cs="Times New Roman"/>
                      <w:color w:val="auto"/>
                      <w:kern w:val="2"/>
                      <w:sz w:val="21"/>
                      <w:szCs w:val="24"/>
                      <w:highlight w:val="none"/>
                      <w:lang w:val="en-US" w:eastAsia="zh-CN" w:bidi="ar-SA"/>
                    </w:rPr>
                  </w:pPr>
                  <w:r>
                    <w:rPr>
                      <w:rFonts w:hint="eastAsia"/>
                      <w:b/>
                      <w:bCs/>
                      <w:color w:val="auto"/>
                      <w:szCs w:val="21"/>
                      <w:highlight w:val="none"/>
                    </w:rPr>
                    <w:t>数量</w:t>
                  </w:r>
                </w:p>
              </w:tc>
              <w:tc>
                <w:tcPr>
                  <w:tcW w:w="423" w:type="pct"/>
                  <w:vAlign w:val="center"/>
                </w:tcPr>
                <w:p w14:paraId="1495506F">
                  <w:pPr>
                    <w:keepNext w:val="0"/>
                    <w:keepLines w:val="0"/>
                    <w:pageBreakBefore w:val="0"/>
                    <w:widowControl/>
                    <w:kinsoku/>
                    <w:wordWrap/>
                    <w:overflowPunct/>
                    <w:topLinePunct w:val="0"/>
                    <w:autoSpaceDE/>
                    <w:autoSpaceDN/>
                    <w:bidi w:val="0"/>
                    <w:spacing w:line="320" w:lineRule="exact"/>
                    <w:jc w:val="center"/>
                    <w:textAlignment w:val="center"/>
                    <w:rPr>
                      <w:b/>
                      <w:bCs/>
                      <w:color w:val="auto"/>
                      <w:szCs w:val="21"/>
                      <w:highlight w:val="none"/>
                    </w:rPr>
                  </w:pPr>
                  <w:r>
                    <w:rPr>
                      <w:rFonts w:hint="eastAsia"/>
                      <w:b/>
                      <w:bCs/>
                      <w:color w:val="auto"/>
                      <w:szCs w:val="21"/>
                      <w:highlight w:val="none"/>
                    </w:rPr>
                    <w:t>变化</w:t>
                  </w:r>
                  <w:r>
                    <w:rPr>
                      <w:b/>
                      <w:bCs/>
                      <w:color w:val="auto"/>
                      <w:szCs w:val="21"/>
                      <w:highlight w:val="none"/>
                    </w:rPr>
                    <w:t>量</w:t>
                  </w:r>
                </w:p>
              </w:tc>
              <w:tc>
                <w:tcPr>
                  <w:tcW w:w="740" w:type="pct"/>
                  <w:vAlign w:val="center"/>
                </w:tcPr>
                <w:p w14:paraId="3F3B7FA7">
                  <w:pPr>
                    <w:keepNext w:val="0"/>
                    <w:keepLines w:val="0"/>
                    <w:pageBreakBefore w:val="0"/>
                    <w:widowControl/>
                    <w:kinsoku/>
                    <w:wordWrap/>
                    <w:overflowPunct/>
                    <w:topLinePunct w:val="0"/>
                    <w:autoSpaceDE/>
                    <w:autoSpaceDN/>
                    <w:bidi w:val="0"/>
                    <w:spacing w:line="320" w:lineRule="exact"/>
                    <w:jc w:val="center"/>
                    <w:textAlignment w:val="center"/>
                    <w:rPr>
                      <w:b/>
                      <w:bCs/>
                      <w:color w:val="auto"/>
                      <w:szCs w:val="21"/>
                      <w:highlight w:val="none"/>
                    </w:rPr>
                  </w:pPr>
                  <w:r>
                    <w:rPr>
                      <w:rFonts w:hint="eastAsia"/>
                      <w:b/>
                      <w:bCs/>
                      <w:color w:val="auto"/>
                      <w:szCs w:val="21"/>
                      <w:highlight w:val="none"/>
                    </w:rPr>
                    <w:t>备注</w:t>
                  </w:r>
                </w:p>
              </w:tc>
            </w:tr>
            <w:tr w14:paraId="6FAD7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6"/>
                  <w:shd w:val="clear" w:color="auto" w:fill="BEBEBE"/>
                  <w:vAlign w:val="center"/>
                </w:tcPr>
                <w:p w14:paraId="6777881C">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b/>
                      <w:bCs/>
                      <w:snapToGrid w:val="0"/>
                      <w:color w:val="auto"/>
                      <w:kern w:val="0"/>
                      <w:szCs w:val="21"/>
                      <w:highlight w:val="none"/>
                      <w:lang w:eastAsia="zh-CN"/>
                    </w:rPr>
                  </w:pPr>
                  <w:r>
                    <w:rPr>
                      <w:rFonts w:hint="eastAsia"/>
                      <w:b/>
                      <w:bCs/>
                      <w:snapToGrid w:val="0"/>
                      <w:color w:val="auto"/>
                      <w:kern w:val="0"/>
                      <w:szCs w:val="21"/>
                      <w:highlight w:val="none"/>
                      <w:shd w:val="clear" w:color="auto" w:fill="BEBEBE"/>
                    </w:rPr>
                    <w:t>蔬菜干生产线</w:t>
                  </w:r>
                  <w:r>
                    <w:rPr>
                      <w:rFonts w:hint="eastAsia"/>
                      <w:b/>
                      <w:bCs/>
                      <w:snapToGrid w:val="0"/>
                      <w:color w:val="auto"/>
                      <w:kern w:val="0"/>
                      <w:szCs w:val="21"/>
                      <w:highlight w:val="none"/>
                      <w:shd w:val="clear" w:color="auto" w:fill="BEBEBE"/>
                      <w:lang w:eastAsia="zh-CN"/>
                    </w:rPr>
                    <w:t>（</w:t>
                  </w:r>
                  <w:r>
                    <w:rPr>
                      <w:rFonts w:hint="eastAsia"/>
                      <w:b/>
                      <w:bCs/>
                      <w:snapToGrid w:val="0"/>
                      <w:color w:val="auto"/>
                      <w:kern w:val="0"/>
                      <w:szCs w:val="21"/>
                      <w:highlight w:val="none"/>
                      <w:shd w:val="clear" w:color="auto" w:fill="BEBEBE"/>
                      <w:lang w:val="en-US" w:eastAsia="zh-CN"/>
                    </w:rPr>
                    <w:t>现有</w:t>
                  </w:r>
                  <w:r>
                    <w:rPr>
                      <w:rFonts w:hint="eastAsia"/>
                      <w:b/>
                      <w:bCs/>
                      <w:snapToGrid w:val="0"/>
                      <w:color w:val="auto"/>
                      <w:kern w:val="0"/>
                      <w:szCs w:val="21"/>
                      <w:highlight w:val="none"/>
                      <w:shd w:val="clear" w:color="auto" w:fill="BEBEBE"/>
                      <w:lang w:eastAsia="zh-CN"/>
                    </w:rPr>
                    <w:t>）</w:t>
                  </w:r>
                </w:p>
              </w:tc>
            </w:tr>
            <w:tr w14:paraId="052D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6CAA245D">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卸料仓</w:t>
                  </w:r>
                </w:p>
              </w:tc>
              <w:tc>
                <w:tcPr>
                  <w:tcW w:w="1390" w:type="pct"/>
                  <w:vAlign w:val="center"/>
                </w:tcPr>
                <w:p w14:paraId="5641EA83">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容积120m</w:t>
                  </w:r>
                  <w:r>
                    <w:rPr>
                      <w:snapToGrid w:val="0"/>
                      <w:color w:val="auto"/>
                      <w:kern w:val="0"/>
                      <w:szCs w:val="21"/>
                      <w:highlight w:val="none"/>
                      <w:vertAlign w:val="superscript"/>
                    </w:rPr>
                    <w:t>3</w:t>
                  </w:r>
                </w:p>
              </w:tc>
              <w:tc>
                <w:tcPr>
                  <w:tcW w:w="674" w:type="pct"/>
                  <w:vAlign w:val="center"/>
                </w:tcPr>
                <w:p w14:paraId="39CE7EA1">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1台</w:t>
                  </w:r>
                </w:p>
              </w:tc>
              <w:tc>
                <w:tcPr>
                  <w:tcW w:w="655" w:type="pct"/>
                  <w:shd w:val="clear" w:color="auto" w:fill="auto"/>
                  <w:vAlign w:val="center"/>
                </w:tcPr>
                <w:p w14:paraId="41DCB490">
                  <w:pPr>
                    <w:keepNext w:val="0"/>
                    <w:keepLines w:val="0"/>
                    <w:pageBreakBefore w:val="0"/>
                    <w:kinsoku/>
                    <w:wordWrap/>
                    <w:overflowPunct/>
                    <w:topLinePunct w:val="0"/>
                    <w:autoSpaceDE/>
                    <w:autoSpaceDN/>
                    <w:bidi w:val="0"/>
                    <w:adjustRightInd w:val="0"/>
                    <w:snapToGrid w:val="0"/>
                    <w:spacing w:line="320" w:lineRule="exact"/>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1台</w:t>
                  </w:r>
                </w:p>
              </w:tc>
              <w:tc>
                <w:tcPr>
                  <w:tcW w:w="423" w:type="pct"/>
                  <w:vAlign w:val="center"/>
                </w:tcPr>
                <w:p w14:paraId="4B07DC7E">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0</w:t>
                  </w:r>
                </w:p>
              </w:tc>
              <w:tc>
                <w:tcPr>
                  <w:tcW w:w="740" w:type="pct"/>
                  <w:vAlign w:val="center"/>
                </w:tcPr>
                <w:p w14:paraId="07A2A1FF">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w:t>
                  </w:r>
                </w:p>
              </w:tc>
            </w:tr>
            <w:tr w14:paraId="1E261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3ACB0A58">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有轴螺旋输送机</w:t>
                  </w:r>
                </w:p>
              </w:tc>
              <w:tc>
                <w:tcPr>
                  <w:tcW w:w="1390" w:type="pct"/>
                  <w:vAlign w:val="center"/>
                </w:tcPr>
                <w:p w14:paraId="1A58AA76">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U0.6m*9m</w:t>
                  </w:r>
                </w:p>
              </w:tc>
              <w:tc>
                <w:tcPr>
                  <w:tcW w:w="674" w:type="pct"/>
                  <w:vAlign w:val="center"/>
                </w:tcPr>
                <w:p w14:paraId="56903833">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6根</w:t>
                  </w:r>
                </w:p>
              </w:tc>
              <w:tc>
                <w:tcPr>
                  <w:tcW w:w="655" w:type="pct"/>
                  <w:shd w:val="clear" w:color="auto" w:fill="auto"/>
                  <w:vAlign w:val="center"/>
                </w:tcPr>
                <w:p w14:paraId="75C8D35E">
                  <w:pPr>
                    <w:keepNext w:val="0"/>
                    <w:keepLines w:val="0"/>
                    <w:pageBreakBefore w:val="0"/>
                    <w:kinsoku/>
                    <w:wordWrap/>
                    <w:overflowPunct/>
                    <w:topLinePunct w:val="0"/>
                    <w:autoSpaceDE/>
                    <w:autoSpaceDN/>
                    <w:bidi w:val="0"/>
                    <w:adjustRightInd w:val="0"/>
                    <w:snapToGrid w:val="0"/>
                    <w:spacing w:line="320" w:lineRule="exact"/>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6根</w:t>
                  </w:r>
                </w:p>
              </w:tc>
              <w:tc>
                <w:tcPr>
                  <w:tcW w:w="423" w:type="pct"/>
                  <w:vAlign w:val="center"/>
                </w:tcPr>
                <w:p w14:paraId="3461AAFF">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0</w:t>
                  </w:r>
                </w:p>
              </w:tc>
              <w:tc>
                <w:tcPr>
                  <w:tcW w:w="740" w:type="pct"/>
                  <w:vAlign w:val="center"/>
                </w:tcPr>
                <w:p w14:paraId="21E9B734">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w:t>
                  </w:r>
                </w:p>
              </w:tc>
            </w:tr>
            <w:tr w14:paraId="368F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35B65076">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1#、3#皮带输送机</w:t>
                  </w:r>
                </w:p>
              </w:tc>
              <w:tc>
                <w:tcPr>
                  <w:tcW w:w="1390" w:type="pct"/>
                  <w:vAlign w:val="center"/>
                </w:tcPr>
                <w:p w14:paraId="2E399E2D">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B1m*7.1m</w:t>
                  </w:r>
                </w:p>
              </w:tc>
              <w:tc>
                <w:tcPr>
                  <w:tcW w:w="674" w:type="pct"/>
                  <w:vAlign w:val="center"/>
                </w:tcPr>
                <w:p w14:paraId="7375FFFB">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2台</w:t>
                  </w:r>
                </w:p>
              </w:tc>
              <w:tc>
                <w:tcPr>
                  <w:tcW w:w="655" w:type="pct"/>
                  <w:shd w:val="clear" w:color="auto" w:fill="auto"/>
                  <w:vAlign w:val="center"/>
                </w:tcPr>
                <w:p w14:paraId="10EA4602">
                  <w:pPr>
                    <w:keepNext w:val="0"/>
                    <w:keepLines w:val="0"/>
                    <w:pageBreakBefore w:val="0"/>
                    <w:kinsoku/>
                    <w:wordWrap/>
                    <w:overflowPunct/>
                    <w:topLinePunct w:val="0"/>
                    <w:autoSpaceDE/>
                    <w:autoSpaceDN/>
                    <w:bidi w:val="0"/>
                    <w:adjustRightInd w:val="0"/>
                    <w:snapToGrid w:val="0"/>
                    <w:spacing w:line="320" w:lineRule="exact"/>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2台</w:t>
                  </w:r>
                </w:p>
              </w:tc>
              <w:tc>
                <w:tcPr>
                  <w:tcW w:w="423" w:type="pct"/>
                  <w:vAlign w:val="center"/>
                </w:tcPr>
                <w:p w14:paraId="068C7E17">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56CDF725">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w:t>
                  </w:r>
                </w:p>
              </w:tc>
            </w:tr>
            <w:tr w14:paraId="6B60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2D126D9B">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2#皮带输送机</w:t>
                  </w:r>
                </w:p>
              </w:tc>
              <w:tc>
                <w:tcPr>
                  <w:tcW w:w="1390" w:type="pct"/>
                  <w:vAlign w:val="center"/>
                </w:tcPr>
                <w:p w14:paraId="37038D61">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B1m*11.3m</w:t>
                  </w:r>
                </w:p>
              </w:tc>
              <w:tc>
                <w:tcPr>
                  <w:tcW w:w="674" w:type="pct"/>
                  <w:vAlign w:val="center"/>
                </w:tcPr>
                <w:p w14:paraId="1E539350">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1台</w:t>
                  </w:r>
                </w:p>
              </w:tc>
              <w:tc>
                <w:tcPr>
                  <w:tcW w:w="655" w:type="pct"/>
                  <w:shd w:val="clear" w:color="auto" w:fill="auto"/>
                  <w:vAlign w:val="center"/>
                </w:tcPr>
                <w:p w14:paraId="07472C13">
                  <w:pPr>
                    <w:keepNext w:val="0"/>
                    <w:keepLines w:val="0"/>
                    <w:pageBreakBefore w:val="0"/>
                    <w:kinsoku/>
                    <w:wordWrap/>
                    <w:overflowPunct/>
                    <w:topLinePunct w:val="0"/>
                    <w:autoSpaceDE/>
                    <w:autoSpaceDN/>
                    <w:bidi w:val="0"/>
                    <w:adjustRightInd w:val="0"/>
                    <w:snapToGrid w:val="0"/>
                    <w:spacing w:line="320" w:lineRule="exact"/>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1台</w:t>
                  </w:r>
                </w:p>
              </w:tc>
              <w:tc>
                <w:tcPr>
                  <w:tcW w:w="423" w:type="pct"/>
                  <w:vAlign w:val="center"/>
                </w:tcPr>
                <w:p w14:paraId="5072775E">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525A4044">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w:t>
                  </w:r>
                </w:p>
              </w:tc>
            </w:tr>
            <w:tr w14:paraId="316F7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6A3D8F77">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1#无轴螺旋输送机</w:t>
                  </w:r>
                </w:p>
              </w:tc>
              <w:tc>
                <w:tcPr>
                  <w:tcW w:w="1390" w:type="pct"/>
                  <w:vAlign w:val="center"/>
                </w:tcPr>
                <w:p w14:paraId="56B5B433">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U0.4m*10m</w:t>
                  </w:r>
                </w:p>
              </w:tc>
              <w:tc>
                <w:tcPr>
                  <w:tcW w:w="674" w:type="pct"/>
                  <w:vAlign w:val="center"/>
                </w:tcPr>
                <w:p w14:paraId="13CEFEEB">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1台</w:t>
                  </w:r>
                </w:p>
              </w:tc>
              <w:tc>
                <w:tcPr>
                  <w:tcW w:w="655" w:type="pct"/>
                  <w:shd w:val="clear" w:color="auto" w:fill="auto"/>
                  <w:vAlign w:val="center"/>
                </w:tcPr>
                <w:p w14:paraId="0716308D">
                  <w:pPr>
                    <w:keepNext w:val="0"/>
                    <w:keepLines w:val="0"/>
                    <w:pageBreakBefore w:val="0"/>
                    <w:kinsoku/>
                    <w:wordWrap/>
                    <w:overflowPunct/>
                    <w:topLinePunct w:val="0"/>
                    <w:autoSpaceDE/>
                    <w:autoSpaceDN/>
                    <w:bidi w:val="0"/>
                    <w:adjustRightInd w:val="0"/>
                    <w:snapToGrid w:val="0"/>
                    <w:spacing w:line="320" w:lineRule="exact"/>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1台</w:t>
                  </w:r>
                </w:p>
              </w:tc>
              <w:tc>
                <w:tcPr>
                  <w:tcW w:w="423" w:type="pct"/>
                  <w:vAlign w:val="center"/>
                </w:tcPr>
                <w:p w14:paraId="79514705">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3E1E74B1">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w:t>
                  </w:r>
                </w:p>
              </w:tc>
            </w:tr>
            <w:tr w14:paraId="5A0B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7ECEB7D7">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2#、3#有轴</w:t>
                  </w:r>
                </w:p>
                <w:p w14:paraId="51F1E82A">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螺旋输送机</w:t>
                  </w:r>
                </w:p>
              </w:tc>
              <w:tc>
                <w:tcPr>
                  <w:tcW w:w="1390" w:type="pct"/>
                  <w:vAlign w:val="center"/>
                </w:tcPr>
                <w:p w14:paraId="48646D06">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U0.4m*10m</w:t>
                  </w:r>
                </w:p>
              </w:tc>
              <w:tc>
                <w:tcPr>
                  <w:tcW w:w="674" w:type="pct"/>
                  <w:vAlign w:val="center"/>
                </w:tcPr>
                <w:p w14:paraId="4FB749E2">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2台</w:t>
                  </w:r>
                </w:p>
              </w:tc>
              <w:tc>
                <w:tcPr>
                  <w:tcW w:w="655" w:type="pct"/>
                  <w:shd w:val="clear" w:color="auto" w:fill="auto"/>
                  <w:vAlign w:val="center"/>
                </w:tcPr>
                <w:p w14:paraId="459A409D">
                  <w:pPr>
                    <w:keepNext w:val="0"/>
                    <w:keepLines w:val="0"/>
                    <w:pageBreakBefore w:val="0"/>
                    <w:kinsoku/>
                    <w:wordWrap/>
                    <w:overflowPunct/>
                    <w:topLinePunct w:val="0"/>
                    <w:autoSpaceDE/>
                    <w:autoSpaceDN/>
                    <w:bidi w:val="0"/>
                    <w:adjustRightInd w:val="0"/>
                    <w:snapToGrid w:val="0"/>
                    <w:spacing w:line="320" w:lineRule="exact"/>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2台</w:t>
                  </w:r>
                </w:p>
              </w:tc>
              <w:tc>
                <w:tcPr>
                  <w:tcW w:w="423" w:type="pct"/>
                  <w:vAlign w:val="center"/>
                </w:tcPr>
                <w:p w14:paraId="49AD94E3">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233597BE">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w:t>
                  </w:r>
                </w:p>
              </w:tc>
            </w:tr>
            <w:tr w14:paraId="51DD8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F67314C">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1#、2#、3#</w:t>
                  </w:r>
                </w:p>
                <w:p w14:paraId="0A482A8A">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破碎分选机</w:t>
                  </w:r>
                </w:p>
              </w:tc>
              <w:tc>
                <w:tcPr>
                  <w:tcW w:w="1390" w:type="pct"/>
                  <w:vAlign w:val="center"/>
                </w:tcPr>
                <w:p w14:paraId="0D94936D">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PSF-800，筛孔直径10mm</w:t>
                  </w:r>
                </w:p>
              </w:tc>
              <w:tc>
                <w:tcPr>
                  <w:tcW w:w="674" w:type="pct"/>
                  <w:vAlign w:val="center"/>
                </w:tcPr>
                <w:p w14:paraId="17E88548">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3台</w:t>
                  </w:r>
                </w:p>
              </w:tc>
              <w:tc>
                <w:tcPr>
                  <w:tcW w:w="655" w:type="pct"/>
                  <w:shd w:val="clear" w:color="auto" w:fill="auto"/>
                  <w:vAlign w:val="center"/>
                </w:tcPr>
                <w:p w14:paraId="4E4DD5F9">
                  <w:pPr>
                    <w:keepNext w:val="0"/>
                    <w:keepLines w:val="0"/>
                    <w:pageBreakBefore w:val="0"/>
                    <w:kinsoku/>
                    <w:wordWrap/>
                    <w:overflowPunct/>
                    <w:topLinePunct w:val="0"/>
                    <w:autoSpaceDE/>
                    <w:autoSpaceDN/>
                    <w:bidi w:val="0"/>
                    <w:adjustRightInd w:val="0"/>
                    <w:snapToGrid w:val="0"/>
                    <w:spacing w:line="320" w:lineRule="exact"/>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3台</w:t>
                  </w:r>
                </w:p>
              </w:tc>
              <w:tc>
                <w:tcPr>
                  <w:tcW w:w="423" w:type="pct"/>
                  <w:vAlign w:val="center"/>
                </w:tcPr>
                <w:p w14:paraId="1B16A1DA">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4E4BED5B">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w:t>
                  </w:r>
                </w:p>
              </w:tc>
            </w:tr>
            <w:tr w14:paraId="7F9B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97BF3CF">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1#、2#、3#</w:t>
                  </w:r>
                </w:p>
                <w:p w14:paraId="4A64D5D0">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螺旋压榨机</w:t>
                  </w:r>
                </w:p>
              </w:tc>
              <w:tc>
                <w:tcPr>
                  <w:tcW w:w="1390" w:type="pct"/>
                  <w:vAlign w:val="center"/>
                </w:tcPr>
                <w:p w14:paraId="196B6535">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ZNJ-600</w:t>
                  </w:r>
                </w:p>
              </w:tc>
              <w:tc>
                <w:tcPr>
                  <w:tcW w:w="674" w:type="pct"/>
                  <w:vAlign w:val="center"/>
                </w:tcPr>
                <w:p w14:paraId="48165129">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3台</w:t>
                  </w:r>
                </w:p>
              </w:tc>
              <w:tc>
                <w:tcPr>
                  <w:tcW w:w="655" w:type="pct"/>
                  <w:shd w:val="clear" w:color="auto" w:fill="auto"/>
                  <w:vAlign w:val="center"/>
                </w:tcPr>
                <w:p w14:paraId="1B34607F">
                  <w:pPr>
                    <w:keepNext w:val="0"/>
                    <w:keepLines w:val="0"/>
                    <w:pageBreakBefore w:val="0"/>
                    <w:kinsoku/>
                    <w:wordWrap/>
                    <w:overflowPunct/>
                    <w:topLinePunct w:val="0"/>
                    <w:autoSpaceDE/>
                    <w:autoSpaceDN/>
                    <w:bidi w:val="0"/>
                    <w:adjustRightInd w:val="0"/>
                    <w:snapToGrid w:val="0"/>
                    <w:spacing w:line="320" w:lineRule="exact"/>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3台</w:t>
                  </w:r>
                </w:p>
              </w:tc>
              <w:tc>
                <w:tcPr>
                  <w:tcW w:w="423" w:type="pct"/>
                  <w:vAlign w:val="center"/>
                </w:tcPr>
                <w:p w14:paraId="4366B05E">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5588E3E2">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w:t>
                  </w:r>
                </w:p>
              </w:tc>
            </w:tr>
            <w:tr w14:paraId="66BDC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41837FBF">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4#、5#、6#</w:t>
                  </w:r>
                </w:p>
                <w:p w14:paraId="15DE8E2A">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螺旋压榨机</w:t>
                  </w:r>
                </w:p>
              </w:tc>
              <w:tc>
                <w:tcPr>
                  <w:tcW w:w="1390" w:type="pct"/>
                  <w:vAlign w:val="center"/>
                </w:tcPr>
                <w:p w14:paraId="16009650">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ZNJ-450</w:t>
                  </w:r>
                </w:p>
              </w:tc>
              <w:tc>
                <w:tcPr>
                  <w:tcW w:w="674" w:type="pct"/>
                  <w:vAlign w:val="center"/>
                </w:tcPr>
                <w:p w14:paraId="2F932AC1">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3台</w:t>
                  </w:r>
                </w:p>
              </w:tc>
              <w:tc>
                <w:tcPr>
                  <w:tcW w:w="655" w:type="pct"/>
                  <w:shd w:val="clear" w:color="auto" w:fill="auto"/>
                  <w:vAlign w:val="center"/>
                </w:tcPr>
                <w:p w14:paraId="3BDC0C56">
                  <w:pPr>
                    <w:keepNext w:val="0"/>
                    <w:keepLines w:val="0"/>
                    <w:pageBreakBefore w:val="0"/>
                    <w:kinsoku/>
                    <w:wordWrap/>
                    <w:overflowPunct/>
                    <w:topLinePunct w:val="0"/>
                    <w:autoSpaceDE/>
                    <w:autoSpaceDN/>
                    <w:bidi w:val="0"/>
                    <w:adjustRightInd w:val="0"/>
                    <w:snapToGrid w:val="0"/>
                    <w:spacing w:line="320" w:lineRule="exact"/>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3台</w:t>
                  </w:r>
                </w:p>
              </w:tc>
              <w:tc>
                <w:tcPr>
                  <w:tcW w:w="423" w:type="pct"/>
                  <w:vAlign w:val="center"/>
                </w:tcPr>
                <w:p w14:paraId="03D215C0">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2D992218">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w:t>
                  </w:r>
                </w:p>
              </w:tc>
            </w:tr>
            <w:tr w14:paraId="6DC49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98E64EF">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集料皮带输</w:t>
                  </w:r>
                  <w:r>
                    <w:rPr>
                      <w:snapToGrid w:val="0"/>
                      <w:color w:val="auto"/>
                      <w:kern w:val="0"/>
                      <w:szCs w:val="21"/>
                      <w:highlight w:val="none"/>
                    </w:rPr>
                    <w:cr/>
                  </w:r>
                  <w:r>
                    <w:rPr>
                      <w:snapToGrid w:val="0"/>
                      <w:color w:val="auto"/>
                      <w:kern w:val="0"/>
                      <w:szCs w:val="21"/>
                      <w:highlight w:val="none"/>
                    </w:rPr>
                    <w:t>机</w:t>
                  </w:r>
                </w:p>
              </w:tc>
              <w:tc>
                <w:tcPr>
                  <w:tcW w:w="1390" w:type="pct"/>
                  <w:vAlign w:val="center"/>
                </w:tcPr>
                <w:p w14:paraId="06C2F407">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B0.8m*12m</w:t>
                  </w:r>
                </w:p>
              </w:tc>
              <w:tc>
                <w:tcPr>
                  <w:tcW w:w="674" w:type="pct"/>
                  <w:vAlign w:val="center"/>
                </w:tcPr>
                <w:p w14:paraId="001863CC">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1台</w:t>
                  </w:r>
                </w:p>
              </w:tc>
              <w:tc>
                <w:tcPr>
                  <w:tcW w:w="655" w:type="pct"/>
                  <w:shd w:val="clear" w:color="auto" w:fill="auto"/>
                  <w:vAlign w:val="center"/>
                </w:tcPr>
                <w:p w14:paraId="42B945E0">
                  <w:pPr>
                    <w:keepNext w:val="0"/>
                    <w:keepLines w:val="0"/>
                    <w:pageBreakBefore w:val="0"/>
                    <w:kinsoku/>
                    <w:wordWrap/>
                    <w:overflowPunct/>
                    <w:topLinePunct w:val="0"/>
                    <w:autoSpaceDE/>
                    <w:autoSpaceDN/>
                    <w:bidi w:val="0"/>
                    <w:adjustRightInd w:val="0"/>
                    <w:snapToGrid w:val="0"/>
                    <w:spacing w:line="320" w:lineRule="exact"/>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1台</w:t>
                  </w:r>
                </w:p>
              </w:tc>
              <w:tc>
                <w:tcPr>
                  <w:tcW w:w="423" w:type="pct"/>
                  <w:vAlign w:val="center"/>
                </w:tcPr>
                <w:p w14:paraId="58BA8821">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070534BB">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w:t>
                  </w:r>
                </w:p>
              </w:tc>
            </w:tr>
            <w:tr w14:paraId="5980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2AA6B904">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上料皮带输送机</w:t>
                  </w:r>
                </w:p>
              </w:tc>
              <w:tc>
                <w:tcPr>
                  <w:tcW w:w="1390" w:type="pct"/>
                  <w:vAlign w:val="center"/>
                </w:tcPr>
                <w:p w14:paraId="5914A13F">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B0.8m*16m</w:t>
                  </w:r>
                </w:p>
              </w:tc>
              <w:tc>
                <w:tcPr>
                  <w:tcW w:w="674" w:type="pct"/>
                  <w:vAlign w:val="center"/>
                </w:tcPr>
                <w:p w14:paraId="077AE314">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1台</w:t>
                  </w:r>
                </w:p>
              </w:tc>
              <w:tc>
                <w:tcPr>
                  <w:tcW w:w="655" w:type="pct"/>
                  <w:shd w:val="clear" w:color="auto" w:fill="auto"/>
                  <w:vAlign w:val="center"/>
                </w:tcPr>
                <w:p w14:paraId="10662D0B">
                  <w:pPr>
                    <w:keepNext w:val="0"/>
                    <w:keepLines w:val="0"/>
                    <w:pageBreakBefore w:val="0"/>
                    <w:kinsoku/>
                    <w:wordWrap/>
                    <w:overflowPunct/>
                    <w:topLinePunct w:val="0"/>
                    <w:autoSpaceDE/>
                    <w:autoSpaceDN/>
                    <w:bidi w:val="0"/>
                    <w:adjustRightInd w:val="0"/>
                    <w:snapToGrid w:val="0"/>
                    <w:spacing w:line="320" w:lineRule="exact"/>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1台</w:t>
                  </w:r>
                </w:p>
              </w:tc>
              <w:tc>
                <w:tcPr>
                  <w:tcW w:w="423" w:type="pct"/>
                  <w:vAlign w:val="center"/>
                </w:tcPr>
                <w:p w14:paraId="3ADAAA01">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71B8CC3D">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w:t>
                  </w:r>
                </w:p>
              </w:tc>
            </w:tr>
            <w:tr w14:paraId="2F337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28ECD90D">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电器控制系统</w:t>
                  </w:r>
                </w:p>
                <w:p w14:paraId="214FA1CA">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仪器仪表</w:t>
                  </w:r>
                </w:p>
              </w:tc>
              <w:tc>
                <w:tcPr>
                  <w:tcW w:w="1390" w:type="pct"/>
                  <w:vAlign w:val="center"/>
                </w:tcPr>
                <w:p w14:paraId="06FE829A">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电器控制PLC</w:t>
                  </w:r>
                </w:p>
              </w:tc>
              <w:tc>
                <w:tcPr>
                  <w:tcW w:w="674" w:type="pct"/>
                  <w:vAlign w:val="center"/>
                </w:tcPr>
                <w:p w14:paraId="6CE4F49B">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1套</w:t>
                  </w:r>
                </w:p>
              </w:tc>
              <w:tc>
                <w:tcPr>
                  <w:tcW w:w="655" w:type="pct"/>
                  <w:shd w:val="clear" w:color="auto" w:fill="auto"/>
                  <w:vAlign w:val="center"/>
                </w:tcPr>
                <w:p w14:paraId="2688D406">
                  <w:pPr>
                    <w:keepNext w:val="0"/>
                    <w:keepLines w:val="0"/>
                    <w:pageBreakBefore w:val="0"/>
                    <w:kinsoku/>
                    <w:wordWrap/>
                    <w:overflowPunct/>
                    <w:topLinePunct w:val="0"/>
                    <w:autoSpaceDE/>
                    <w:autoSpaceDN/>
                    <w:bidi w:val="0"/>
                    <w:adjustRightInd w:val="0"/>
                    <w:snapToGrid w:val="0"/>
                    <w:spacing w:line="320" w:lineRule="exact"/>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1套</w:t>
                  </w:r>
                </w:p>
              </w:tc>
              <w:tc>
                <w:tcPr>
                  <w:tcW w:w="423" w:type="pct"/>
                  <w:vAlign w:val="center"/>
                </w:tcPr>
                <w:p w14:paraId="6A3AAB71">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67CFEFE8">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w:t>
                  </w:r>
                </w:p>
              </w:tc>
            </w:tr>
            <w:tr w14:paraId="132A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64CF3530">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过滤机</w:t>
                  </w:r>
                </w:p>
              </w:tc>
              <w:tc>
                <w:tcPr>
                  <w:tcW w:w="1390" w:type="pct"/>
                  <w:vAlign w:val="center"/>
                </w:tcPr>
                <w:p w14:paraId="7C3868BF">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过滤面积20m</w:t>
                  </w:r>
                  <w:r>
                    <w:rPr>
                      <w:snapToGrid w:val="0"/>
                      <w:color w:val="auto"/>
                      <w:kern w:val="0"/>
                      <w:szCs w:val="21"/>
                      <w:highlight w:val="none"/>
                      <w:vertAlign w:val="superscript"/>
                    </w:rPr>
                    <w:t>2</w:t>
                  </w:r>
                  <w:r>
                    <w:rPr>
                      <w:snapToGrid w:val="0"/>
                      <w:color w:val="auto"/>
                      <w:kern w:val="0"/>
                      <w:szCs w:val="21"/>
                      <w:highlight w:val="none"/>
                    </w:rPr>
                    <w:t>，滤筒长度5.5 m，转鼓直径 φ1.2m</w:t>
                  </w:r>
                </w:p>
              </w:tc>
              <w:tc>
                <w:tcPr>
                  <w:tcW w:w="674" w:type="pct"/>
                  <w:vAlign w:val="center"/>
                </w:tcPr>
                <w:p w14:paraId="1B176053">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1台</w:t>
                  </w:r>
                </w:p>
              </w:tc>
              <w:tc>
                <w:tcPr>
                  <w:tcW w:w="655" w:type="pct"/>
                  <w:shd w:val="clear" w:color="auto" w:fill="auto"/>
                  <w:vAlign w:val="center"/>
                </w:tcPr>
                <w:p w14:paraId="6AD70A38">
                  <w:pPr>
                    <w:keepNext w:val="0"/>
                    <w:keepLines w:val="0"/>
                    <w:pageBreakBefore w:val="0"/>
                    <w:kinsoku/>
                    <w:wordWrap/>
                    <w:overflowPunct/>
                    <w:topLinePunct w:val="0"/>
                    <w:autoSpaceDE/>
                    <w:autoSpaceDN/>
                    <w:bidi w:val="0"/>
                    <w:adjustRightInd w:val="0"/>
                    <w:snapToGrid w:val="0"/>
                    <w:spacing w:line="320" w:lineRule="exact"/>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1台</w:t>
                  </w:r>
                </w:p>
              </w:tc>
              <w:tc>
                <w:tcPr>
                  <w:tcW w:w="423" w:type="pct"/>
                  <w:vAlign w:val="center"/>
                </w:tcPr>
                <w:p w14:paraId="56AFFDC7">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38A7A9D0">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w:t>
                  </w:r>
                </w:p>
              </w:tc>
            </w:tr>
            <w:tr w14:paraId="33900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5CCAE864">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污水泵</w:t>
                  </w:r>
                </w:p>
              </w:tc>
              <w:tc>
                <w:tcPr>
                  <w:tcW w:w="1390" w:type="pct"/>
                  <w:vAlign w:val="center"/>
                </w:tcPr>
                <w:p w14:paraId="6F422D3A">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1用1备</w:t>
                  </w:r>
                </w:p>
              </w:tc>
              <w:tc>
                <w:tcPr>
                  <w:tcW w:w="674" w:type="pct"/>
                  <w:vAlign w:val="center"/>
                </w:tcPr>
                <w:p w14:paraId="58CDEF4C">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snapToGrid w:val="0"/>
                      <w:color w:val="auto"/>
                      <w:kern w:val="0"/>
                      <w:szCs w:val="21"/>
                      <w:highlight w:val="none"/>
                    </w:rPr>
                    <w:t>2台</w:t>
                  </w:r>
                </w:p>
              </w:tc>
              <w:tc>
                <w:tcPr>
                  <w:tcW w:w="655" w:type="pct"/>
                  <w:shd w:val="clear" w:color="auto" w:fill="auto"/>
                  <w:vAlign w:val="center"/>
                </w:tcPr>
                <w:p w14:paraId="6F621FBB">
                  <w:pPr>
                    <w:keepNext w:val="0"/>
                    <w:keepLines w:val="0"/>
                    <w:pageBreakBefore w:val="0"/>
                    <w:kinsoku/>
                    <w:wordWrap/>
                    <w:overflowPunct/>
                    <w:topLinePunct w:val="0"/>
                    <w:autoSpaceDE/>
                    <w:autoSpaceDN/>
                    <w:bidi w:val="0"/>
                    <w:adjustRightInd w:val="0"/>
                    <w:snapToGrid w:val="0"/>
                    <w:spacing w:line="320" w:lineRule="exact"/>
                    <w:jc w:val="center"/>
                    <w:rPr>
                      <w:rFonts w:ascii="Times New Roman" w:hAnsi="Times New Roman" w:eastAsia="宋体" w:cs="Times New Roman"/>
                      <w:snapToGrid w:val="0"/>
                      <w:color w:val="auto"/>
                      <w:kern w:val="0"/>
                      <w:sz w:val="21"/>
                      <w:szCs w:val="21"/>
                      <w:highlight w:val="none"/>
                      <w:lang w:val="en-US" w:eastAsia="zh-CN" w:bidi="ar-SA"/>
                    </w:rPr>
                  </w:pPr>
                  <w:r>
                    <w:rPr>
                      <w:snapToGrid w:val="0"/>
                      <w:color w:val="auto"/>
                      <w:kern w:val="0"/>
                      <w:szCs w:val="21"/>
                      <w:highlight w:val="none"/>
                    </w:rPr>
                    <w:t>2台</w:t>
                  </w:r>
                </w:p>
              </w:tc>
              <w:tc>
                <w:tcPr>
                  <w:tcW w:w="423" w:type="pct"/>
                  <w:vAlign w:val="center"/>
                </w:tcPr>
                <w:p w14:paraId="22684312">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14E1C004">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w:t>
                  </w:r>
                </w:p>
              </w:tc>
            </w:tr>
            <w:tr w14:paraId="0865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389A74A4">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菜渣缓冲料仓</w:t>
                  </w:r>
                </w:p>
              </w:tc>
              <w:tc>
                <w:tcPr>
                  <w:tcW w:w="1390" w:type="pct"/>
                  <w:vAlign w:val="center"/>
                </w:tcPr>
                <w:p w14:paraId="187994CB">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容积80m</w:t>
                  </w:r>
                  <w:r>
                    <w:rPr>
                      <w:color w:val="auto"/>
                      <w:kern w:val="0"/>
                      <w:szCs w:val="21"/>
                      <w:highlight w:val="none"/>
                      <w:vertAlign w:val="superscript"/>
                    </w:rPr>
                    <w:t>3</w:t>
                  </w:r>
                </w:p>
              </w:tc>
              <w:tc>
                <w:tcPr>
                  <w:tcW w:w="674" w:type="pct"/>
                  <w:vAlign w:val="center"/>
                </w:tcPr>
                <w:p w14:paraId="0B4DE1BA">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45D955F7">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3DC3C3D1">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1A3BEFA9">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7DB8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4915F2A5">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U型螺旋输送机</w:t>
                  </w:r>
                </w:p>
              </w:tc>
              <w:tc>
                <w:tcPr>
                  <w:tcW w:w="1390" w:type="pct"/>
                  <w:vAlign w:val="center"/>
                </w:tcPr>
                <w:p w14:paraId="6A0A85B8">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LS400</w:t>
                  </w:r>
                </w:p>
              </w:tc>
              <w:tc>
                <w:tcPr>
                  <w:tcW w:w="674" w:type="pct"/>
                  <w:vAlign w:val="center"/>
                </w:tcPr>
                <w:p w14:paraId="30B8E59F">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404DCF51">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04172601">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0719A419">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773D9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3C8B6126">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高温滚筒烘干机</w:t>
                  </w:r>
                </w:p>
              </w:tc>
              <w:tc>
                <w:tcPr>
                  <w:tcW w:w="1390" w:type="pct"/>
                  <w:vAlign w:val="center"/>
                </w:tcPr>
                <w:p w14:paraId="4A1AD0BC">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2.4m×24m×0.16m</w:t>
                  </w:r>
                </w:p>
              </w:tc>
              <w:tc>
                <w:tcPr>
                  <w:tcW w:w="674" w:type="pct"/>
                  <w:vAlign w:val="center"/>
                </w:tcPr>
                <w:p w14:paraId="01C6A5A6">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3CCD939E">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35A4E4BA">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11E77343">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39D70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061BD7A">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引风机</w:t>
                  </w:r>
                </w:p>
              </w:tc>
              <w:tc>
                <w:tcPr>
                  <w:tcW w:w="1390" w:type="pct"/>
                  <w:vAlign w:val="center"/>
                </w:tcPr>
                <w:p w14:paraId="10AEAFE3">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kern w:val="0"/>
                      <w:szCs w:val="21"/>
                      <w:highlight w:val="none"/>
                    </w:rPr>
                    <w:t>HK51-1300D</w:t>
                  </w:r>
                  <w:r>
                    <w:rPr>
                      <w:color w:val="auto"/>
                      <w:kern w:val="0"/>
                      <w:szCs w:val="21"/>
                      <w:highlight w:val="none"/>
                    </w:rPr>
                    <w:t>风量</w:t>
                  </w:r>
                  <w:r>
                    <w:rPr>
                      <w:rFonts w:hint="eastAsia"/>
                      <w:color w:val="auto"/>
                      <w:kern w:val="0"/>
                      <w:szCs w:val="21"/>
                      <w:highlight w:val="none"/>
                    </w:rPr>
                    <w:t>10000-60000</w:t>
                  </w:r>
                  <w:r>
                    <w:rPr>
                      <w:color w:val="auto"/>
                      <w:kern w:val="0"/>
                      <w:szCs w:val="21"/>
                      <w:highlight w:val="none"/>
                    </w:rPr>
                    <w:t>m</w:t>
                  </w:r>
                  <w:r>
                    <w:rPr>
                      <w:color w:val="auto"/>
                      <w:kern w:val="0"/>
                      <w:szCs w:val="21"/>
                      <w:highlight w:val="none"/>
                      <w:vertAlign w:val="superscript"/>
                    </w:rPr>
                    <w:t>3</w:t>
                  </w:r>
                  <w:r>
                    <w:rPr>
                      <w:color w:val="auto"/>
                      <w:kern w:val="0"/>
                      <w:szCs w:val="21"/>
                      <w:highlight w:val="none"/>
                    </w:rPr>
                    <w:t>/h</w:t>
                  </w:r>
                </w:p>
              </w:tc>
              <w:tc>
                <w:tcPr>
                  <w:tcW w:w="674" w:type="pct"/>
                  <w:vAlign w:val="center"/>
                </w:tcPr>
                <w:p w14:paraId="189E64A5">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0F87C4DE">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66983198">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77B36FDA">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6DD5A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08C1F72E">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皮带输送机</w:t>
                  </w:r>
                </w:p>
              </w:tc>
              <w:tc>
                <w:tcPr>
                  <w:tcW w:w="1390" w:type="pct"/>
                  <w:vAlign w:val="center"/>
                </w:tcPr>
                <w:p w14:paraId="14345E81">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B0.6m×30m</w:t>
                  </w:r>
                </w:p>
              </w:tc>
              <w:tc>
                <w:tcPr>
                  <w:tcW w:w="674" w:type="pct"/>
                  <w:vAlign w:val="center"/>
                </w:tcPr>
                <w:p w14:paraId="381A3695">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60ACC30D">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5EC3AA27">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1363919B">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3380F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39B37F42">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低温网链烘干箱</w:t>
                  </w:r>
                </w:p>
              </w:tc>
              <w:tc>
                <w:tcPr>
                  <w:tcW w:w="1390" w:type="pct"/>
                  <w:vAlign w:val="center"/>
                </w:tcPr>
                <w:p w14:paraId="3625CFBC">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30m×3.2m×4m</w:t>
                  </w:r>
                </w:p>
              </w:tc>
              <w:tc>
                <w:tcPr>
                  <w:tcW w:w="674" w:type="pct"/>
                  <w:vAlign w:val="center"/>
                </w:tcPr>
                <w:p w14:paraId="639F2115">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6AC50EE6">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24D97974">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46152032">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3C1D4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7649A970">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引风机</w:t>
                  </w:r>
                </w:p>
              </w:tc>
              <w:tc>
                <w:tcPr>
                  <w:tcW w:w="1390" w:type="pct"/>
                  <w:vAlign w:val="center"/>
                </w:tcPr>
                <w:p w14:paraId="02F61B16">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kern w:val="0"/>
                      <w:szCs w:val="21"/>
                      <w:highlight w:val="none"/>
                    </w:rPr>
                    <w:t>HK48-1250D</w:t>
                  </w:r>
                  <w:r>
                    <w:rPr>
                      <w:color w:val="auto"/>
                      <w:kern w:val="0"/>
                      <w:szCs w:val="21"/>
                      <w:highlight w:val="none"/>
                    </w:rPr>
                    <w:t>，风量</w:t>
                  </w:r>
                  <w:r>
                    <w:rPr>
                      <w:rFonts w:hint="eastAsia"/>
                      <w:color w:val="auto"/>
                      <w:kern w:val="0"/>
                      <w:szCs w:val="21"/>
                      <w:highlight w:val="none"/>
                    </w:rPr>
                    <w:t>10000-50000</w:t>
                  </w:r>
                  <w:r>
                    <w:rPr>
                      <w:color w:val="auto"/>
                      <w:kern w:val="0"/>
                      <w:szCs w:val="21"/>
                      <w:highlight w:val="none"/>
                    </w:rPr>
                    <w:t>m</w:t>
                  </w:r>
                  <w:r>
                    <w:rPr>
                      <w:color w:val="auto"/>
                      <w:kern w:val="0"/>
                      <w:szCs w:val="21"/>
                      <w:highlight w:val="none"/>
                      <w:vertAlign w:val="superscript"/>
                    </w:rPr>
                    <w:t>3</w:t>
                  </w:r>
                  <w:r>
                    <w:rPr>
                      <w:color w:val="auto"/>
                      <w:kern w:val="0"/>
                      <w:szCs w:val="21"/>
                      <w:highlight w:val="none"/>
                    </w:rPr>
                    <w:t>/h</w:t>
                  </w:r>
                </w:p>
              </w:tc>
              <w:tc>
                <w:tcPr>
                  <w:tcW w:w="674" w:type="pct"/>
                  <w:vAlign w:val="center"/>
                </w:tcPr>
                <w:p w14:paraId="3679D5F6">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7B121655">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7FEFB529">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2A05D085">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3E29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49C96ADD">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U型螺旋输送机</w:t>
                  </w:r>
                </w:p>
              </w:tc>
              <w:tc>
                <w:tcPr>
                  <w:tcW w:w="1390" w:type="pct"/>
                  <w:vAlign w:val="center"/>
                </w:tcPr>
                <w:p w14:paraId="4F157195">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LS300</w:t>
                  </w:r>
                </w:p>
              </w:tc>
              <w:tc>
                <w:tcPr>
                  <w:tcW w:w="674" w:type="pct"/>
                  <w:vAlign w:val="center"/>
                </w:tcPr>
                <w:p w14:paraId="04B33E0B">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6B5FE876">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5965E71C">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355FFAE8">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27B9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5815378B">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冷却滚筒</w:t>
                  </w:r>
                </w:p>
              </w:tc>
              <w:tc>
                <w:tcPr>
                  <w:tcW w:w="1390" w:type="pct"/>
                  <w:vAlign w:val="center"/>
                </w:tcPr>
                <w:p w14:paraId="4100B134">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1.5m×12m×12m</w:t>
                  </w:r>
                </w:p>
              </w:tc>
              <w:tc>
                <w:tcPr>
                  <w:tcW w:w="674" w:type="pct"/>
                  <w:vAlign w:val="center"/>
                </w:tcPr>
                <w:p w14:paraId="529AEC56">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1C696DEB">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13AA9F93">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13B87DA8">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386F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0BAA41DE">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冷却风机</w:t>
                  </w:r>
                </w:p>
              </w:tc>
              <w:tc>
                <w:tcPr>
                  <w:tcW w:w="1390" w:type="pct"/>
                  <w:vAlign w:val="center"/>
                </w:tcPr>
                <w:p w14:paraId="1DAD8864">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风量32000</w:t>
                  </w:r>
                  <w:r>
                    <w:rPr>
                      <w:color w:val="auto"/>
                      <w:kern w:val="0"/>
                      <w:szCs w:val="21"/>
                      <w:highlight w:val="none"/>
                      <w:vertAlign w:val="superscript"/>
                    </w:rPr>
                    <w:t>3</w:t>
                  </w:r>
                  <w:r>
                    <w:rPr>
                      <w:color w:val="auto"/>
                      <w:kern w:val="0"/>
                      <w:szCs w:val="21"/>
                      <w:highlight w:val="none"/>
                    </w:rPr>
                    <w:t>/h</w:t>
                  </w:r>
                </w:p>
              </w:tc>
              <w:tc>
                <w:tcPr>
                  <w:tcW w:w="674" w:type="pct"/>
                  <w:vAlign w:val="center"/>
                </w:tcPr>
                <w:p w14:paraId="25561449">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3</w:t>
                  </w:r>
                  <w:r>
                    <w:rPr>
                      <w:snapToGrid w:val="0"/>
                      <w:color w:val="auto"/>
                      <w:kern w:val="0"/>
                      <w:szCs w:val="21"/>
                      <w:highlight w:val="none"/>
                    </w:rPr>
                    <w:t>台</w:t>
                  </w:r>
                </w:p>
              </w:tc>
              <w:tc>
                <w:tcPr>
                  <w:tcW w:w="655" w:type="pct"/>
                  <w:shd w:val="clear" w:color="auto" w:fill="auto"/>
                  <w:vAlign w:val="center"/>
                </w:tcPr>
                <w:p w14:paraId="7254F195">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3</w:t>
                  </w:r>
                  <w:r>
                    <w:rPr>
                      <w:snapToGrid w:val="0"/>
                      <w:color w:val="auto"/>
                      <w:kern w:val="0"/>
                      <w:szCs w:val="21"/>
                      <w:highlight w:val="none"/>
                    </w:rPr>
                    <w:t>台</w:t>
                  </w:r>
                </w:p>
              </w:tc>
              <w:tc>
                <w:tcPr>
                  <w:tcW w:w="423" w:type="pct"/>
                  <w:vAlign w:val="center"/>
                </w:tcPr>
                <w:p w14:paraId="3FC4E2C1">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7F3BE93D">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2617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3555D20C">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U型螺旋输送机</w:t>
                  </w:r>
                </w:p>
              </w:tc>
              <w:tc>
                <w:tcPr>
                  <w:tcW w:w="1390" w:type="pct"/>
                  <w:vAlign w:val="center"/>
                </w:tcPr>
                <w:p w14:paraId="3867D440">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LS</w:t>
                  </w:r>
                  <w:r>
                    <w:rPr>
                      <w:color w:val="auto"/>
                      <w:kern w:val="0"/>
                      <w:szCs w:val="21"/>
                      <w:highlight w:val="none"/>
                    </w:rPr>
                    <w:cr/>
                  </w:r>
                  <w:r>
                    <w:rPr>
                      <w:color w:val="auto"/>
                      <w:kern w:val="0"/>
                      <w:szCs w:val="21"/>
                      <w:highlight w:val="none"/>
                    </w:rPr>
                    <w:t>00</w:t>
                  </w:r>
                </w:p>
              </w:tc>
              <w:tc>
                <w:tcPr>
                  <w:tcW w:w="674" w:type="pct"/>
                  <w:vAlign w:val="center"/>
                </w:tcPr>
                <w:p w14:paraId="02467671">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643A82B3">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33B4E8F8">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3E5A37B4">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0744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78D6F00B">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烘干成品料仓</w:t>
                  </w:r>
                </w:p>
              </w:tc>
              <w:tc>
                <w:tcPr>
                  <w:tcW w:w="1390" w:type="pct"/>
                  <w:vAlign w:val="center"/>
                </w:tcPr>
                <w:p w14:paraId="68C3D885">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容积50m</w:t>
                  </w:r>
                  <w:r>
                    <w:rPr>
                      <w:color w:val="auto"/>
                      <w:kern w:val="0"/>
                      <w:szCs w:val="21"/>
                      <w:highlight w:val="none"/>
                      <w:vertAlign w:val="superscript"/>
                    </w:rPr>
                    <w:t>3</w:t>
                  </w:r>
                </w:p>
              </w:tc>
              <w:tc>
                <w:tcPr>
                  <w:tcW w:w="674" w:type="pct"/>
                  <w:vAlign w:val="center"/>
                </w:tcPr>
                <w:p w14:paraId="3C565057">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5654F445">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142BCCAB">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6F57682D">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1C89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69CB2DE6">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皮带输送</w:t>
                  </w:r>
                </w:p>
              </w:tc>
              <w:tc>
                <w:tcPr>
                  <w:tcW w:w="1390" w:type="pct"/>
                  <w:vAlign w:val="center"/>
                </w:tcPr>
                <w:p w14:paraId="32ACCD63">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输送距离8m</w:t>
                  </w:r>
                </w:p>
              </w:tc>
              <w:tc>
                <w:tcPr>
                  <w:tcW w:w="674" w:type="pct"/>
                  <w:vAlign w:val="center"/>
                </w:tcPr>
                <w:p w14:paraId="2A5019F8">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5E01121D">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6A20C643">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0662EF7B">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340C7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7275443D">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U型螺旋输送机</w:t>
                  </w:r>
                </w:p>
              </w:tc>
              <w:tc>
                <w:tcPr>
                  <w:tcW w:w="1390" w:type="pct"/>
                  <w:vAlign w:val="center"/>
                </w:tcPr>
                <w:p w14:paraId="17C7C5C8">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LS300</w:t>
                  </w:r>
                </w:p>
              </w:tc>
              <w:tc>
                <w:tcPr>
                  <w:tcW w:w="674" w:type="pct"/>
                  <w:vAlign w:val="center"/>
                </w:tcPr>
                <w:p w14:paraId="65FB599A">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76A961E0">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5B1CD505">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7C250A63">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2D66A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5D063FD1">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粉碎机</w:t>
                  </w:r>
                </w:p>
              </w:tc>
              <w:tc>
                <w:tcPr>
                  <w:tcW w:w="1390" w:type="pct"/>
                  <w:vAlign w:val="center"/>
                </w:tcPr>
                <w:p w14:paraId="53CB2B76">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SFSP66-100B</w:t>
                  </w:r>
                </w:p>
              </w:tc>
              <w:tc>
                <w:tcPr>
                  <w:tcW w:w="674" w:type="pct"/>
                  <w:vAlign w:val="center"/>
                </w:tcPr>
                <w:p w14:paraId="344F3558">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5DBE44E3">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6765A316">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412E6F0A">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425A9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5686348B">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U型螺旋输送机</w:t>
                  </w:r>
                </w:p>
              </w:tc>
              <w:tc>
                <w:tcPr>
                  <w:tcW w:w="1390" w:type="pct"/>
                  <w:vAlign w:val="center"/>
                </w:tcPr>
                <w:p w14:paraId="759A9508">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LS300</w:t>
                  </w:r>
                </w:p>
              </w:tc>
              <w:tc>
                <w:tcPr>
                  <w:tcW w:w="674" w:type="pct"/>
                  <w:vAlign w:val="center"/>
                </w:tcPr>
                <w:p w14:paraId="46543A42">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284BD49D">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00284E53">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25517DFA">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7E575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29ABF555">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粉碎机布袋除尘器</w:t>
                  </w:r>
                </w:p>
              </w:tc>
              <w:tc>
                <w:tcPr>
                  <w:tcW w:w="1390" w:type="pct"/>
                  <w:vAlign w:val="center"/>
                </w:tcPr>
                <w:p w14:paraId="31A8988D">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kern w:val="0"/>
                      <w:szCs w:val="21"/>
                      <w:highlight w:val="none"/>
                    </w:rPr>
                    <w:t>风量8288-16578</w:t>
                  </w:r>
                  <w:r>
                    <w:rPr>
                      <w:color w:val="auto"/>
                      <w:kern w:val="0"/>
                      <w:szCs w:val="21"/>
                      <w:highlight w:val="none"/>
                    </w:rPr>
                    <w:t>m</w:t>
                  </w:r>
                  <w:r>
                    <w:rPr>
                      <w:color w:val="auto"/>
                      <w:kern w:val="0"/>
                      <w:szCs w:val="21"/>
                      <w:highlight w:val="none"/>
                      <w:vertAlign w:val="superscript"/>
                    </w:rPr>
                    <w:t>3</w:t>
                  </w:r>
                  <w:r>
                    <w:rPr>
                      <w:color w:val="auto"/>
                      <w:kern w:val="0"/>
                      <w:szCs w:val="21"/>
                      <w:highlight w:val="none"/>
                    </w:rPr>
                    <w:t>/h</w:t>
                  </w:r>
                </w:p>
              </w:tc>
              <w:tc>
                <w:tcPr>
                  <w:tcW w:w="674" w:type="pct"/>
                  <w:vAlign w:val="center"/>
                </w:tcPr>
                <w:p w14:paraId="2BF11A90">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5B94C8C6">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75E73230">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417D489C">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4408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776B6447">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U型螺旋输送机</w:t>
                  </w:r>
                </w:p>
              </w:tc>
              <w:tc>
                <w:tcPr>
                  <w:tcW w:w="1390" w:type="pct"/>
                  <w:vAlign w:val="center"/>
                </w:tcPr>
                <w:p w14:paraId="6DF2FC30">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LS300</w:t>
                  </w:r>
                </w:p>
              </w:tc>
              <w:tc>
                <w:tcPr>
                  <w:tcW w:w="674" w:type="pct"/>
                  <w:vAlign w:val="center"/>
                </w:tcPr>
                <w:p w14:paraId="1DC1BC25">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2C5B90EA">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4FD320B2">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719A35A3">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2BA02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9189313">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打包料仓</w:t>
                  </w:r>
                </w:p>
              </w:tc>
              <w:tc>
                <w:tcPr>
                  <w:tcW w:w="1390" w:type="pct"/>
                  <w:vAlign w:val="center"/>
                </w:tcPr>
                <w:p w14:paraId="5ECF0D14">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容积30m</w:t>
                  </w:r>
                  <w:r>
                    <w:rPr>
                      <w:color w:val="auto"/>
                      <w:kern w:val="0"/>
                      <w:szCs w:val="21"/>
                      <w:highlight w:val="none"/>
                      <w:vertAlign w:val="superscript"/>
                    </w:rPr>
                    <w:t>3</w:t>
                  </w:r>
                </w:p>
              </w:tc>
              <w:tc>
                <w:tcPr>
                  <w:tcW w:w="674" w:type="pct"/>
                  <w:vAlign w:val="center"/>
                </w:tcPr>
                <w:p w14:paraId="4835958D">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4AB72188">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6E8E3A0B">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61559774">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2EA4B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39FFD170">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打包机</w:t>
                  </w:r>
                </w:p>
              </w:tc>
              <w:tc>
                <w:tcPr>
                  <w:tcW w:w="1390" w:type="pct"/>
                  <w:vAlign w:val="center"/>
                </w:tcPr>
                <w:p w14:paraId="261297C5">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BCQ-50</w:t>
                  </w:r>
                </w:p>
              </w:tc>
              <w:tc>
                <w:tcPr>
                  <w:tcW w:w="674" w:type="pct"/>
                  <w:vAlign w:val="center"/>
                </w:tcPr>
                <w:p w14:paraId="3255317D">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095868D9">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1FBAF78B">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62B75780">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20091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004E4D6C">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kern w:val="0"/>
                      <w:szCs w:val="21"/>
                      <w:highlight w:val="none"/>
                    </w:rPr>
                    <w:t>热风炉1</w:t>
                  </w:r>
                </w:p>
              </w:tc>
              <w:tc>
                <w:tcPr>
                  <w:tcW w:w="1390" w:type="pct"/>
                  <w:vAlign w:val="center"/>
                </w:tcPr>
                <w:p w14:paraId="56FCEA05">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800万大卡/h，3m×2m×2.5m</w:t>
                  </w:r>
                </w:p>
              </w:tc>
              <w:tc>
                <w:tcPr>
                  <w:tcW w:w="674" w:type="pct"/>
                  <w:vAlign w:val="center"/>
                </w:tcPr>
                <w:p w14:paraId="3FAAAE17">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11E57C47">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2BDD740E">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69BA02C4">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0132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7B3415F">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kern w:val="0"/>
                      <w:szCs w:val="21"/>
                      <w:highlight w:val="none"/>
                    </w:rPr>
                    <w:t>热风炉1</w:t>
                  </w:r>
                  <w:r>
                    <w:rPr>
                      <w:color w:val="auto"/>
                      <w:kern w:val="0"/>
                      <w:szCs w:val="21"/>
                      <w:highlight w:val="none"/>
                    </w:rPr>
                    <w:t>降尘室</w:t>
                  </w:r>
                </w:p>
              </w:tc>
              <w:tc>
                <w:tcPr>
                  <w:tcW w:w="1390" w:type="pct"/>
                  <w:vAlign w:val="center"/>
                </w:tcPr>
                <w:p w14:paraId="52DF8FAF">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2m×2m×8m，降尘率≧50%</w:t>
                  </w:r>
                </w:p>
              </w:tc>
              <w:tc>
                <w:tcPr>
                  <w:tcW w:w="674" w:type="pct"/>
                  <w:vAlign w:val="center"/>
                </w:tcPr>
                <w:p w14:paraId="659812ED">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161AEC96">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21F2EBD8">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7F4E7D87">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2C5F6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09162AB">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kern w:val="0"/>
                      <w:szCs w:val="21"/>
                      <w:highlight w:val="none"/>
                    </w:rPr>
                    <w:t>低氮燃烧器</w:t>
                  </w:r>
                </w:p>
              </w:tc>
              <w:tc>
                <w:tcPr>
                  <w:tcW w:w="1390" w:type="pct"/>
                  <w:vAlign w:val="center"/>
                </w:tcPr>
                <w:p w14:paraId="3482E223">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kern w:val="0"/>
                      <w:szCs w:val="21"/>
                      <w:highlight w:val="none"/>
                    </w:rPr>
                    <w:t>-</w:t>
                  </w:r>
                </w:p>
              </w:tc>
              <w:tc>
                <w:tcPr>
                  <w:tcW w:w="674" w:type="pct"/>
                  <w:vAlign w:val="center"/>
                </w:tcPr>
                <w:p w14:paraId="1C2A178B">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kern w:val="0"/>
                      <w:szCs w:val="21"/>
                      <w:highlight w:val="none"/>
                    </w:rPr>
                    <w:t>2台</w:t>
                  </w:r>
                </w:p>
              </w:tc>
              <w:tc>
                <w:tcPr>
                  <w:tcW w:w="655" w:type="pct"/>
                  <w:shd w:val="clear" w:color="auto" w:fill="auto"/>
                  <w:vAlign w:val="center"/>
                </w:tcPr>
                <w:p w14:paraId="15D601E2">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rFonts w:hint="eastAsia"/>
                      <w:color w:val="auto"/>
                      <w:kern w:val="0"/>
                      <w:szCs w:val="21"/>
                      <w:highlight w:val="none"/>
                    </w:rPr>
                    <w:t>2台</w:t>
                  </w:r>
                </w:p>
              </w:tc>
              <w:tc>
                <w:tcPr>
                  <w:tcW w:w="423" w:type="pct"/>
                  <w:vAlign w:val="center"/>
                </w:tcPr>
                <w:p w14:paraId="4E12F6C8">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48923747">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3BE9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640E62C2">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kern w:val="0"/>
                      <w:szCs w:val="21"/>
                      <w:highlight w:val="none"/>
                    </w:rPr>
                    <w:t>尿素喷淋设备</w:t>
                  </w:r>
                </w:p>
              </w:tc>
              <w:tc>
                <w:tcPr>
                  <w:tcW w:w="1390" w:type="pct"/>
                  <w:vAlign w:val="center"/>
                </w:tcPr>
                <w:p w14:paraId="16EF8B7D">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kern w:val="0"/>
                      <w:szCs w:val="21"/>
                      <w:highlight w:val="none"/>
                    </w:rPr>
                    <w:t>-</w:t>
                  </w:r>
                </w:p>
              </w:tc>
              <w:tc>
                <w:tcPr>
                  <w:tcW w:w="674" w:type="pct"/>
                  <w:vAlign w:val="center"/>
                </w:tcPr>
                <w:p w14:paraId="7EC6FA2C">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kern w:val="0"/>
                      <w:szCs w:val="21"/>
                      <w:highlight w:val="none"/>
                    </w:rPr>
                    <w:t>2套</w:t>
                  </w:r>
                </w:p>
              </w:tc>
              <w:tc>
                <w:tcPr>
                  <w:tcW w:w="655" w:type="pct"/>
                  <w:shd w:val="clear" w:color="auto" w:fill="auto"/>
                  <w:vAlign w:val="center"/>
                </w:tcPr>
                <w:p w14:paraId="327859EE">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rFonts w:hint="eastAsia"/>
                      <w:color w:val="auto"/>
                      <w:kern w:val="0"/>
                      <w:szCs w:val="21"/>
                      <w:highlight w:val="none"/>
                    </w:rPr>
                    <w:t>2套</w:t>
                  </w:r>
                </w:p>
              </w:tc>
              <w:tc>
                <w:tcPr>
                  <w:tcW w:w="423" w:type="pct"/>
                  <w:vAlign w:val="center"/>
                </w:tcPr>
                <w:p w14:paraId="4E1EC153">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0CEB5A08">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46838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0D9E6139">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旋风除尘器</w:t>
                  </w:r>
                </w:p>
              </w:tc>
              <w:tc>
                <w:tcPr>
                  <w:tcW w:w="1390" w:type="pct"/>
                  <w:vAlign w:val="center"/>
                </w:tcPr>
                <w:p w14:paraId="10047B7C">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2m×6m</w:t>
                  </w:r>
                </w:p>
              </w:tc>
              <w:tc>
                <w:tcPr>
                  <w:tcW w:w="674" w:type="pct"/>
                  <w:vAlign w:val="center"/>
                </w:tcPr>
                <w:p w14:paraId="17020B3B">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44759F57">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rFonts w:hint="eastAsia"/>
                      <w:color w:val="auto"/>
                      <w:kern w:val="0"/>
                      <w:szCs w:val="21"/>
                      <w:highlight w:val="none"/>
                    </w:rPr>
                    <w:t>1</w:t>
                  </w:r>
                  <w:r>
                    <w:rPr>
                      <w:snapToGrid w:val="0"/>
                      <w:color w:val="auto"/>
                      <w:kern w:val="0"/>
                      <w:szCs w:val="21"/>
                      <w:highlight w:val="none"/>
                    </w:rPr>
                    <w:t>台</w:t>
                  </w:r>
                </w:p>
              </w:tc>
              <w:tc>
                <w:tcPr>
                  <w:tcW w:w="423" w:type="pct"/>
                  <w:vAlign w:val="center"/>
                </w:tcPr>
                <w:p w14:paraId="6F6E9C54">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0170268D">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4FA41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401A2053">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喷淋塔水膜除尘器</w:t>
                  </w:r>
                </w:p>
              </w:tc>
              <w:tc>
                <w:tcPr>
                  <w:tcW w:w="1390" w:type="pct"/>
                  <w:vAlign w:val="center"/>
                </w:tcPr>
                <w:p w14:paraId="4556F24F">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BTC-60</w:t>
                  </w:r>
                </w:p>
              </w:tc>
              <w:tc>
                <w:tcPr>
                  <w:tcW w:w="674" w:type="pct"/>
                  <w:vAlign w:val="center"/>
                </w:tcPr>
                <w:p w14:paraId="339A9897">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4CDCB52B">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4A1F0411">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22EBEB07">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46160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66639331">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kern w:val="0"/>
                      <w:szCs w:val="21"/>
                      <w:highlight w:val="none"/>
                    </w:rPr>
                    <w:t>热风炉2</w:t>
                  </w:r>
                </w:p>
              </w:tc>
              <w:tc>
                <w:tcPr>
                  <w:tcW w:w="1390" w:type="pct"/>
                  <w:vAlign w:val="center"/>
                </w:tcPr>
                <w:p w14:paraId="1512BBB6">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300万大卡/h，2.5m×1</w:t>
                  </w:r>
                  <w:r>
                    <w:rPr>
                      <w:color w:val="auto"/>
                      <w:kern w:val="0"/>
                      <w:szCs w:val="21"/>
                      <w:highlight w:val="none"/>
                    </w:rPr>
                    <w:cr/>
                  </w:r>
                  <w:r>
                    <w:rPr>
                      <w:color w:val="auto"/>
                      <w:kern w:val="0"/>
                      <w:szCs w:val="21"/>
                      <w:highlight w:val="none"/>
                    </w:rPr>
                    <w:t>5m×2m</w:t>
                  </w:r>
                </w:p>
              </w:tc>
              <w:tc>
                <w:tcPr>
                  <w:tcW w:w="674" w:type="pct"/>
                  <w:vAlign w:val="center"/>
                </w:tcPr>
                <w:p w14:paraId="0AB7E0BB">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4B350E78">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4D78F5B3">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3476A148">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66989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55CC788C">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szCs w:val="21"/>
                      <w:highlight w:val="none"/>
                    </w:rPr>
                    <w:t>钠碱法</w:t>
                  </w:r>
                  <w:r>
                    <w:rPr>
                      <w:rFonts w:hint="eastAsia"/>
                      <w:color w:val="auto"/>
                      <w:kern w:val="0"/>
                      <w:szCs w:val="21"/>
                      <w:highlight w:val="none"/>
                    </w:rPr>
                    <w:t>脱硫</w:t>
                  </w:r>
                </w:p>
              </w:tc>
              <w:tc>
                <w:tcPr>
                  <w:tcW w:w="1390" w:type="pct"/>
                  <w:vAlign w:val="center"/>
                </w:tcPr>
                <w:p w14:paraId="20396EE0">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kern w:val="0"/>
                      <w:szCs w:val="21"/>
                      <w:highlight w:val="none"/>
                    </w:rPr>
                    <w:t>-</w:t>
                  </w:r>
                </w:p>
              </w:tc>
              <w:tc>
                <w:tcPr>
                  <w:tcW w:w="674" w:type="pct"/>
                  <w:vAlign w:val="center"/>
                </w:tcPr>
                <w:p w14:paraId="565F3CF3">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kern w:val="0"/>
                      <w:szCs w:val="21"/>
                      <w:highlight w:val="none"/>
                    </w:rPr>
                    <w:t>1套</w:t>
                  </w:r>
                </w:p>
              </w:tc>
              <w:tc>
                <w:tcPr>
                  <w:tcW w:w="655" w:type="pct"/>
                  <w:shd w:val="clear" w:color="auto" w:fill="auto"/>
                  <w:vAlign w:val="center"/>
                </w:tcPr>
                <w:p w14:paraId="1EB20B40">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rFonts w:hint="eastAsia"/>
                      <w:color w:val="auto"/>
                      <w:kern w:val="0"/>
                      <w:szCs w:val="21"/>
                      <w:highlight w:val="none"/>
                    </w:rPr>
                    <w:t>1套</w:t>
                  </w:r>
                </w:p>
              </w:tc>
              <w:tc>
                <w:tcPr>
                  <w:tcW w:w="423" w:type="pct"/>
                  <w:vAlign w:val="center"/>
                </w:tcPr>
                <w:p w14:paraId="2F6648FA">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020A778A">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5B610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0818DA36">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收集池提升泵</w:t>
                  </w:r>
                </w:p>
              </w:tc>
              <w:tc>
                <w:tcPr>
                  <w:tcW w:w="1390" w:type="pct"/>
                  <w:vAlign w:val="center"/>
                </w:tcPr>
                <w:p w14:paraId="3C7802DD">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WQ80-50-15-</w:t>
                  </w:r>
                  <w:r>
                    <w:rPr>
                      <w:color w:val="auto"/>
                      <w:kern w:val="0"/>
                      <w:szCs w:val="21"/>
                      <w:highlight w:val="none"/>
                    </w:rPr>
                    <w:cr/>
                  </w:r>
                  <w:r>
                    <w:rPr>
                      <w:color w:val="auto"/>
                      <w:kern w:val="0"/>
                      <w:szCs w:val="21"/>
                      <w:highlight w:val="none"/>
                    </w:rPr>
                    <w:t>.5</w:t>
                  </w:r>
                </w:p>
              </w:tc>
              <w:tc>
                <w:tcPr>
                  <w:tcW w:w="674" w:type="pct"/>
                  <w:vAlign w:val="center"/>
                </w:tcPr>
                <w:p w14:paraId="6312A96E">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w:t>
                  </w:r>
                  <w:r>
                    <w:rPr>
                      <w:snapToGrid w:val="0"/>
                      <w:color w:val="auto"/>
                      <w:kern w:val="0"/>
                      <w:szCs w:val="21"/>
                      <w:highlight w:val="none"/>
                    </w:rPr>
                    <w:t>台</w:t>
                  </w:r>
                </w:p>
              </w:tc>
              <w:tc>
                <w:tcPr>
                  <w:tcW w:w="655" w:type="pct"/>
                  <w:shd w:val="clear" w:color="auto" w:fill="auto"/>
                  <w:vAlign w:val="center"/>
                </w:tcPr>
                <w:p w14:paraId="5DFAD64C">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2</w:t>
                  </w:r>
                  <w:r>
                    <w:rPr>
                      <w:snapToGrid w:val="0"/>
                      <w:color w:val="auto"/>
                      <w:kern w:val="0"/>
                      <w:szCs w:val="21"/>
                      <w:highlight w:val="none"/>
                    </w:rPr>
                    <w:t>台</w:t>
                  </w:r>
                </w:p>
              </w:tc>
              <w:tc>
                <w:tcPr>
                  <w:tcW w:w="423" w:type="pct"/>
                  <w:vAlign w:val="center"/>
                </w:tcPr>
                <w:p w14:paraId="7AFC0CAE">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327F5EB5">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7D658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33E40B7C">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固液分离机</w:t>
                  </w:r>
                </w:p>
              </w:tc>
              <w:tc>
                <w:tcPr>
                  <w:tcW w:w="1390" w:type="pct"/>
                  <w:vAlign w:val="center"/>
                </w:tcPr>
                <w:p w14:paraId="4E995B74">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一台栅隙0.7mm，一台栅隙0.5mm</w:t>
                  </w:r>
                </w:p>
              </w:tc>
              <w:tc>
                <w:tcPr>
                  <w:tcW w:w="674" w:type="pct"/>
                  <w:vAlign w:val="center"/>
                </w:tcPr>
                <w:p w14:paraId="6C564EF3">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w:t>
                  </w:r>
                  <w:r>
                    <w:rPr>
                      <w:snapToGrid w:val="0"/>
                      <w:color w:val="auto"/>
                      <w:kern w:val="0"/>
                      <w:szCs w:val="21"/>
                      <w:highlight w:val="none"/>
                    </w:rPr>
                    <w:t>台</w:t>
                  </w:r>
                </w:p>
              </w:tc>
              <w:tc>
                <w:tcPr>
                  <w:tcW w:w="655" w:type="pct"/>
                  <w:shd w:val="clear" w:color="auto" w:fill="auto"/>
                  <w:vAlign w:val="center"/>
                </w:tcPr>
                <w:p w14:paraId="461FAA00">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2</w:t>
                  </w:r>
                  <w:r>
                    <w:rPr>
                      <w:snapToGrid w:val="0"/>
                      <w:color w:val="auto"/>
                      <w:kern w:val="0"/>
                      <w:szCs w:val="21"/>
                      <w:highlight w:val="none"/>
                    </w:rPr>
                    <w:t>台</w:t>
                  </w:r>
                </w:p>
              </w:tc>
              <w:tc>
                <w:tcPr>
                  <w:tcW w:w="423" w:type="pct"/>
                  <w:vAlign w:val="center"/>
                </w:tcPr>
                <w:p w14:paraId="47C9A73A">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1E21451F">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2D157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3A61DD9F">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调节池提升泵</w:t>
                  </w:r>
                </w:p>
              </w:tc>
              <w:tc>
                <w:tcPr>
                  <w:tcW w:w="1390" w:type="pct"/>
                  <w:vAlign w:val="center"/>
                </w:tcPr>
                <w:p w14:paraId="577FEA50">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RMW80-100</w:t>
                  </w:r>
                </w:p>
              </w:tc>
              <w:tc>
                <w:tcPr>
                  <w:tcW w:w="674" w:type="pct"/>
                  <w:vAlign w:val="center"/>
                </w:tcPr>
                <w:p w14:paraId="614CD8D3">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w:t>
                  </w:r>
                  <w:r>
                    <w:rPr>
                      <w:snapToGrid w:val="0"/>
                      <w:color w:val="auto"/>
                      <w:kern w:val="0"/>
                      <w:szCs w:val="21"/>
                      <w:highlight w:val="none"/>
                    </w:rPr>
                    <w:t>台</w:t>
                  </w:r>
                </w:p>
              </w:tc>
              <w:tc>
                <w:tcPr>
                  <w:tcW w:w="655" w:type="pct"/>
                  <w:shd w:val="clear" w:color="auto" w:fill="auto"/>
                  <w:vAlign w:val="center"/>
                </w:tcPr>
                <w:p w14:paraId="5C2707B8">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2</w:t>
                  </w:r>
                  <w:r>
                    <w:rPr>
                      <w:snapToGrid w:val="0"/>
                      <w:color w:val="auto"/>
                      <w:kern w:val="0"/>
                      <w:szCs w:val="21"/>
                      <w:highlight w:val="none"/>
                    </w:rPr>
                    <w:t>台</w:t>
                  </w:r>
                </w:p>
              </w:tc>
              <w:tc>
                <w:tcPr>
                  <w:tcW w:w="423" w:type="pct"/>
                  <w:vAlign w:val="center"/>
                </w:tcPr>
                <w:p w14:paraId="605FFB5A">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5D3A9FE8">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73E1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2C6623F5">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潜水搅拌机</w:t>
                  </w:r>
                </w:p>
              </w:tc>
              <w:tc>
                <w:tcPr>
                  <w:tcW w:w="1390" w:type="pct"/>
                  <w:vAlign w:val="center"/>
                </w:tcPr>
                <w:p w14:paraId="657E26A6">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QJB2.2/8-320/3</w:t>
                  </w:r>
                </w:p>
              </w:tc>
              <w:tc>
                <w:tcPr>
                  <w:tcW w:w="674" w:type="pct"/>
                  <w:vAlign w:val="center"/>
                </w:tcPr>
                <w:p w14:paraId="339D946F">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w:t>
                  </w:r>
                  <w:r>
                    <w:rPr>
                      <w:snapToGrid w:val="0"/>
                      <w:color w:val="auto"/>
                      <w:kern w:val="0"/>
                      <w:szCs w:val="21"/>
                      <w:highlight w:val="none"/>
                    </w:rPr>
                    <w:t>台</w:t>
                  </w:r>
                </w:p>
              </w:tc>
              <w:tc>
                <w:tcPr>
                  <w:tcW w:w="655" w:type="pct"/>
                  <w:shd w:val="clear" w:color="auto" w:fill="auto"/>
                  <w:vAlign w:val="center"/>
                </w:tcPr>
                <w:p w14:paraId="3F542FE7">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2</w:t>
                  </w:r>
                  <w:r>
                    <w:rPr>
                      <w:snapToGrid w:val="0"/>
                      <w:color w:val="auto"/>
                      <w:kern w:val="0"/>
                      <w:szCs w:val="21"/>
                      <w:highlight w:val="none"/>
                    </w:rPr>
                    <w:t>台</w:t>
                  </w:r>
                </w:p>
              </w:tc>
              <w:tc>
                <w:tcPr>
                  <w:tcW w:w="423" w:type="pct"/>
                  <w:vAlign w:val="center"/>
                </w:tcPr>
                <w:p w14:paraId="1BBE98FF">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7A002D93">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76FE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25D707FE">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叠螺压滤机</w:t>
                  </w:r>
                </w:p>
              </w:tc>
              <w:tc>
                <w:tcPr>
                  <w:tcW w:w="1390" w:type="pct"/>
                  <w:vAlign w:val="center"/>
                </w:tcPr>
                <w:p w14:paraId="455A5D23">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DL-402</w:t>
                  </w:r>
                </w:p>
              </w:tc>
              <w:tc>
                <w:tcPr>
                  <w:tcW w:w="674" w:type="pct"/>
                  <w:vAlign w:val="center"/>
                </w:tcPr>
                <w:p w14:paraId="36B3D498">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w:t>
                  </w:r>
                  <w:r>
                    <w:rPr>
                      <w:snapToGrid w:val="0"/>
                      <w:color w:val="auto"/>
                      <w:kern w:val="0"/>
                      <w:szCs w:val="21"/>
                      <w:highlight w:val="none"/>
                    </w:rPr>
                    <w:t>台</w:t>
                  </w:r>
                </w:p>
              </w:tc>
              <w:tc>
                <w:tcPr>
                  <w:tcW w:w="655" w:type="pct"/>
                  <w:shd w:val="clear" w:color="auto" w:fill="auto"/>
                  <w:vAlign w:val="center"/>
                </w:tcPr>
                <w:p w14:paraId="2BEF8CA2">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2</w:t>
                  </w:r>
                  <w:r>
                    <w:rPr>
                      <w:snapToGrid w:val="0"/>
                      <w:color w:val="auto"/>
                      <w:kern w:val="0"/>
                      <w:szCs w:val="21"/>
                      <w:highlight w:val="none"/>
                    </w:rPr>
                    <w:t>台</w:t>
                  </w:r>
                </w:p>
              </w:tc>
              <w:tc>
                <w:tcPr>
                  <w:tcW w:w="423" w:type="pct"/>
                  <w:vAlign w:val="center"/>
                </w:tcPr>
                <w:p w14:paraId="1FF2EC49">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455F604C">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72862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0AF0D6A8">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中间池提升泵</w:t>
                  </w:r>
                </w:p>
              </w:tc>
              <w:tc>
                <w:tcPr>
                  <w:tcW w:w="1390" w:type="pct"/>
                  <w:vAlign w:val="center"/>
                </w:tcPr>
                <w:p w14:paraId="54679477">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RMW80-100</w:t>
                  </w:r>
                </w:p>
              </w:tc>
              <w:tc>
                <w:tcPr>
                  <w:tcW w:w="674" w:type="pct"/>
                  <w:vAlign w:val="center"/>
                </w:tcPr>
                <w:p w14:paraId="24B7843B">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w:t>
                  </w:r>
                  <w:r>
                    <w:rPr>
                      <w:snapToGrid w:val="0"/>
                      <w:color w:val="auto"/>
                      <w:kern w:val="0"/>
                      <w:szCs w:val="21"/>
                      <w:highlight w:val="none"/>
                    </w:rPr>
                    <w:t>台</w:t>
                  </w:r>
                </w:p>
              </w:tc>
              <w:tc>
                <w:tcPr>
                  <w:tcW w:w="655" w:type="pct"/>
                  <w:shd w:val="clear" w:color="auto" w:fill="auto"/>
                  <w:vAlign w:val="center"/>
                </w:tcPr>
                <w:p w14:paraId="2F588D99">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2</w:t>
                  </w:r>
                  <w:r>
                    <w:rPr>
                      <w:snapToGrid w:val="0"/>
                      <w:color w:val="auto"/>
                      <w:kern w:val="0"/>
                      <w:szCs w:val="21"/>
                      <w:highlight w:val="none"/>
                    </w:rPr>
                    <w:t>台</w:t>
                  </w:r>
                </w:p>
              </w:tc>
              <w:tc>
                <w:tcPr>
                  <w:tcW w:w="423" w:type="pct"/>
                  <w:vAlign w:val="center"/>
                </w:tcPr>
                <w:p w14:paraId="733CE8F7">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02C24964">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21C5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F6B6E1E">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中间池潜水搅拌机</w:t>
                  </w:r>
                </w:p>
              </w:tc>
              <w:tc>
                <w:tcPr>
                  <w:tcW w:w="1390" w:type="pct"/>
                  <w:vAlign w:val="center"/>
                </w:tcPr>
                <w:p w14:paraId="776C4957">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QJB2.2/8-320/3</w:t>
                  </w:r>
                </w:p>
              </w:tc>
              <w:tc>
                <w:tcPr>
                  <w:tcW w:w="674" w:type="pct"/>
                  <w:vAlign w:val="center"/>
                </w:tcPr>
                <w:p w14:paraId="104683A6">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w:t>
                  </w:r>
                  <w:r>
                    <w:rPr>
                      <w:snapToGrid w:val="0"/>
                      <w:color w:val="auto"/>
                      <w:kern w:val="0"/>
                      <w:szCs w:val="21"/>
                      <w:highlight w:val="none"/>
                    </w:rPr>
                    <w:t>台</w:t>
                  </w:r>
                </w:p>
              </w:tc>
              <w:tc>
                <w:tcPr>
                  <w:tcW w:w="655" w:type="pct"/>
                  <w:shd w:val="clear" w:color="auto" w:fill="auto"/>
                  <w:vAlign w:val="center"/>
                </w:tcPr>
                <w:p w14:paraId="7C35204A">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2</w:t>
                  </w:r>
                  <w:r>
                    <w:rPr>
                      <w:snapToGrid w:val="0"/>
                      <w:color w:val="auto"/>
                      <w:kern w:val="0"/>
                      <w:szCs w:val="21"/>
                      <w:highlight w:val="none"/>
                    </w:rPr>
                    <w:t>台</w:t>
                  </w:r>
                </w:p>
              </w:tc>
              <w:tc>
                <w:tcPr>
                  <w:tcW w:w="423" w:type="pct"/>
                  <w:vAlign w:val="center"/>
                </w:tcPr>
                <w:p w14:paraId="1D249E70">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20DEE35D">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6572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2589C01A">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强氧化气浮一体机</w:t>
                  </w:r>
                </w:p>
              </w:tc>
              <w:tc>
                <w:tcPr>
                  <w:tcW w:w="1390" w:type="pct"/>
                  <w:vAlign w:val="center"/>
                </w:tcPr>
                <w:p w14:paraId="309B79AA">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10×3.0×3.0m</w:t>
                  </w:r>
                </w:p>
              </w:tc>
              <w:tc>
                <w:tcPr>
                  <w:tcW w:w="674" w:type="pct"/>
                  <w:vAlign w:val="center"/>
                </w:tcPr>
                <w:p w14:paraId="57974EE4">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62BA5C64">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227740D2">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53FE7F9F">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5089B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00467ACB">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气液混合泵</w:t>
                  </w:r>
                </w:p>
              </w:tc>
              <w:tc>
                <w:tcPr>
                  <w:tcW w:w="1390" w:type="pct"/>
                  <w:vAlign w:val="center"/>
                </w:tcPr>
                <w:p w14:paraId="2AE17C2A">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CDL16-4</w:t>
                  </w:r>
                </w:p>
              </w:tc>
              <w:tc>
                <w:tcPr>
                  <w:tcW w:w="674" w:type="pct"/>
                  <w:vAlign w:val="center"/>
                </w:tcPr>
                <w:p w14:paraId="27651680">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6C1CFA0C">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2EB19E7D">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6F19EC43">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4035C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4D765824">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PAC加药装置</w:t>
                  </w:r>
                </w:p>
              </w:tc>
              <w:tc>
                <w:tcPr>
                  <w:tcW w:w="1390" w:type="pct"/>
                  <w:vAlign w:val="center"/>
                </w:tcPr>
                <w:p w14:paraId="50203B0A">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V=3m³，配搅拌机1台</w:t>
                  </w:r>
                </w:p>
              </w:tc>
              <w:tc>
                <w:tcPr>
                  <w:tcW w:w="674" w:type="pct"/>
                  <w:vAlign w:val="center"/>
                </w:tcPr>
                <w:p w14:paraId="7F85BFED">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rFonts w:hint="eastAsia"/>
                      <w:color w:val="auto"/>
                      <w:kern w:val="0"/>
                      <w:szCs w:val="21"/>
                      <w:highlight w:val="none"/>
                    </w:rPr>
                    <w:t>套</w:t>
                  </w:r>
                </w:p>
              </w:tc>
              <w:tc>
                <w:tcPr>
                  <w:tcW w:w="655" w:type="pct"/>
                  <w:shd w:val="clear" w:color="auto" w:fill="auto"/>
                  <w:vAlign w:val="center"/>
                </w:tcPr>
                <w:p w14:paraId="4920EA5F">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rFonts w:hint="eastAsia"/>
                      <w:color w:val="auto"/>
                      <w:kern w:val="0"/>
                      <w:szCs w:val="21"/>
                      <w:highlight w:val="none"/>
                    </w:rPr>
                    <w:t>套</w:t>
                  </w:r>
                </w:p>
              </w:tc>
              <w:tc>
                <w:tcPr>
                  <w:tcW w:w="423" w:type="pct"/>
                  <w:vAlign w:val="center"/>
                </w:tcPr>
                <w:p w14:paraId="0ECC2158">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4827F6D9">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3EA1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69239DB0">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PAM加药装置</w:t>
                  </w:r>
                </w:p>
              </w:tc>
              <w:tc>
                <w:tcPr>
                  <w:tcW w:w="1390" w:type="pct"/>
                  <w:vAlign w:val="center"/>
                </w:tcPr>
                <w:p w14:paraId="16655A75">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V=3m³，配搅拌机1台</w:t>
                  </w:r>
                </w:p>
              </w:tc>
              <w:tc>
                <w:tcPr>
                  <w:tcW w:w="674" w:type="pct"/>
                  <w:vAlign w:val="center"/>
                </w:tcPr>
                <w:p w14:paraId="494BF519">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rFonts w:hint="eastAsia"/>
                      <w:color w:val="auto"/>
                      <w:kern w:val="0"/>
                      <w:szCs w:val="21"/>
                      <w:highlight w:val="none"/>
                    </w:rPr>
                    <w:t>套</w:t>
                  </w:r>
                </w:p>
              </w:tc>
              <w:tc>
                <w:tcPr>
                  <w:tcW w:w="655" w:type="pct"/>
                  <w:shd w:val="clear" w:color="auto" w:fill="auto"/>
                  <w:vAlign w:val="center"/>
                </w:tcPr>
                <w:p w14:paraId="02069B93">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rFonts w:hint="eastAsia"/>
                      <w:color w:val="auto"/>
                      <w:kern w:val="0"/>
                      <w:szCs w:val="21"/>
                      <w:highlight w:val="none"/>
                    </w:rPr>
                    <w:t>套</w:t>
                  </w:r>
                </w:p>
              </w:tc>
              <w:tc>
                <w:tcPr>
                  <w:tcW w:w="423" w:type="pct"/>
                  <w:vAlign w:val="center"/>
                </w:tcPr>
                <w:p w14:paraId="528B018F">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39C7BCC5">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6FC9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586AE6C9">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石灰投加装置</w:t>
                  </w:r>
                </w:p>
              </w:tc>
              <w:tc>
                <w:tcPr>
                  <w:tcW w:w="1390" w:type="pct"/>
                  <w:vAlign w:val="center"/>
                </w:tcPr>
                <w:p w14:paraId="182480DE">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投加量25kg/h</w:t>
                  </w:r>
                </w:p>
              </w:tc>
              <w:tc>
                <w:tcPr>
                  <w:tcW w:w="674" w:type="pct"/>
                  <w:vAlign w:val="center"/>
                </w:tcPr>
                <w:p w14:paraId="4B7081F0">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rFonts w:hint="eastAsia"/>
                      <w:color w:val="auto"/>
                      <w:kern w:val="0"/>
                      <w:szCs w:val="21"/>
                      <w:highlight w:val="none"/>
                    </w:rPr>
                    <w:t>套</w:t>
                  </w:r>
                </w:p>
              </w:tc>
              <w:tc>
                <w:tcPr>
                  <w:tcW w:w="655" w:type="pct"/>
                  <w:shd w:val="clear" w:color="auto" w:fill="auto"/>
                  <w:vAlign w:val="center"/>
                </w:tcPr>
                <w:p w14:paraId="3635C45B">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rFonts w:hint="eastAsia"/>
                      <w:color w:val="auto"/>
                      <w:kern w:val="0"/>
                      <w:szCs w:val="21"/>
                      <w:highlight w:val="none"/>
                    </w:rPr>
                    <w:t>套</w:t>
                  </w:r>
                </w:p>
              </w:tc>
              <w:tc>
                <w:tcPr>
                  <w:tcW w:w="423" w:type="pct"/>
                  <w:vAlign w:val="center"/>
                </w:tcPr>
                <w:p w14:paraId="47BAADAD">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5FA59EC9">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4C2C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EC6E760">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中间池2提升泵</w:t>
                  </w:r>
                </w:p>
              </w:tc>
              <w:tc>
                <w:tcPr>
                  <w:tcW w:w="1390" w:type="pct"/>
                  <w:vAlign w:val="center"/>
                </w:tcPr>
                <w:p w14:paraId="4FA717AE">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RMW80-160</w:t>
                  </w:r>
                </w:p>
              </w:tc>
              <w:tc>
                <w:tcPr>
                  <w:tcW w:w="674" w:type="pct"/>
                  <w:vAlign w:val="center"/>
                </w:tcPr>
                <w:p w14:paraId="584444D4">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w:t>
                  </w:r>
                  <w:r>
                    <w:rPr>
                      <w:snapToGrid w:val="0"/>
                      <w:color w:val="auto"/>
                      <w:kern w:val="0"/>
                      <w:szCs w:val="21"/>
                      <w:highlight w:val="none"/>
                    </w:rPr>
                    <w:t>台</w:t>
                  </w:r>
                </w:p>
              </w:tc>
              <w:tc>
                <w:tcPr>
                  <w:tcW w:w="655" w:type="pct"/>
                  <w:shd w:val="clear" w:color="auto" w:fill="auto"/>
                  <w:vAlign w:val="center"/>
                </w:tcPr>
                <w:p w14:paraId="4E1151F4">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2</w:t>
                  </w:r>
                  <w:r>
                    <w:rPr>
                      <w:snapToGrid w:val="0"/>
                      <w:color w:val="auto"/>
                      <w:kern w:val="0"/>
                      <w:szCs w:val="21"/>
                      <w:highlight w:val="none"/>
                    </w:rPr>
                    <w:t>台</w:t>
                  </w:r>
                </w:p>
              </w:tc>
              <w:tc>
                <w:tcPr>
                  <w:tcW w:w="423" w:type="pct"/>
                  <w:vAlign w:val="center"/>
                </w:tcPr>
                <w:p w14:paraId="0981EEC9">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58B25322">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3C03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5624F810">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IC厌氧塔</w:t>
                  </w:r>
                </w:p>
              </w:tc>
              <w:tc>
                <w:tcPr>
                  <w:tcW w:w="1390" w:type="pct"/>
                  <w:vAlign w:val="center"/>
                </w:tcPr>
                <w:p w14:paraId="634D5ADF">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Ф12.0×18.0m</w:t>
                  </w:r>
                </w:p>
              </w:tc>
              <w:tc>
                <w:tcPr>
                  <w:tcW w:w="674" w:type="pct"/>
                  <w:vAlign w:val="center"/>
                </w:tcPr>
                <w:p w14:paraId="29A40DC8">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w:t>
                  </w:r>
                  <w:r>
                    <w:rPr>
                      <w:snapToGrid w:val="0"/>
                      <w:color w:val="auto"/>
                      <w:kern w:val="0"/>
                      <w:szCs w:val="21"/>
                      <w:highlight w:val="none"/>
                    </w:rPr>
                    <w:t>台</w:t>
                  </w:r>
                </w:p>
              </w:tc>
              <w:tc>
                <w:tcPr>
                  <w:tcW w:w="655" w:type="pct"/>
                  <w:shd w:val="clear" w:color="auto" w:fill="auto"/>
                  <w:vAlign w:val="center"/>
                </w:tcPr>
                <w:p w14:paraId="15B1734C">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2</w:t>
                  </w:r>
                  <w:r>
                    <w:rPr>
                      <w:snapToGrid w:val="0"/>
                      <w:color w:val="auto"/>
                      <w:kern w:val="0"/>
                      <w:szCs w:val="21"/>
                      <w:highlight w:val="none"/>
                    </w:rPr>
                    <w:t>台</w:t>
                  </w:r>
                </w:p>
              </w:tc>
              <w:tc>
                <w:tcPr>
                  <w:tcW w:w="423" w:type="pct"/>
                  <w:vAlign w:val="center"/>
                </w:tcPr>
                <w:p w14:paraId="53A0E294">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5E213BE7">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53AB6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7FD78E31">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厌氧塔循环泵</w:t>
                  </w:r>
                </w:p>
              </w:tc>
              <w:tc>
                <w:tcPr>
                  <w:tcW w:w="1390" w:type="pct"/>
                  <w:vAlign w:val="center"/>
                </w:tcPr>
                <w:p w14:paraId="0B76F2CD">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RML80-125</w:t>
                  </w:r>
                </w:p>
              </w:tc>
              <w:tc>
                <w:tcPr>
                  <w:tcW w:w="674" w:type="pct"/>
                  <w:vAlign w:val="center"/>
                </w:tcPr>
                <w:p w14:paraId="6D4D65D5">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rFonts w:hint="eastAsia"/>
                      <w:color w:val="auto"/>
                      <w:kern w:val="0"/>
                      <w:szCs w:val="21"/>
                      <w:highlight w:val="none"/>
                    </w:rPr>
                    <w:t>4</w:t>
                  </w:r>
                  <w:r>
                    <w:rPr>
                      <w:snapToGrid w:val="0"/>
                      <w:color w:val="auto"/>
                      <w:kern w:val="0"/>
                      <w:szCs w:val="21"/>
                      <w:highlight w:val="none"/>
                    </w:rPr>
                    <w:t>台</w:t>
                  </w:r>
                </w:p>
              </w:tc>
              <w:tc>
                <w:tcPr>
                  <w:tcW w:w="655" w:type="pct"/>
                  <w:shd w:val="clear" w:color="auto" w:fill="auto"/>
                  <w:vAlign w:val="center"/>
                </w:tcPr>
                <w:p w14:paraId="4D488188">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rFonts w:hint="eastAsia"/>
                      <w:color w:val="auto"/>
                      <w:kern w:val="0"/>
                      <w:szCs w:val="21"/>
                      <w:highlight w:val="none"/>
                    </w:rPr>
                    <w:t>4</w:t>
                  </w:r>
                  <w:r>
                    <w:rPr>
                      <w:snapToGrid w:val="0"/>
                      <w:color w:val="auto"/>
                      <w:kern w:val="0"/>
                      <w:szCs w:val="21"/>
                      <w:highlight w:val="none"/>
                    </w:rPr>
                    <w:t>台</w:t>
                  </w:r>
                </w:p>
              </w:tc>
              <w:tc>
                <w:tcPr>
                  <w:tcW w:w="423" w:type="pct"/>
                  <w:vAlign w:val="center"/>
                </w:tcPr>
                <w:p w14:paraId="719E20A2">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5A56EC13">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1497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728AC347">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水解池搅拌系统</w:t>
                  </w:r>
                </w:p>
              </w:tc>
              <w:tc>
                <w:tcPr>
                  <w:tcW w:w="1390" w:type="pct"/>
                  <w:vAlign w:val="center"/>
                </w:tcPr>
                <w:p w14:paraId="5072803D">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QJB2.2/8-320/3</w:t>
                  </w:r>
                </w:p>
              </w:tc>
              <w:tc>
                <w:tcPr>
                  <w:tcW w:w="674" w:type="pct"/>
                  <w:vAlign w:val="center"/>
                </w:tcPr>
                <w:p w14:paraId="53AE9154">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w:t>
                  </w:r>
                  <w:r>
                    <w:rPr>
                      <w:snapToGrid w:val="0"/>
                      <w:color w:val="auto"/>
                      <w:kern w:val="0"/>
                      <w:szCs w:val="21"/>
                      <w:highlight w:val="none"/>
                    </w:rPr>
                    <w:t>台</w:t>
                  </w:r>
                </w:p>
              </w:tc>
              <w:tc>
                <w:tcPr>
                  <w:tcW w:w="655" w:type="pct"/>
                  <w:shd w:val="clear" w:color="auto" w:fill="auto"/>
                  <w:vAlign w:val="center"/>
                </w:tcPr>
                <w:p w14:paraId="6B0A364E">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2</w:t>
                  </w:r>
                  <w:r>
                    <w:rPr>
                      <w:snapToGrid w:val="0"/>
                      <w:color w:val="auto"/>
                      <w:kern w:val="0"/>
                      <w:szCs w:val="21"/>
                      <w:highlight w:val="none"/>
                    </w:rPr>
                    <w:t>台</w:t>
                  </w:r>
                </w:p>
              </w:tc>
              <w:tc>
                <w:tcPr>
                  <w:tcW w:w="423" w:type="pct"/>
                  <w:vAlign w:val="center"/>
                </w:tcPr>
                <w:p w14:paraId="01D232AB">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77EE85FC">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03CD9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03C489D7">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旋混曝气器</w:t>
                  </w:r>
                </w:p>
              </w:tc>
              <w:tc>
                <w:tcPr>
                  <w:tcW w:w="1390" w:type="pct"/>
                  <w:vAlign w:val="center"/>
                </w:tcPr>
                <w:p w14:paraId="25E8A678">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DN260</w:t>
                  </w:r>
                </w:p>
              </w:tc>
              <w:tc>
                <w:tcPr>
                  <w:tcW w:w="674" w:type="pct"/>
                  <w:vAlign w:val="center"/>
                </w:tcPr>
                <w:p w14:paraId="69470742">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900</w:t>
                  </w:r>
                  <w:r>
                    <w:rPr>
                      <w:rFonts w:hint="eastAsia"/>
                      <w:color w:val="auto"/>
                      <w:kern w:val="0"/>
                      <w:szCs w:val="21"/>
                      <w:highlight w:val="none"/>
                    </w:rPr>
                    <w:t>套</w:t>
                  </w:r>
                </w:p>
              </w:tc>
              <w:tc>
                <w:tcPr>
                  <w:tcW w:w="655" w:type="pct"/>
                  <w:shd w:val="clear" w:color="auto" w:fill="auto"/>
                  <w:vAlign w:val="center"/>
                </w:tcPr>
                <w:p w14:paraId="64EE5B9F">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900</w:t>
                  </w:r>
                  <w:r>
                    <w:rPr>
                      <w:rFonts w:hint="eastAsia"/>
                      <w:color w:val="auto"/>
                      <w:kern w:val="0"/>
                      <w:szCs w:val="21"/>
                      <w:highlight w:val="none"/>
                    </w:rPr>
                    <w:t>套</w:t>
                  </w:r>
                </w:p>
              </w:tc>
              <w:tc>
                <w:tcPr>
                  <w:tcW w:w="423" w:type="pct"/>
                  <w:vAlign w:val="center"/>
                </w:tcPr>
                <w:p w14:paraId="273DCB23">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08A6D888">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7C89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007D01F3">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硝化液回流泵</w:t>
                  </w:r>
                </w:p>
              </w:tc>
              <w:tc>
                <w:tcPr>
                  <w:tcW w:w="1390" w:type="pct"/>
                  <w:vAlign w:val="center"/>
                </w:tcPr>
                <w:p w14:paraId="56C07402">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RMW100-100</w:t>
                  </w:r>
                </w:p>
              </w:tc>
              <w:tc>
                <w:tcPr>
                  <w:tcW w:w="674" w:type="pct"/>
                  <w:vAlign w:val="center"/>
                </w:tcPr>
                <w:p w14:paraId="302F5B6D">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w:t>
                  </w:r>
                  <w:r>
                    <w:rPr>
                      <w:snapToGrid w:val="0"/>
                      <w:color w:val="auto"/>
                      <w:kern w:val="0"/>
                      <w:szCs w:val="21"/>
                      <w:highlight w:val="none"/>
                    </w:rPr>
                    <w:t>台</w:t>
                  </w:r>
                </w:p>
              </w:tc>
              <w:tc>
                <w:tcPr>
                  <w:tcW w:w="655" w:type="pct"/>
                  <w:shd w:val="clear" w:color="auto" w:fill="auto"/>
                  <w:vAlign w:val="center"/>
                </w:tcPr>
                <w:p w14:paraId="23D33CB7">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2</w:t>
                  </w:r>
                  <w:r>
                    <w:rPr>
                      <w:snapToGrid w:val="0"/>
                      <w:color w:val="auto"/>
                      <w:kern w:val="0"/>
                      <w:szCs w:val="21"/>
                      <w:highlight w:val="none"/>
                    </w:rPr>
                    <w:t>台</w:t>
                  </w:r>
                </w:p>
              </w:tc>
              <w:tc>
                <w:tcPr>
                  <w:tcW w:w="423" w:type="pct"/>
                  <w:vAlign w:val="center"/>
                </w:tcPr>
                <w:p w14:paraId="79CD0355">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4905BF53">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44A1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4B7BBE64">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鼓风机</w:t>
                  </w:r>
                </w:p>
              </w:tc>
              <w:tc>
                <w:tcPr>
                  <w:tcW w:w="1390" w:type="pct"/>
                  <w:vAlign w:val="center"/>
                </w:tcPr>
                <w:p w14:paraId="6543D3C6">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BR250</w:t>
                  </w:r>
                </w:p>
              </w:tc>
              <w:tc>
                <w:tcPr>
                  <w:tcW w:w="674" w:type="pct"/>
                  <w:vAlign w:val="center"/>
                </w:tcPr>
                <w:p w14:paraId="76203DC6">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w:t>
                  </w:r>
                  <w:r>
                    <w:rPr>
                      <w:snapToGrid w:val="0"/>
                      <w:color w:val="auto"/>
                      <w:kern w:val="0"/>
                      <w:szCs w:val="21"/>
                      <w:highlight w:val="none"/>
                    </w:rPr>
                    <w:t>台</w:t>
                  </w:r>
                </w:p>
              </w:tc>
              <w:tc>
                <w:tcPr>
                  <w:tcW w:w="655" w:type="pct"/>
                  <w:shd w:val="clear" w:color="auto" w:fill="auto"/>
                  <w:vAlign w:val="center"/>
                </w:tcPr>
                <w:p w14:paraId="4DEED5E1">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2</w:t>
                  </w:r>
                  <w:r>
                    <w:rPr>
                      <w:snapToGrid w:val="0"/>
                      <w:color w:val="auto"/>
                      <w:kern w:val="0"/>
                      <w:szCs w:val="21"/>
                      <w:highlight w:val="none"/>
                    </w:rPr>
                    <w:t>台</w:t>
                  </w:r>
                </w:p>
              </w:tc>
              <w:tc>
                <w:tcPr>
                  <w:tcW w:w="423" w:type="pct"/>
                  <w:vAlign w:val="center"/>
                </w:tcPr>
                <w:p w14:paraId="5E9009CE">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56D50158">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0279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02E5B75A">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斜管填料及支架</w:t>
                  </w:r>
                </w:p>
              </w:tc>
              <w:tc>
                <w:tcPr>
                  <w:tcW w:w="1390" w:type="pct"/>
                  <w:vAlign w:val="center"/>
                </w:tcPr>
                <w:p w14:paraId="41B7B1EA">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Ф50</w:t>
                  </w:r>
                </w:p>
              </w:tc>
              <w:tc>
                <w:tcPr>
                  <w:tcW w:w="674" w:type="pct"/>
                  <w:vAlign w:val="center"/>
                </w:tcPr>
                <w:p w14:paraId="3F313D05">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54m²</w:t>
                  </w:r>
                </w:p>
              </w:tc>
              <w:tc>
                <w:tcPr>
                  <w:tcW w:w="655" w:type="pct"/>
                  <w:shd w:val="clear" w:color="auto" w:fill="auto"/>
                  <w:vAlign w:val="center"/>
                </w:tcPr>
                <w:p w14:paraId="5EFEBF95">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54m²</w:t>
                  </w:r>
                </w:p>
              </w:tc>
              <w:tc>
                <w:tcPr>
                  <w:tcW w:w="423" w:type="pct"/>
                  <w:vAlign w:val="center"/>
                </w:tcPr>
                <w:p w14:paraId="6E089E01">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5BA27543">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2B41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07E053BB">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污泥</w:t>
                  </w:r>
                  <w:r>
                    <w:rPr>
                      <w:rFonts w:hint="eastAsia"/>
                      <w:color w:val="auto"/>
                      <w:kern w:val="0"/>
                      <w:szCs w:val="21"/>
                      <w:highlight w:val="none"/>
                    </w:rPr>
                    <w:t>回流</w:t>
                  </w:r>
                  <w:r>
                    <w:rPr>
                      <w:color w:val="auto"/>
                      <w:kern w:val="0"/>
                      <w:szCs w:val="21"/>
                      <w:highlight w:val="none"/>
                    </w:rPr>
                    <w:t>泵</w:t>
                  </w:r>
                </w:p>
              </w:tc>
              <w:tc>
                <w:tcPr>
                  <w:tcW w:w="1390" w:type="pct"/>
                  <w:vAlign w:val="center"/>
                </w:tcPr>
                <w:p w14:paraId="43F8D360">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RMW65-125</w:t>
                  </w:r>
                </w:p>
              </w:tc>
              <w:tc>
                <w:tcPr>
                  <w:tcW w:w="674" w:type="pct"/>
                  <w:vAlign w:val="center"/>
                </w:tcPr>
                <w:p w14:paraId="3BD1DB50">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w:t>
                  </w:r>
                  <w:r>
                    <w:rPr>
                      <w:snapToGrid w:val="0"/>
                      <w:color w:val="auto"/>
                      <w:kern w:val="0"/>
                      <w:szCs w:val="21"/>
                      <w:highlight w:val="none"/>
                    </w:rPr>
                    <w:t>台</w:t>
                  </w:r>
                </w:p>
              </w:tc>
              <w:tc>
                <w:tcPr>
                  <w:tcW w:w="655" w:type="pct"/>
                  <w:shd w:val="clear" w:color="auto" w:fill="auto"/>
                  <w:vAlign w:val="center"/>
                </w:tcPr>
                <w:p w14:paraId="7CD7679F">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2</w:t>
                  </w:r>
                  <w:r>
                    <w:rPr>
                      <w:snapToGrid w:val="0"/>
                      <w:color w:val="auto"/>
                      <w:kern w:val="0"/>
                      <w:szCs w:val="21"/>
                      <w:highlight w:val="none"/>
                    </w:rPr>
                    <w:t>台</w:t>
                  </w:r>
                </w:p>
              </w:tc>
              <w:tc>
                <w:tcPr>
                  <w:tcW w:w="423" w:type="pct"/>
                  <w:vAlign w:val="center"/>
                </w:tcPr>
                <w:p w14:paraId="6EAF3D9D">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53DB9DCE">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06C6F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54B148A">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活性炭投加装置</w:t>
                  </w:r>
                </w:p>
              </w:tc>
              <w:tc>
                <w:tcPr>
                  <w:tcW w:w="1390" w:type="pct"/>
                  <w:vAlign w:val="center"/>
                </w:tcPr>
                <w:p w14:paraId="7C5FACCC">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投加量25kg/h</w:t>
                  </w:r>
                </w:p>
              </w:tc>
              <w:tc>
                <w:tcPr>
                  <w:tcW w:w="674" w:type="pct"/>
                  <w:vAlign w:val="center"/>
                </w:tcPr>
                <w:p w14:paraId="7D7516ED">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rFonts w:hint="eastAsia"/>
                      <w:color w:val="auto"/>
                      <w:kern w:val="0"/>
                      <w:szCs w:val="21"/>
                      <w:highlight w:val="none"/>
                    </w:rPr>
                    <w:t>套</w:t>
                  </w:r>
                </w:p>
              </w:tc>
              <w:tc>
                <w:tcPr>
                  <w:tcW w:w="655" w:type="pct"/>
                  <w:shd w:val="clear" w:color="auto" w:fill="auto"/>
                  <w:vAlign w:val="center"/>
                </w:tcPr>
                <w:p w14:paraId="0FFD7604">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rFonts w:hint="eastAsia"/>
                      <w:color w:val="auto"/>
                      <w:kern w:val="0"/>
                      <w:szCs w:val="21"/>
                      <w:highlight w:val="none"/>
                    </w:rPr>
                    <w:t>套</w:t>
                  </w:r>
                </w:p>
              </w:tc>
              <w:tc>
                <w:tcPr>
                  <w:tcW w:w="423" w:type="pct"/>
                  <w:vAlign w:val="center"/>
                </w:tcPr>
                <w:p w14:paraId="09A52AEF">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206CBE23">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7DFB9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A1B0240">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反应池提升泵</w:t>
                  </w:r>
                </w:p>
              </w:tc>
              <w:tc>
                <w:tcPr>
                  <w:tcW w:w="1390" w:type="pct"/>
                  <w:vAlign w:val="center"/>
                </w:tcPr>
                <w:p w14:paraId="19321D01">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RMW80-100</w:t>
                  </w:r>
                </w:p>
              </w:tc>
              <w:tc>
                <w:tcPr>
                  <w:tcW w:w="674" w:type="pct"/>
                  <w:vAlign w:val="center"/>
                </w:tcPr>
                <w:p w14:paraId="328F7B57">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w:t>
                  </w:r>
                  <w:r>
                    <w:rPr>
                      <w:snapToGrid w:val="0"/>
                      <w:color w:val="auto"/>
                      <w:kern w:val="0"/>
                      <w:szCs w:val="21"/>
                      <w:highlight w:val="none"/>
                    </w:rPr>
                    <w:t>台</w:t>
                  </w:r>
                </w:p>
              </w:tc>
              <w:tc>
                <w:tcPr>
                  <w:tcW w:w="655" w:type="pct"/>
                  <w:shd w:val="clear" w:color="auto" w:fill="auto"/>
                  <w:vAlign w:val="center"/>
                </w:tcPr>
                <w:p w14:paraId="457B997D">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2</w:t>
                  </w:r>
                  <w:r>
                    <w:rPr>
                      <w:snapToGrid w:val="0"/>
                      <w:color w:val="auto"/>
                      <w:kern w:val="0"/>
                      <w:szCs w:val="21"/>
                      <w:highlight w:val="none"/>
                    </w:rPr>
                    <w:t>台</w:t>
                  </w:r>
                </w:p>
              </w:tc>
              <w:tc>
                <w:tcPr>
                  <w:tcW w:w="423" w:type="pct"/>
                  <w:vAlign w:val="center"/>
                </w:tcPr>
                <w:p w14:paraId="31BC24EE">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19E1941B">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4FF6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3871D074">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微气泡反应</w:t>
                  </w:r>
                </w:p>
                <w:p w14:paraId="0156D1D4">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沉淀一体机</w:t>
                  </w:r>
                </w:p>
              </w:tc>
              <w:tc>
                <w:tcPr>
                  <w:tcW w:w="1390" w:type="pct"/>
                  <w:vAlign w:val="center"/>
                </w:tcPr>
                <w:p w14:paraId="7ABC63C4">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10×3.0×3.0m</w:t>
                  </w:r>
                </w:p>
              </w:tc>
              <w:tc>
                <w:tcPr>
                  <w:tcW w:w="674" w:type="pct"/>
                  <w:vAlign w:val="center"/>
                </w:tcPr>
                <w:p w14:paraId="284C476C">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rFonts w:hint="eastAsia"/>
                      <w:color w:val="auto"/>
                      <w:kern w:val="0"/>
                      <w:szCs w:val="21"/>
                      <w:highlight w:val="none"/>
                    </w:rPr>
                    <w:t>套</w:t>
                  </w:r>
                </w:p>
              </w:tc>
              <w:tc>
                <w:tcPr>
                  <w:tcW w:w="655" w:type="pct"/>
                  <w:shd w:val="clear" w:color="auto" w:fill="auto"/>
                  <w:vAlign w:val="center"/>
                </w:tcPr>
                <w:p w14:paraId="115CCAEF">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rFonts w:hint="eastAsia"/>
                      <w:color w:val="auto"/>
                      <w:kern w:val="0"/>
                      <w:szCs w:val="21"/>
                      <w:highlight w:val="none"/>
                    </w:rPr>
                    <w:t>套</w:t>
                  </w:r>
                </w:p>
              </w:tc>
              <w:tc>
                <w:tcPr>
                  <w:tcW w:w="423" w:type="pct"/>
                  <w:vAlign w:val="center"/>
                </w:tcPr>
                <w:p w14:paraId="2FE1FE5A">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0BE7A022">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4760B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51AA7431">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气液混合泵</w:t>
                  </w:r>
                </w:p>
              </w:tc>
              <w:tc>
                <w:tcPr>
                  <w:tcW w:w="1390" w:type="pct"/>
                  <w:vAlign w:val="center"/>
                </w:tcPr>
                <w:p w14:paraId="13385C03">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CDL16-4</w:t>
                  </w:r>
                </w:p>
              </w:tc>
              <w:tc>
                <w:tcPr>
                  <w:tcW w:w="674" w:type="pct"/>
                  <w:vAlign w:val="center"/>
                </w:tcPr>
                <w:p w14:paraId="742E9B41">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3B070759">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17B1A931">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15B477B3">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60DD2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649912CB">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螺杆泵</w:t>
                  </w:r>
                </w:p>
              </w:tc>
              <w:tc>
                <w:tcPr>
                  <w:tcW w:w="1390" w:type="pct"/>
                  <w:vAlign w:val="center"/>
                </w:tcPr>
                <w:p w14:paraId="5F72E90F">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G40-1</w:t>
                  </w:r>
                </w:p>
              </w:tc>
              <w:tc>
                <w:tcPr>
                  <w:tcW w:w="674" w:type="pct"/>
                  <w:vAlign w:val="center"/>
                </w:tcPr>
                <w:p w14:paraId="5663D331">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2</w:t>
                  </w:r>
                  <w:r>
                    <w:rPr>
                      <w:snapToGrid w:val="0"/>
                      <w:color w:val="auto"/>
                      <w:kern w:val="0"/>
                      <w:szCs w:val="21"/>
                      <w:highlight w:val="none"/>
                    </w:rPr>
                    <w:t>台</w:t>
                  </w:r>
                </w:p>
              </w:tc>
              <w:tc>
                <w:tcPr>
                  <w:tcW w:w="655" w:type="pct"/>
                  <w:shd w:val="clear" w:color="auto" w:fill="auto"/>
                  <w:vAlign w:val="center"/>
                </w:tcPr>
                <w:p w14:paraId="4EA9EA79">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2</w:t>
                  </w:r>
                  <w:r>
                    <w:rPr>
                      <w:snapToGrid w:val="0"/>
                      <w:color w:val="auto"/>
                      <w:kern w:val="0"/>
                      <w:szCs w:val="21"/>
                      <w:highlight w:val="none"/>
                    </w:rPr>
                    <w:t>台</w:t>
                  </w:r>
                </w:p>
              </w:tc>
              <w:tc>
                <w:tcPr>
                  <w:tcW w:w="423" w:type="pct"/>
                  <w:vAlign w:val="center"/>
                </w:tcPr>
                <w:p w14:paraId="6794FE78">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59F32B9E">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280D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F306269">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板框压滤机</w:t>
                  </w:r>
                </w:p>
              </w:tc>
              <w:tc>
                <w:tcPr>
                  <w:tcW w:w="1390" w:type="pct"/>
                  <w:vAlign w:val="center"/>
                </w:tcPr>
                <w:p w14:paraId="1E3C2891">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30</w:t>
                  </w:r>
                  <w:r>
                    <w:rPr>
                      <w:snapToGrid w:val="0"/>
                      <w:color w:val="auto"/>
                      <w:kern w:val="0"/>
                      <w:szCs w:val="21"/>
                      <w:highlight w:val="none"/>
                    </w:rPr>
                    <w:t>m</w:t>
                  </w:r>
                  <w:r>
                    <w:rPr>
                      <w:snapToGrid w:val="0"/>
                      <w:color w:val="auto"/>
                      <w:kern w:val="0"/>
                      <w:szCs w:val="21"/>
                      <w:highlight w:val="none"/>
                      <w:vertAlign w:val="superscript"/>
                    </w:rPr>
                    <w:t>2</w:t>
                  </w:r>
                </w:p>
              </w:tc>
              <w:tc>
                <w:tcPr>
                  <w:tcW w:w="674" w:type="pct"/>
                  <w:vAlign w:val="center"/>
                </w:tcPr>
                <w:p w14:paraId="04ED1507">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snapToGrid w:val="0"/>
                      <w:color w:val="auto"/>
                      <w:kern w:val="0"/>
                      <w:szCs w:val="21"/>
                      <w:highlight w:val="none"/>
                    </w:rPr>
                    <w:t>台</w:t>
                  </w:r>
                </w:p>
              </w:tc>
              <w:tc>
                <w:tcPr>
                  <w:tcW w:w="655" w:type="pct"/>
                  <w:shd w:val="clear" w:color="auto" w:fill="auto"/>
                  <w:vAlign w:val="center"/>
                </w:tcPr>
                <w:p w14:paraId="164C528F">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snapToGrid w:val="0"/>
                      <w:color w:val="auto"/>
                      <w:kern w:val="0"/>
                      <w:szCs w:val="21"/>
                      <w:highlight w:val="none"/>
                    </w:rPr>
                    <w:t>台</w:t>
                  </w:r>
                </w:p>
              </w:tc>
              <w:tc>
                <w:tcPr>
                  <w:tcW w:w="423" w:type="pct"/>
                  <w:vAlign w:val="center"/>
                </w:tcPr>
                <w:p w14:paraId="09080774">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141295E8">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240B6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2B962891">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电气控制系统</w:t>
                  </w:r>
                </w:p>
              </w:tc>
              <w:tc>
                <w:tcPr>
                  <w:tcW w:w="1390" w:type="pct"/>
                  <w:vAlign w:val="center"/>
                </w:tcPr>
                <w:p w14:paraId="3A9F01B1">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DK-Ⅱ</w:t>
                  </w:r>
                </w:p>
              </w:tc>
              <w:tc>
                <w:tcPr>
                  <w:tcW w:w="674" w:type="pct"/>
                  <w:vAlign w:val="center"/>
                </w:tcPr>
                <w:p w14:paraId="0110B3EE">
                  <w:pPr>
                    <w:keepNext w:val="0"/>
                    <w:keepLines w:val="0"/>
                    <w:pageBreakBefore w:val="0"/>
                    <w:widowControl/>
                    <w:kinsoku/>
                    <w:wordWrap/>
                    <w:overflowPunct/>
                    <w:topLinePunct w:val="0"/>
                    <w:autoSpaceDE/>
                    <w:autoSpaceDN/>
                    <w:bidi w:val="0"/>
                    <w:spacing w:line="320" w:lineRule="exact"/>
                    <w:jc w:val="center"/>
                    <w:rPr>
                      <w:color w:val="auto"/>
                      <w:kern w:val="0"/>
                      <w:szCs w:val="21"/>
                      <w:highlight w:val="none"/>
                    </w:rPr>
                  </w:pPr>
                  <w:r>
                    <w:rPr>
                      <w:color w:val="auto"/>
                      <w:kern w:val="0"/>
                      <w:szCs w:val="21"/>
                      <w:highlight w:val="none"/>
                    </w:rPr>
                    <w:t>1</w:t>
                  </w:r>
                  <w:r>
                    <w:rPr>
                      <w:rFonts w:hint="eastAsia"/>
                      <w:color w:val="auto"/>
                      <w:kern w:val="0"/>
                      <w:szCs w:val="21"/>
                      <w:highlight w:val="none"/>
                    </w:rPr>
                    <w:t>套</w:t>
                  </w:r>
                </w:p>
              </w:tc>
              <w:tc>
                <w:tcPr>
                  <w:tcW w:w="655" w:type="pct"/>
                  <w:shd w:val="clear" w:color="auto" w:fill="auto"/>
                  <w:vAlign w:val="center"/>
                </w:tcPr>
                <w:p w14:paraId="78D34FA7">
                  <w:pPr>
                    <w:keepNext w:val="0"/>
                    <w:keepLines w:val="0"/>
                    <w:pageBreakBefore w:val="0"/>
                    <w:widowControl/>
                    <w:kinsoku/>
                    <w:wordWrap/>
                    <w:overflowPunct/>
                    <w:topLinePunct w:val="0"/>
                    <w:autoSpaceDE/>
                    <w:autoSpaceDN/>
                    <w:bidi w:val="0"/>
                    <w:spacing w:line="320" w:lineRule="exact"/>
                    <w:jc w:val="center"/>
                    <w:rPr>
                      <w:rFonts w:ascii="Times New Roman" w:hAnsi="Times New Roman" w:eastAsia="宋体" w:cs="Times New Roman"/>
                      <w:color w:val="auto"/>
                      <w:kern w:val="0"/>
                      <w:sz w:val="21"/>
                      <w:szCs w:val="21"/>
                      <w:highlight w:val="none"/>
                      <w:lang w:val="en-US" w:eastAsia="zh-CN" w:bidi="ar-SA"/>
                    </w:rPr>
                  </w:pPr>
                  <w:r>
                    <w:rPr>
                      <w:color w:val="auto"/>
                      <w:kern w:val="0"/>
                      <w:szCs w:val="21"/>
                      <w:highlight w:val="none"/>
                    </w:rPr>
                    <w:t>1</w:t>
                  </w:r>
                  <w:r>
                    <w:rPr>
                      <w:rFonts w:hint="eastAsia"/>
                      <w:color w:val="auto"/>
                      <w:kern w:val="0"/>
                      <w:szCs w:val="21"/>
                      <w:highlight w:val="none"/>
                    </w:rPr>
                    <w:t>套</w:t>
                  </w:r>
                </w:p>
              </w:tc>
              <w:tc>
                <w:tcPr>
                  <w:tcW w:w="423" w:type="pct"/>
                  <w:vAlign w:val="center"/>
                </w:tcPr>
                <w:p w14:paraId="5DA3C196">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lang w:val="en-US" w:eastAsia="zh-CN"/>
                    </w:rPr>
                    <w:t>0</w:t>
                  </w:r>
                </w:p>
              </w:tc>
              <w:tc>
                <w:tcPr>
                  <w:tcW w:w="740" w:type="pct"/>
                  <w:vAlign w:val="center"/>
                </w:tcPr>
                <w:p w14:paraId="6E468FE6">
                  <w:pPr>
                    <w:keepNext w:val="0"/>
                    <w:keepLines w:val="0"/>
                    <w:pageBreakBefore w:val="0"/>
                    <w:kinsoku/>
                    <w:wordWrap/>
                    <w:overflowPunct/>
                    <w:topLinePunct w:val="0"/>
                    <w:autoSpaceDE/>
                    <w:autoSpaceDN/>
                    <w:bidi w:val="0"/>
                    <w:adjustRightInd w:val="0"/>
                    <w:snapToGrid w:val="0"/>
                    <w:spacing w:line="320" w:lineRule="exact"/>
                    <w:jc w:val="center"/>
                    <w:rPr>
                      <w:color w:val="auto"/>
                      <w:kern w:val="0"/>
                      <w:szCs w:val="21"/>
                      <w:highlight w:val="none"/>
                    </w:rPr>
                  </w:pPr>
                  <w:r>
                    <w:rPr>
                      <w:rFonts w:hint="eastAsia"/>
                      <w:snapToGrid w:val="0"/>
                      <w:color w:val="auto"/>
                      <w:kern w:val="0"/>
                      <w:szCs w:val="21"/>
                      <w:highlight w:val="none"/>
                    </w:rPr>
                    <w:t>/</w:t>
                  </w:r>
                </w:p>
              </w:tc>
            </w:tr>
            <w:tr w14:paraId="3974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6"/>
                  <w:shd w:val="clear" w:color="auto" w:fill="BEBEBE"/>
                  <w:vAlign w:val="center"/>
                </w:tcPr>
                <w:p w14:paraId="2CCC6CBB">
                  <w:pPr>
                    <w:keepNext w:val="0"/>
                    <w:keepLines w:val="0"/>
                    <w:pageBreakBefore w:val="0"/>
                    <w:widowControl/>
                    <w:kinsoku/>
                    <w:wordWrap/>
                    <w:overflowPunct/>
                    <w:topLinePunct w:val="0"/>
                    <w:autoSpaceDE/>
                    <w:autoSpaceDN/>
                    <w:bidi w:val="0"/>
                    <w:spacing w:line="320" w:lineRule="exact"/>
                    <w:jc w:val="center"/>
                    <w:rPr>
                      <w:rFonts w:hint="eastAsia" w:eastAsia="宋体"/>
                      <w:b/>
                      <w:bCs/>
                      <w:color w:val="auto"/>
                      <w:szCs w:val="21"/>
                      <w:highlight w:val="none"/>
                      <w:lang w:eastAsia="zh-CN"/>
                    </w:rPr>
                  </w:pPr>
                  <w:r>
                    <w:rPr>
                      <w:rFonts w:hint="eastAsia"/>
                      <w:b/>
                      <w:bCs/>
                      <w:color w:val="auto"/>
                      <w:szCs w:val="21"/>
                      <w:highlight w:val="none"/>
                      <w:lang w:eastAsia="zh-CN"/>
                    </w:rPr>
                    <w:t>液体复合微生物肥料</w:t>
                  </w:r>
                  <w:r>
                    <w:rPr>
                      <w:rFonts w:hint="eastAsia"/>
                      <w:b/>
                      <w:bCs/>
                      <w:color w:val="auto"/>
                      <w:szCs w:val="21"/>
                      <w:highlight w:val="none"/>
                    </w:rPr>
                    <w:t>生产线</w:t>
                  </w:r>
                  <w:r>
                    <w:rPr>
                      <w:rFonts w:hint="eastAsia"/>
                      <w:b/>
                      <w:bCs/>
                      <w:color w:val="auto"/>
                      <w:szCs w:val="21"/>
                      <w:highlight w:val="none"/>
                      <w:lang w:eastAsia="zh-CN"/>
                    </w:rPr>
                    <w:t>（</w:t>
                  </w:r>
                  <w:r>
                    <w:rPr>
                      <w:rFonts w:hint="eastAsia"/>
                      <w:b/>
                      <w:bCs/>
                      <w:color w:val="auto"/>
                      <w:szCs w:val="21"/>
                      <w:highlight w:val="none"/>
                      <w:lang w:val="en-US" w:eastAsia="zh-CN"/>
                    </w:rPr>
                    <w:t>扩建</w:t>
                  </w:r>
                  <w:r>
                    <w:rPr>
                      <w:rFonts w:hint="eastAsia"/>
                      <w:b/>
                      <w:bCs/>
                      <w:color w:val="auto"/>
                      <w:szCs w:val="21"/>
                      <w:highlight w:val="none"/>
                      <w:lang w:eastAsia="zh-CN"/>
                    </w:rPr>
                    <w:t>）</w:t>
                  </w:r>
                </w:p>
              </w:tc>
            </w:tr>
            <w:tr w14:paraId="6BBD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36268EEE">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发酵罐</w:t>
                  </w:r>
                </w:p>
              </w:tc>
              <w:tc>
                <w:tcPr>
                  <w:tcW w:w="1390" w:type="pct"/>
                  <w:vAlign w:val="center"/>
                </w:tcPr>
                <w:p w14:paraId="7CA30F22">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color w:val="auto"/>
                      <w:szCs w:val="21"/>
                      <w:highlight w:val="none"/>
                    </w:rPr>
                  </w:pPr>
                  <w:r>
                    <w:rPr>
                      <w:rFonts w:hint="eastAsia"/>
                      <w:color w:val="auto"/>
                      <w:szCs w:val="21"/>
                      <w:highlight w:val="none"/>
                    </w:rPr>
                    <w:t>6T圆罐</w:t>
                  </w:r>
                </w:p>
                <w:p w14:paraId="0046174F">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（直径1.8m，高2.5m）</w:t>
                  </w:r>
                </w:p>
              </w:tc>
              <w:tc>
                <w:tcPr>
                  <w:tcW w:w="674" w:type="pct"/>
                  <w:vAlign w:val="center"/>
                </w:tcPr>
                <w:p w14:paraId="1BF8D2D2">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33BC80B5">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default" w:eastAsia="宋体"/>
                      <w:color w:val="auto"/>
                      <w:szCs w:val="21"/>
                      <w:highlight w:val="none"/>
                      <w:lang w:val="en-US" w:eastAsia="zh-CN"/>
                    </w:rPr>
                  </w:pPr>
                  <w:r>
                    <w:rPr>
                      <w:rFonts w:hint="eastAsia"/>
                      <w:color w:val="auto"/>
                      <w:szCs w:val="21"/>
                      <w:highlight w:val="none"/>
                      <w:lang w:val="en-US" w:eastAsia="zh-CN"/>
                    </w:rPr>
                    <w:t>18</w:t>
                  </w:r>
                </w:p>
              </w:tc>
              <w:tc>
                <w:tcPr>
                  <w:tcW w:w="423" w:type="pct"/>
                  <w:vAlign w:val="center"/>
                </w:tcPr>
                <w:p w14:paraId="61A26D61">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w:t>
                  </w:r>
                  <w:r>
                    <w:rPr>
                      <w:rFonts w:hint="eastAsia"/>
                      <w:color w:val="auto"/>
                      <w:szCs w:val="21"/>
                      <w:highlight w:val="none"/>
                    </w:rPr>
                    <w:t>1</w:t>
                  </w:r>
                  <w:r>
                    <w:rPr>
                      <w:rFonts w:hint="eastAsia"/>
                      <w:color w:val="auto"/>
                      <w:szCs w:val="21"/>
                      <w:highlight w:val="none"/>
                      <w:lang w:val="en-US" w:eastAsia="zh-CN"/>
                    </w:rPr>
                    <w:t>8</w:t>
                  </w:r>
                </w:p>
              </w:tc>
              <w:tc>
                <w:tcPr>
                  <w:tcW w:w="740" w:type="pct"/>
                  <w:vAlign w:val="center"/>
                </w:tcPr>
                <w:p w14:paraId="2F4B02F9">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尾菜废水发酵处理</w:t>
                  </w:r>
                </w:p>
              </w:tc>
            </w:tr>
            <w:tr w14:paraId="1041D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6C094A84">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乳化搅拌罐</w:t>
                  </w:r>
                </w:p>
              </w:tc>
              <w:tc>
                <w:tcPr>
                  <w:tcW w:w="1390" w:type="pct"/>
                  <w:vAlign w:val="center"/>
                </w:tcPr>
                <w:p w14:paraId="3B7C9AB9">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2.5T</w:t>
                  </w:r>
                </w:p>
              </w:tc>
              <w:tc>
                <w:tcPr>
                  <w:tcW w:w="674" w:type="pct"/>
                  <w:vAlign w:val="center"/>
                </w:tcPr>
                <w:p w14:paraId="36486CEC">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138758AD">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4A61AE80">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2070538C">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物料搅拌</w:t>
                  </w:r>
                </w:p>
              </w:tc>
            </w:tr>
            <w:tr w14:paraId="2D2C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49BBC93D">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储存罐</w:t>
                  </w:r>
                </w:p>
              </w:tc>
              <w:tc>
                <w:tcPr>
                  <w:tcW w:w="1390" w:type="pct"/>
                  <w:vAlign w:val="center"/>
                </w:tcPr>
                <w:p w14:paraId="442414AF">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5T</w:t>
                  </w:r>
                </w:p>
              </w:tc>
              <w:tc>
                <w:tcPr>
                  <w:tcW w:w="674" w:type="pct"/>
                  <w:vAlign w:val="center"/>
                </w:tcPr>
                <w:p w14:paraId="373A4A27">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523B8612">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50933A74">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3B364CC8">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储存成品</w:t>
                  </w:r>
                </w:p>
              </w:tc>
            </w:tr>
            <w:tr w14:paraId="78723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BE877B3">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电子秤</w:t>
                  </w:r>
                </w:p>
              </w:tc>
              <w:tc>
                <w:tcPr>
                  <w:tcW w:w="1390" w:type="pct"/>
                  <w:vAlign w:val="center"/>
                </w:tcPr>
                <w:p w14:paraId="4044D642">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150kg磅秤</w:t>
                  </w:r>
                </w:p>
              </w:tc>
              <w:tc>
                <w:tcPr>
                  <w:tcW w:w="674" w:type="pct"/>
                  <w:vAlign w:val="center"/>
                </w:tcPr>
                <w:p w14:paraId="2BDC7FB7">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451C4BDF">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69979349">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76FA3939">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肥料分装</w:t>
                  </w:r>
                </w:p>
              </w:tc>
            </w:tr>
            <w:tr w14:paraId="70335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513BA8B4">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手持打码机</w:t>
                  </w:r>
                </w:p>
              </w:tc>
              <w:tc>
                <w:tcPr>
                  <w:tcW w:w="1390" w:type="pct"/>
                  <w:vAlign w:val="center"/>
                </w:tcPr>
                <w:p w14:paraId="78C3D7A1">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ZM-750</w:t>
                  </w:r>
                </w:p>
              </w:tc>
              <w:tc>
                <w:tcPr>
                  <w:tcW w:w="674" w:type="pct"/>
                  <w:vAlign w:val="center"/>
                </w:tcPr>
                <w:p w14:paraId="0C343E51">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4B476299">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0C9E51C4">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30B378F0">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包装打码</w:t>
                  </w:r>
                </w:p>
              </w:tc>
            </w:tr>
            <w:tr w14:paraId="36853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2743E0BB">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color w:val="auto"/>
                      <w:szCs w:val="21"/>
                      <w:highlight w:val="none"/>
                    </w:rPr>
                  </w:pPr>
                  <w:r>
                    <w:rPr>
                      <w:rFonts w:hint="eastAsia"/>
                      <w:color w:val="auto"/>
                      <w:szCs w:val="21"/>
                      <w:highlight w:val="none"/>
                    </w:rPr>
                    <w:t>电加热</w:t>
                  </w:r>
                </w:p>
                <w:p w14:paraId="7C180854">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蒸汽发生器</w:t>
                  </w:r>
                </w:p>
              </w:tc>
              <w:tc>
                <w:tcPr>
                  <w:tcW w:w="1390" w:type="pct"/>
                  <w:vAlign w:val="center"/>
                </w:tcPr>
                <w:p w14:paraId="410477D3">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LDZ（k）0.05-0.4</w:t>
                  </w:r>
                </w:p>
              </w:tc>
              <w:tc>
                <w:tcPr>
                  <w:tcW w:w="674" w:type="pct"/>
                  <w:vAlign w:val="center"/>
                </w:tcPr>
                <w:p w14:paraId="6375B67D">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35E6B546">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6EC50C6D">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187AB52D">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发酵加热</w:t>
                  </w:r>
                </w:p>
              </w:tc>
            </w:tr>
            <w:tr w14:paraId="33195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2EC21CE9">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污水潜水泵</w:t>
                  </w:r>
                </w:p>
              </w:tc>
              <w:tc>
                <w:tcPr>
                  <w:tcW w:w="1390" w:type="pct"/>
                  <w:vAlign w:val="center"/>
                </w:tcPr>
                <w:p w14:paraId="67DBF5BA">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65WQ20</w:t>
                  </w:r>
                </w:p>
              </w:tc>
              <w:tc>
                <w:tcPr>
                  <w:tcW w:w="674" w:type="pct"/>
                  <w:vAlign w:val="center"/>
                </w:tcPr>
                <w:p w14:paraId="7C6ECDAA">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41D4DE94">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1E6BBC4B">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26234BA2">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抽尾菜废水</w:t>
                  </w:r>
                </w:p>
              </w:tc>
            </w:tr>
            <w:tr w14:paraId="1F98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6F171F5E">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卧式多级离心泵</w:t>
                  </w:r>
                </w:p>
              </w:tc>
              <w:tc>
                <w:tcPr>
                  <w:tcW w:w="1390" w:type="pct"/>
                  <w:vAlign w:val="center"/>
                </w:tcPr>
                <w:p w14:paraId="651B4B90">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color w:val="auto"/>
                      <w:szCs w:val="21"/>
                      <w:highlight w:val="none"/>
                    </w:rPr>
                    <w:t>CMF2</w:t>
                  </w:r>
                  <w:r>
                    <w:rPr>
                      <w:rFonts w:hint="eastAsia"/>
                      <w:color w:val="auto"/>
                      <w:szCs w:val="21"/>
                      <w:highlight w:val="none"/>
                    </w:rPr>
                    <w:t>-</w:t>
                  </w:r>
                  <w:r>
                    <w:rPr>
                      <w:color w:val="auto"/>
                      <w:szCs w:val="21"/>
                      <w:highlight w:val="none"/>
                    </w:rPr>
                    <w:t>30TA-W-G-BQBE</w:t>
                  </w:r>
                  <w:r>
                    <w:rPr>
                      <w:rFonts w:hint="eastAsia"/>
                      <w:color w:val="auto"/>
                      <w:szCs w:val="21"/>
                      <w:highlight w:val="none"/>
                    </w:rPr>
                    <w:t xml:space="preserve">                                                                                                                                                                                                                                                                                                                                                                                         </w:t>
                  </w:r>
                </w:p>
              </w:tc>
              <w:tc>
                <w:tcPr>
                  <w:tcW w:w="674" w:type="pct"/>
                  <w:vAlign w:val="center"/>
                </w:tcPr>
                <w:p w14:paraId="632EBB3C">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12D1EA88">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2</w:t>
                  </w:r>
                </w:p>
              </w:tc>
              <w:tc>
                <w:tcPr>
                  <w:tcW w:w="423" w:type="pct"/>
                  <w:vAlign w:val="center"/>
                </w:tcPr>
                <w:p w14:paraId="1A1F0EF1">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2</w:t>
                  </w:r>
                </w:p>
              </w:tc>
              <w:tc>
                <w:tcPr>
                  <w:tcW w:w="740" w:type="pct"/>
                  <w:vAlign w:val="center"/>
                </w:tcPr>
                <w:p w14:paraId="348CFB7C">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抽发酵液</w:t>
                  </w:r>
                </w:p>
              </w:tc>
            </w:tr>
            <w:tr w14:paraId="0316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39560886">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eastAsia="方正仿宋_GB2312"/>
                      <w:color w:val="auto"/>
                      <w:szCs w:val="21"/>
                      <w:highlight w:val="none"/>
                    </w:rPr>
                  </w:pPr>
                  <w:r>
                    <w:rPr>
                      <w:rFonts w:hint="eastAsia"/>
                      <w:color w:val="auto"/>
                      <w:szCs w:val="21"/>
                      <w:highlight w:val="none"/>
                    </w:rPr>
                    <w:t>种子液发酵罐</w:t>
                  </w:r>
                </w:p>
              </w:tc>
              <w:tc>
                <w:tcPr>
                  <w:tcW w:w="1390" w:type="pct"/>
                  <w:vAlign w:val="center"/>
                </w:tcPr>
                <w:p w14:paraId="3491BE18">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eastAsia="方正仿宋_GB2312"/>
                      <w:color w:val="auto"/>
                      <w:szCs w:val="21"/>
                      <w:highlight w:val="none"/>
                    </w:rPr>
                  </w:pPr>
                  <w:r>
                    <w:rPr>
                      <w:rFonts w:hint="eastAsia"/>
                      <w:color w:val="auto"/>
                      <w:szCs w:val="21"/>
                      <w:highlight w:val="none"/>
                    </w:rPr>
                    <w:t>Φ500/Φ500×5/3×2320</w:t>
                  </w:r>
                </w:p>
              </w:tc>
              <w:tc>
                <w:tcPr>
                  <w:tcW w:w="674" w:type="pct"/>
                  <w:vAlign w:val="center"/>
                </w:tcPr>
                <w:p w14:paraId="56366826">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004653F3">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eastAsia="方正仿宋_GB2312"/>
                      <w:color w:val="auto"/>
                      <w:szCs w:val="21"/>
                      <w:highlight w:val="none"/>
                    </w:rPr>
                  </w:pPr>
                  <w:r>
                    <w:rPr>
                      <w:rFonts w:hint="eastAsia"/>
                      <w:color w:val="auto"/>
                      <w:szCs w:val="21"/>
                      <w:highlight w:val="none"/>
                    </w:rPr>
                    <w:t>1</w:t>
                  </w:r>
                </w:p>
              </w:tc>
              <w:tc>
                <w:tcPr>
                  <w:tcW w:w="423" w:type="pct"/>
                  <w:vAlign w:val="center"/>
                </w:tcPr>
                <w:p w14:paraId="250F3219">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eastAsia="方正仿宋_GB2312"/>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5301B1FD">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eastAsia="方正仿宋_GB2312"/>
                      <w:color w:val="auto"/>
                      <w:szCs w:val="21"/>
                      <w:highlight w:val="none"/>
                    </w:rPr>
                  </w:pPr>
                  <w:r>
                    <w:rPr>
                      <w:rFonts w:hint="eastAsia"/>
                      <w:color w:val="auto"/>
                      <w:szCs w:val="21"/>
                      <w:highlight w:val="none"/>
                    </w:rPr>
                    <w:t>种子液发酵</w:t>
                  </w:r>
                </w:p>
              </w:tc>
            </w:tr>
            <w:tr w14:paraId="51A9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0131400E">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太阳能热水器</w:t>
                  </w:r>
                </w:p>
              </w:tc>
              <w:tc>
                <w:tcPr>
                  <w:tcW w:w="1390" w:type="pct"/>
                  <w:vAlign w:val="center"/>
                </w:tcPr>
                <w:p w14:paraId="59730765">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w:t>
                  </w:r>
                </w:p>
              </w:tc>
              <w:tc>
                <w:tcPr>
                  <w:tcW w:w="674" w:type="pct"/>
                  <w:vAlign w:val="center"/>
                </w:tcPr>
                <w:p w14:paraId="2CEF81E8">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7B576E4E">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642F9C0C">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11825FFD">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热水加热</w:t>
                  </w:r>
                </w:p>
              </w:tc>
            </w:tr>
            <w:tr w14:paraId="11F0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617FD9CC">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空气能热水器</w:t>
                  </w:r>
                </w:p>
              </w:tc>
              <w:tc>
                <w:tcPr>
                  <w:tcW w:w="1390" w:type="pct"/>
                  <w:vAlign w:val="center"/>
                </w:tcPr>
                <w:p w14:paraId="00D353E9">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R410A</w:t>
                  </w:r>
                </w:p>
              </w:tc>
              <w:tc>
                <w:tcPr>
                  <w:tcW w:w="674" w:type="pct"/>
                  <w:vAlign w:val="center"/>
                </w:tcPr>
                <w:p w14:paraId="4646BB3B">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22899902">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13BFA71D">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3A7ABEA7">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热水加热</w:t>
                  </w:r>
                </w:p>
              </w:tc>
            </w:tr>
            <w:tr w14:paraId="71B0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6396A613">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热水罐</w:t>
                  </w:r>
                </w:p>
              </w:tc>
              <w:tc>
                <w:tcPr>
                  <w:tcW w:w="1390" w:type="pct"/>
                  <w:vAlign w:val="center"/>
                </w:tcPr>
                <w:p w14:paraId="256E1B58">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5T</w:t>
                  </w:r>
                </w:p>
              </w:tc>
              <w:tc>
                <w:tcPr>
                  <w:tcW w:w="674" w:type="pct"/>
                  <w:vAlign w:val="center"/>
                </w:tcPr>
                <w:p w14:paraId="0C1BBCCA">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1F263F3E">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1954E74C">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693A03CE">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灭菌</w:t>
                  </w:r>
                </w:p>
              </w:tc>
            </w:tr>
            <w:tr w14:paraId="56D28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273E62D">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color w:val="auto"/>
                      <w:szCs w:val="21"/>
                      <w:highlight w:val="none"/>
                    </w:rPr>
                  </w:pPr>
                  <w:r>
                    <w:rPr>
                      <w:rFonts w:hint="eastAsia"/>
                      <w:color w:val="auto"/>
                      <w:szCs w:val="21"/>
                      <w:highlight w:val="none"/>
                    </w:rPr>
                    <w:t>灌装机</w:t>
                  </w:r>
                </w:p>
              </w:tc>
              <w:tc>
                <w:tcPr>
                  <w:tcW w:w="1390" w:type="pct"/>
                  <w:vAlign w:val="center"/>
                </w:tcPr>
                <w:p w14:paraId="1074FEAA">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w:t>
                  </w:r>
                </w:p>
              </w:tc>
              <w:tc>
                <w:tcPr>
                  <w:tcW w:w="674" w:type="pct"/>
                  <w:shd w:val="clear" w:color="auto" w:fill="auto"/>
                  <w:vAlign w:val="center"/>
                </w:tcPr>
                <w:p w14:paraId="65A07D8C">
                  <w:pPr>
                    <w:keepNext w:val="0"/>
                    <w:keepLines w:val="0"/>
                    <w:pageBreakBefore w:val="0"/>
                    <w:kinsoku/>
                    <w:wordWrap/>
                    <w:overflowPunct/>
                    <w:topLinePunct w:val="0"/>
                    <w:autoSpaceDE/>
                    <w:autoSpaceDN/>
                    <w:bidi w:val="0"/>
                    <w:adjustRightInd w:val="0"/>
                    <w:snapToGrid w:val="0"/>
                    <w:spacing w:line="320" w:lineRule="exact"/>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rPr>
                    <w:t>0</w:t>
                  </w:r>
                </w:p>
              </w:tc>
              <w:tc>
                <w:tcPr>
                  <w:tcW w:w="655" w:type="pct"/>
                  <w:shd w:val="clear" w:color="auto" w:fill="auto"/>
                  <w:vAlign w:val="center"/>
                </w:tcPr>
                <w:p w14:paraId="6FE9AEF3">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423" w:type="pct"/>
                  <w:shd w:val="clear" w:color="auto" w:fill="auto"/>
                  <w:vAlign w:val="center"/>
                </w:tcPr>
                <w:p w14:paraId="04472457">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w:t>
                  </w:r>
                  <w:r>
                    <w:rPr>
                      <w:rFonts w:hint="eastAsia"/>
                      <w:color w:val="auto"/>
                      <w:szCs w:val="21"/>
                      <w:highlight w:val="none"/>
                    </w:rPr>
                    <w:t>1</w:t>
                  </w:r>
                </w:p>
              </w:tc>
              <w:tc>
                <w:tcPr>
                  <w:tcW w:w="740" w:type="pct"/>
                  <w:shd w:val="clear" w:color="auto" w:fill="auto"/>
                  <w:vAlign w:val="center"/>
                </w:tcPr>
                <w:p w14:paraId="43A971AE">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灌装用</w:t>
                  </w:r>
                </w:p>
              </w:tc>
            </w:tr>
            <w:tr w14:paraId="1216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6"/>
                  <w:shd w:val="clear" w:color="auto" w:fill="BEBEBE"/>
                  <w:vAlign w:val="center"/>
                </w:tcPr>
                <w:p w14:paraId="46DFC85A">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eastAsia="宋体"/>
                      <w:color w:val="auto"/>
                      <w:szCs w:val="21"/>
                      <w:highlight w:val="none"/>
                      <w:lang w:eastAsia="zh-CN"/>
                    </w:rPr>
                  </w:pPr>
                  <w:r>
                    <w:rPr>
                      <w:rFonts w:hint="eastAsia"/>
                      <w:b/>
                      <w:bCs/>
                      <w:color w:val="auto"/>
                      <w:szCs w:val="21"/>
                      <w:highlight w:val="none"/>
                      <w:lang w:eastAsia="zh-CN"/>
                    </w:rPr>
                    <w:t>固体复合微生物肥</w:t>
                  </w:r>
                  <w:r>
                    <w:rPr>
                      <w:rFonts w:hint="eastAsia"/>
                      <w:b/>
                      <w:bCs/>
                      <w:color w:val="auto"/>
                      <w:szCs w:val="21"/>
                      <w:highlight w:val="none"/>
                    </w:rPr>
                    <w:t>生产线</w:t>
                  </w:r>
                  <w:r>
                    <w:rPr>
                      <w:rFonts w:hint="eastAsia"/>
                      <w:b/>
                      <w:bCs/>
                      <w:color w:val="auto"/>
                      <w:szCs w:val="21"/>
                      <w:highlight w:val="none"/>
                      <w:lang w:eastAsia="zh-CN"/>
                    </w:rPr>
                    <w:t>（</w:t>
                  </w:r>
                  <w:r>
                    <w:rPr>
                      <w:rFonts w:hint="eastAsia"/>
                      <w:b/>
                      <w:bCs/>
                      <w:color w:val="auto"/>
                      <w:szCs w:val="21"/>
                      <w:highlight w:val="none"/>
                      <w:lang w:val="en-US" w:eastAsia="zh-CN"/>
                    </w:rPr>
                    <w:t>扩建</w:t>
                  </w:r>
                  <w:r>
                    <w:rPr>
                      <w:rFonts w:hint="eastAsia"/>
                      <w:b/>
                      <w:bCs/>
                      <w:color w:val="auto"/>
                      <w:szCs w:val="21"/>
                      <w:highlight w:val="none"/>
                      <w:lang w:eastAsia="zh-CN"/>
                    </w:rPr>
                    <w:t>）</w:t>
                  </w:r>
                </w:p>
              </w:tc>
            </w:tr>
            <w:tr w14:paraId="03F7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721770D3">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铲车投料仓</w:t>
                  </w:r>
                </w:p>
              </w:tc>
              <w:tc>
                <w:tcPr>
                  <w:tcW w:w="1390" w:type="pct"/>
                  <w:vAlign w:val="center"/>
                </w:tcPr>
                <w:p w14:paraId="08504917">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螺旋出料，2*3m</w:t>
                  </w:r>
                </w:p>
              </w:tc>
              <w:tc>
                <w:tcPr>
                  <w:tcW w:w="674" w:type="pct"/>
                  <w:vAlign w:val="center"/>
                </w:tcPr>
                <w:p w14:paraId="0B10A358">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18570BFC">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5E73920B">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12B6A57D">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投料</w:t>
                  </w:r>
                </w:p>
              </w:tc>
            </w:tr>
            <w:tr w14:paraId="2A71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4312658D">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铲车投料仓</w:t>
                  </w:r>
                </w:p>
              </w:tc>
              <w:tc>
                <w:tcPr>
                  <w:tcW w:w="1390" w:type="pct"/>
                  <w:vAlign w:val="center"/>
                </w:tcPr>
                <w:p w14:paraId="33CEB79A">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皮带出料，2*3m</w:t>
                  </w:r>
                </w:p>
              </w:tc>
              <w:tc>
                <w:tcPr>
                  <w:tcW w:w="674" w:type="pct"/>
                  <w:vAlign w:val="center"/>
                </w:tcPr>
                <w:p w14:paraId="1C665F92">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1E6D289A">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5CBB5723">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1A0AC697">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投料</w:t>
                  </w:r>
                </w:p>
              </w:tc>
            </w:tr>
            <w:tr w14:paraId="20CF8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559A6D98">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铲车投料仓</w:t>
                  </w:r>
                </w:p>
              </w:tc>
              <w:tc>
                <w:tcPr>
                  <w:tcW w:w="1390" w:type="pct"/>
                  <w:vAlign w:val="center"/>
                </w:tcPr>
                <w:p w14:paraId="206B40E1">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2*4m</w:t>
                  </w:r>
                </w:p>
              </w:tc>
              <w:tc>
                <w:tcPr>
                  <w:tcW w:w="674" w:type="pct"/>
                  <w:vAlign w:val="center"/>
                </w:tcPr>
                <w:p w14:paraId="4DA4B75A">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431AD9B4">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781E9857">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48C74C86">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投料</w:t>
                  </w:r>
                </w:p>
              </w:tc>
            </w:tr>
            <w:tr w14:paraId="6522F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53A8F182">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扑粉机</w:t>
                  </w:r>
                </w:p>
              </w:tc>
              <w:tc>
                <w:tcPr>
                  <w:tcW w:w="1390" w:type="pct"/>
                  <w:vAlign w:val="center"/>
                </w:tcPr>
                <w:p w14:paraId="1345DD6C">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w:t>
                  </w:r>
                </w:p>
              </w:tc>
              <w:tc>
                <w:tcPr>
                  <w:tcW w:w="674" w:type="pct"/>
                  <w:vAlign w:val="center"/>
                </w:tcPr>
                <w:p w14:paraId="7A4C3FDD">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5A3AF400">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2</w:t>
                  </w:r>
                </w:p>
              </w:tc>
              <w:tc>
                <w:tcPr>
                  <w:tcW w:w="423" w:type="pct"/>
                  <w:vAlign w:val="center"/>
                </w:tcPr>
                <w:p w14:paraId="22AF8170">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2</w:t>
                  </w:r>
                </w:p>
              </w:tc>
              <w:tc>
                <w:tcPr>
                  <w:tcW w:w="740" w:type="pct"/>
                  <w:vAlign w:val="center"/>
                </w:tcPr>
                <w:p w14:paraId="42056C92">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扑粉</w:t>
                  </w:r>
                </w:p>
              </w:tc>
            </w:tr>
            <w:tr w14:paraId="3239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086EB289">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双轴搅拌机</w:t>
                  </w:r>
                </w:p>
              </w:tc>
              <w:tc>
                <w:tcPr>
                  <w:tcW w:w="1390" w:type="pct"/>
                  <w:vAlign w:val="center"/>
                </w:tcPr>
                <w:p w14:paraId="19C3EDF1">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500型，加长款</w:t>
                  </w:r>
                </w:p>
              </w:tc>
              <w:tc>
                <w:tcPr>
                  <w:tcW w:w="674" w:type="pct"/>
                  <w:vAlign w:val="center"/>
                </w:tcPr>
                <w:p w14:paraId="0C8BE48F">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6DCC09A7">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479B455A">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2AC066F0">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搅拌</w:t>
                  </w:r>
                </w:p>
              </w:tc>
            </w:tr>
            <w:tr w14:paraId="7B21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6D59AD50">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双轴搅拌机</w:t>
                  </w:r>
                </w:p>
              </w:tc>
              <w:tc>
                <w:tcPr>
                  <w:tcW w:w="1390" w:type="pct"/>
                  <w:vAlign w:val="center"/>
                </w:tcPr>
                <w:p w14:paraId="245AC7A8">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500型</w:t>
                  </w:r>
                </w:p>
              </w:tc>
              <w:tc>
                <w:tcPr>
                  <w:tcW w:w="674" w:type="pct"/>
                  <w:vAlign w:val="center"/>
                </w:tcPr>
                <w:p w14:paraId="49AA3998">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22705396">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4A437363">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18AE8B43">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搅拌</w:t>
                  </w:r>
                </w:p>
              </w:tc>
            </w:tr>
            <w:tr w14:paraId="737CE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474ED6C4">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皮带机</w:t>
                  </w:r>
                </w:p>
              </w:tc>
              <w:tc>
                <w:tcPr>
                  <w:tcW w:w="1390" w:type="pct"/>
                  <w:vAlign w:val="center"/>
                </w:tcPr>
                <w:p w14:paraId="36920521">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11m</w:t>
                  </w:r>
                </w:p>
              </w:tc>
              <w:tc>
                <w:tcPr>
                  <w:tcW w:w="674" w:type="pct"/>
                  <w:vAlign w:val="center"/>
                </w:tcPr>
                <w:p w14:paraId="1ADB9A5B">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75BD66F4">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3</w:t>
                  </w:r>
                </w:p>
              </w:tc>
              <w:tc>
                <w:tcPr>
                  <w:tcW w:w="423" w:type="pct"/>
                  <w:vAlign w:val="center"/>
                </w:tcPr>
                <w:p w14:paraId="7E238CEE">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3</w:t>
                  </w:r>
                </w:p>
              </w:tc>
              <w:tc>
                <w:tcPr>
                  <w:tcW w:w="740" w:type="pct"/>
                  <w:vAlign w:val="center"/>
                </w:tcPr>
                <w:p w14:paraId="34E2950D">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输送</w:t>
                  </w:r>
                </w:p>
              </w:tc>
            </w:tr>
            <w:tr w14:paraId="5AC3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8C4153B">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皮带机</w:t>
                  </w:r>
                </w:p>
              </w:tc>
              <w:tc>
                <w:tcPr>
                  <w:tcW w:w="1390" w:type="pct"/>
                  <w:vAlign w:val="center"/>
                </w:tcPr>
                <w:p w14:paraId="356F3DE5">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12m</w:t>
                  </w:r>
                </w:p>
              </w:tc>
              <w:tc>
                <w:tcPr>
                  <w:tcW w:w="674" w:type="pct"/>
                  <w:vAlign w:val="center"/>
                </w:tcPr>
                <w:p w14:paraId="07A63C48">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0F635194">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703D4FD0">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7B2BCF7A">
                  <w:pPr>
                    <w:keepNext w:val="0"/>
                    <w:keepLines w:val="0"/>
                    <w:pageBreakBefore w:val="0"/>
                    <w:kinsoku/>
                    <w:wordWrap/>
                    <w:overflowPunct/>
                    <w:topLinePunct w:val="0"/>
                    <w:autoSpaceDE/>
                    <w:autoSpaceDN/>
                    <w:bidi w:val="0"/>
                    <w:spacing w:line="320" w:lineRule="exact"/>
                    <w:jc w:val="center"/>
                    <w:rPr>
                      <w:color w:val="auto"/>
                      <w:szCs w:val="21"/>
                      <w:highlight w:val="none"/>
                    </w:rPr>
                  </w:pPr>
                  <w:r>
                    <w:rPr>
                      <w:rFonts w:hint="eastAsia"/>
                      <w:color w:val="auto"/>
                      <w:szCs w:val="21"/>
                      <w:highlight w:val="none"/>
                    </w:rPr>
                    <w:t>输送</w:t>
                  </w:r>
                </w:p>
              </w:tc>
            </w:tr>
            <w:tr w14:paraId="72D8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6DFA705">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皮带机</w:t>
                  </w:r>
                </w:p>
              </w:tc>
              <w:tc>
                <w:tcPr>
                  <w:tcW w:w="1390" w:type="pct"/>
                  <w:vAlign w:val="center"/>
                </w:tcPr>
                <w:p w14:paraId="1D1715D4">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9m</w:t>
                  </w:r>
                </w:p>
              </w:tc>
              <w:tc>
                <w:tcPr>
                  <w:tcW w:w="674" w:type="pct"/>
                  <w:vAlign w:val="center"/>
                </w:tcPr>
                <w:p w14:paraId="19AD2389">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2238F71E">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7E6D0426">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3745263C">
                  <w:pPr>
                    <w:keepNext w:val="0"/>
                    <w:keepLines w:val="0"/>
                    <w:pageBreakBefore w:val="0"/>
                    <w:kinsoku/>
                    <w:wordWrap/>
                    <w:overflowPunct/>
                    <w:topLinePunct w:val="0"/>
                    <w:autoSpaceDE/>
                    <w:autoSpaceDN/>
                    <w:bidi w:val="0"/>
                    <w:spacing w:line="320" w:lineRule="exact"/>
                    <w:jc w:val="center"/>
                    <w:rPr>
                      <w:color w:val="auto"/>
                      <w:szCs w:val="21"/>
                      <w:highlight w:val="none"/>
                    </w:rPr>
                  </w:pPr>
                  <w:r>
                    <w:rPr>
                      <w:rFonts w:hint="eastAsia"/>
                      <w:color w:val="auto"/>
                      <w:szCs w:val="21"/>
                      <w:highlight w:val="none"/>
                    </w:rPr>
                    <w:t>输送</w:t>
                  </w:r>
                </w:p>
              </w:tc>
            </w:tr>
            <w:tr w14:paraId="73EEC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7885DBDB">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移动皮带机</w:t>
                  </w:r>
                </w:p>
              </w:tc>
              <w:tc>
                <w:tcPr>
                  <w:tcW w:w="1390" w:type="pct"/>
                  <w:vAlign w:val="center"/>
                </w:tcPr>
                <w:p w14:paraId="42504E2E">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14m</w:t>
                  </w:r>
                </w:p>
              </w:tc>
              <w:tc>
                <w:tcPr>
                  <w:tcW w:w="674" w:type="pct"/>
                  <w:vAlign w:val="center"/>
                </w:tcPr>
                <w:p w14:paraId="1DD40AA9">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6AA9C7F7">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0E692F04">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743D6F96">
                  <w:pPr>
                    <w:keepNext w:val="0"/>
                    <w:keepLines w:val="0"/>
                    <w:pageBreakBefore w:val="0"/>
                    <w:kinsoku/>
                    <w:wordWrap/>
                    <w:overflowPunct/>
                    <w:topLinePunct w:val="0"/>
                    <w:autoSpaceDE/>
                    <w:autoSpaceDN/>
                    <w:bidi w:val="0"/>
                    <w:spacing w:line="320" w:lineRule="exact"/>
                    <w:jc w:val="center"/>
                    <w:rPr>
                      <w:color w:val="auto"/>
                      <w:szCs w:val="21"/>
                      <w:highlight w:val="none"/>
                    </w:rPr>
                  </w:pPr>
                  <w:r>
                    <w:rPr>
                      <w:rFonts w:hint="eastAsia"/>
                      <w:color w:val="auto"/>
                      <w:szCs w:val="21"/>
                      <w:highlight w:val="none"/>
                    </w:rPr>
                    <w:t>输送</w:t>
                  </w:r>
                </w:p>
              </w:tc>
            </w:tr>
            <w:tr w14:paraId="2B3E2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29E607F7">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转盘翻堆</w:t>
                  </w:r>
                </w:p>
              </w:tc>
              <w:tc>
                <w:tcPr>
                  <w:tcW w:w="1390" w:type="pct"/>
                  <w:vAlign w:val="center"/>
                </w:tcPr>
                <w:p w14:paraId="78CC6592">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w:t>
                  </w:r>
                </w:p>
              </w:tc>
              <w:tc>
                <w:tcPr>
                  <w:tcW w:w="674" w:type="pct"/>
                  <w:vAlign w:val="center"/>
                </w:tcPr>
                <w:p w14:paraId="54617FE2">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3B73E608">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rPr>
                    <w:t>1</w:t>
                  </w:r>
                  <w:r>
                    <w:rPr>
                      <w:rFonts w:hint="eastAsia"/>
                      <w:color w:val="auto"/>
                      <w:szCs w:val="21"/>
                      <w:highlight w:val="none"/>
                      <w:lang w:val="en-US" w:eastAsia="zh-CN"/>
                    </w:rPr>
                    <w:t>0</w:t>
                  </w:r>
                </w:p>
              </w:tc>
              <w:tc>
                <w:tcPr>
                  <w:tcW w:w="423" w:type="pct"/>
                  <w:vAlign w:val="center"/>
                </w:tcPr>
                <w:p w14:paraId="684C8E15">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w:t>
                  </w:r>
                  <w:r>
                    <w:rPr>
                      <w:rFonts w:hint="eastAsia"/>
                      <w:color w:val="auto"/>
                      <w:szCs w:val="21"/>
                      <w:highlight w:val="none"/>
                    </w:rPr>
                    <w:t>1</w:t>
                  </w:r>
                  <w:r>
                    <w:rPr>
                      <w:rFonts w:hint="eastAsia"/>
                      <w:color w:val="auto"/>
                      <w:szCs w:val="21"/>
                      <w:highlight w:val="none"/>
                      <w:lang w:val="en-US" w:eastAsia="zh-CN"/>
                    </w:rPr>
                    <w:t>0</w:t>
                  </w:r>
                </w:p>
              </w:tc>
              <w:tc>
                <w:tcPr>
                  <w:tcW w:w="740" w:type="pct"/>
                  <w:vMerge w:val="restart"/>
                  <w:vAlign w:val="center"/>
                </w:tcPr>
                <w:p w14:paraId="5BF398EA">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rPr>
                    <w:t>翻堆</w:t>
                  </w:r>
                  <w:r>
                    <w:rPr>
                      <w:rFonts w:hint="eastAsia"/>
                      <w:color w:val="auto"/>
                      <w:szCs w:val="21"/>
                      <w:highlight w:val="none"/>
                      <w:lang w:val="en-US" w:eastAsia="zh-CN"/>
                    </w:rPr>
                    <w:t>发酵</w:t>
                  </w:r>
                </w:p>
              </w:tc>
            </w:tr>
            <w:tr w14:paraId="7545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5E183AA6">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color w:val="auto"/>
                      <w:szCs w:val="21"/>
                      <w:highlight w:val="none"/>
                    </w:rPr>
                  </w:pPr>
                  <w:r>
                    <w:rPr>
                      <w:rFonts w:hint="eastAsia"/>
                      <w:color w:val="auto"/>
                      <w:szCs w:val="21"/>
                      <w:highlight w:val="none"/>
                    </w:rPr>
                    <w:t>发酵槽</w:t>
                  </w:r>
                </w:p>
              </w:tc>
              <w:tc>
                <w:tcPr>
                  <w:tcW w:w="1390" w:type="pct"/>
                  <w:vAlign w:val="center"/>
                </w:tcPr>
                <w:p w14:paraId="478AF4B1">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color w:val="auto"/>
                      <w:szCs w:val="21"/>
                      <w:highlight w:val="none"/>
                    </w:rPr>
                  </w:pPr>
                  <w:r>
                    <w:rPr>
                      <w:rFonts w:hint="eastAsia"/>
                      <w:color w:val="auto"/>
                      <w:szCs w:val="21"/>
                      <w:highlight w:val="none"/>
                    </w:rPr>
                    <w:t>槽深5~10cm</w:t>
                  </w:r>
                </w:p>
              </w:tc>
              <w:tc>
                <w:tcPr>
                  <w:tcW w:w="674" w:type="pct"/>
                  <w:vAlign w:val="center"/>
                </w:tcPr>
                <w:p w14:paraId="62FED368">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0</w:t>
                  </w:r>
                </w:p>
              </w:tc>
              <w:tc>
                <w:tcPr>
                  <w:tcW w:w="655" w:type="pct"/>
                  <w:vAlign w:val="center"/>
                </w:tcPr>
                <w:p w14:paraId="68B66C66">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default" w:eastAsia="宋体"/>
                      <w:color w:val="auto"/>
                      <w:szCs w:val="21"/>
                      <w:highlight w:val="none"/>
                      <w:lang w:val="en-US" w:eastAsia="zh-CN"/>
                    </w:rPr>
                  </w:pPr>
                  <w:r>
                    <w:rPr>
                      <w:rFonts w:hint="eastAsia"/>
                      <w:color w:val="auto"/>
                      <w:szCs w:val="21"/>
                      <w:highlight w:val="none"/>
                      <w:lang w:val="en-US" w:eastAsia="zh-CN"/>
                    </w:rPr>
                    <w:t>10</w:t>
                  </w:r>
                </w:p>
              </w:tc>
              <w:tc>
                <w:tcPr>
                  <w:tcW w:w="423" w:type="pct"/>
                  <w:vAlign w:val="center"/>
                </w:tcPr>
                <w:p w14:paraId="21649A90">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default"/>
                      <w:color w:val="auto"/>
                      <w:szCs w:val="21"/>
                      <w:highlight w:val="none"/>
                      <w:lang w:val="en-US" w:eastAsia="zh-CN"/>
                    </w:rPr>
                  </w:pPr>
                  <w:r>
                    <w:rPr>
                      <w:rFonts w:hint="eastAsia"/>
                      <w:color w:val="auto"/>
                      <w:szCs w:val="21"/>
                      <w:highlight w:val="none"/>
                      <w:lang w:val="en-US" w:eastAsia="zh-CN"/>
                    </w:rPr>
                    <w:t>+10</w:t>
                  </w:r>
                </w:p>
              </w:tc>
              <w:tc>
                <w:tcPr>
                  <w:tcW w:w="740" w:type="pct"/>
                  <w:vMerge w:val="continue"/>
                  <w:vAlign w:val="center"/>
                </w:tcPr>
                <w:p w14:paraId="766BF3DF">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color w:val="auto"/>
                      <w:szCs w:val="21"/>
                      <w:highlight w:val="none"/>
                    </w:rPr>
                  </w:pPr>
                </w:p>
              </w:tc>
            </w:tr>
            <w:tr w14:paraId="27C52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0A9D8711">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筛分机</w:t>
                  </w:r>
                </w:p>
              </w:tc>
              <w:tc>
                <w:tcPr>
                  <w:tcW w:w="1390" w:type="pct"/>
                  <w:vAlign w:val="center"/>
                </w:tcPr>
                <w:p w14:paraId="58535045">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2*6m</w:t>
                  </w:r>
                </w:p>
              </w:tc>
              <w:tc>
                <w:tcPr>
                  <w:tcW w:w="674" w:type="pct"/>
                  <w:vAlign w:val="center"/>
                </w:tcPr>
                <w:p w14:paraId="0F3B50A5">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71917ACB">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2</w:t>
                  </w:r>
                </w:p>
              </w:tc>
              <w:tc>
                <w:tcPr>
                  <w:tcW w:w="423" w:type="pct"/>
                  <w:vAlign w:val="center"/>
                </w:tcPr>
                <w:p w14:paraId="7520A811">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rFonts w:hint="default"/>
                      <w:color w:val="auto"/>
                      <w:szCs w:val="21"/>
                      <w:highlight w:val="none"/>
                      <w:lang w:val="en-US"/>
                    </w:rPr>
                  </w:pPr>
                  <w:r>
                    <w:rPr>
                      <w:rFonts w:hint="eastAsia"/>
                      <w:color w:val="auto"/>
                      <w:szCs w:val="21"/>
                      <w:highlight w:val="none"/>
                      <w:lang w:val="en-US" w:eastAsia="zh-CN"/>
                    </w:rPr>
                    <w:t>+2</w:t>
                  </w:r>
                </w:p>
              </w:tc>
              <w:tc>
                <w:tcPr>
                  <w:tcW w:w="740" w:type="pct"/>
                  <w:vAlign w:val="center"/>
                </w:tcPr>
                <w:p w14:paraId="00DC8ACB">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筛分</w:t>
                  </w:r>
                </w:p>
              </w:tc>
            </w:tr>
            <w:tr w14:paraId="73ED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52BD97E6">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回料皮带机</w:t>
                  </w:r>
                </w:p>
              </w:tc>
              <w:tc>
                <w:tcPr>
                  <w:tcW w:w="1390" w:type="pct"/>
                  <w:vAlign w:val="center"/>
                </w:tcPr>
                <w:p w14:paraId="4E7944EF">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w:t>
                  </w:r>
                </w:p>
              </w:tc>
              <w:tc>
                <w:tcPr>
                  <w:tcW w:w="674" w:type="pct"/>
                  <w:vAlign w:val="center"/>
                </w:tcPr>
                <w:p w14:paraId="1D56560D">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142FE04E">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0BBCD0ED">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65A7DD9A">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输送</w:t>
                  </w:r>
                </w:p>
              </w:tc>
            </w:tr>
            <w:tr w14:paraId="65C55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6F726225">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立式粉碎机</w:t>
                  </w:r>
                </w:p>
              </w:tc>
              <w:tc>
                <w:tcPr>
                  <w:tcW w:w="1390" w:type="pct"/>
                  <w:vAlign w:val="center"/>
                </w:tcPr>
                <w:p w14:paraId="122C152A">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60型</w:t>
                  </w:r>
                </w:p>
              </w:tc>
              <w:tc>
                <w:tcPr>
                  <w:tcW w:w="674" w:type="pct"/>
                  <w:vAlign w:val="center"/>
                </w:tcPr>
                <w:p w14:paraId="40349924">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3CE3CC5A">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0A235D1C">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09B7A86F">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粉碎</w:t>
                  </w:r>
                </w:p>
              </w:tc>
            </w:tr>
            <w:tr w14:paraId="71832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5E02E649">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成品料仓</w:t>
                  </w:r>
                </w:p>
              </w:tc>
              <w:tc>
                <w:tcPr>
                  <w:tcW w:w="1390" w:type="pct"/>
                  <w:vAlign w:val="center"/>
                </w:tcPr>
                <w:p w14:paraId="30495404">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容积10m</w:t>
                  </w:r>
                  <w:r>
                    <w:rPr>
                      <w:rFonts w:hint="eastAsia"/>
                      <w:color w:val="auto"/>
                      <w:szCs w:val="21"/>
                      <w:highlight w:val="none"/>
                      <w:vertAlign w:val="superscript"/>
                    </w:rPr>
                    <w:t>3</w:t>
                  </w:r>
                </w:p>
              </w:tc>
              <w:tc>
                <w:tcPr>
                  <w:tcW w:w="674" w:type="pct"/>
                  <w:vAlign w:val="center"/>
                </w:tcPr>
                <w:p w14:paraId="0828DA99">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2256DB74">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792DA9A2">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67D1AA67">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储存</w:t>
                  </w:r>
                </w:p>
              </w:tc>
            </w:tr>
            <w:tr w14:paraId="5805B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4FE2C024">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原料仓</w:t>
                  </w:r>
                </w:p>
              </w:tc>
              <w:tc>
                <w:tcPr>
                  <w:tcW w:w="1390" w:type="pct"/>
                  <w:vAlign w:val="center"/>
                </w:tcPr>
                <w:p w14:paraId="48F20D4E">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6.5m</w:t>
                  </w:r>
                  <w:r>
                    <w:rPr>
                      <w:rFonts w:hint="eastAsia"/>
                      <w:color w:val="auto"/>
                      <w:szCs w:val="21"/>
                      <w:highlight w:val="none"/>
                      <w:vertAlign w:val="superscript"/>
                    </w:rPr>
                    <w:t>3</w:t>
                  </w:r>
                </w:p>
              </w:tc>
              <w:tc>
                <w:tcPr>
                  <w:tcW w:w="674" w:type="pct"/>
                  <w:vAlign w:val="center"/>
                </w:tcPr>
                <w:p w14:paraId="08F53637">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422D9D65">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6AFBF51E">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5EF78066">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储存</w:t>
                  </w:r>
                </w:p>
              </w:tc>
            </w:tr>
            <w:tr w14:paraId="5DF6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6E3DDAB8">
                  <w:pPr>
                    <w:pStyle w:val="25"/>
                    <w:keepNext w:val="0"/>
                    <w:keepLines w:val="0"/>
                    <w:pageBreakBefore w:val="0"/>
                    <w:kinsoku/>
                    <w:wordWrap/>
                    <w:overflowPunct/>
                    <w:topLinePunct w:val="0"/>
                    <w:autoSpaceDE/>
                    <w:autoSpaceDN/>
                    <w:bidi w:val="0"/>
                    <w:spacing w:after="0" w:line="320" w:lineRule="exact"/>
                    <w:ind w:left="0" w:leftChars="0"/>
                    <w:rPr>
                      <w:color w:val="auto"/>
                      <w:szCs w:val="21"/>
                      <w:highlight w:val="none"/>
                    </w:rPr>
                  </w:pPr>
                  <w:r>
                    <w:rPr>
                      <w:rFonts w:hint="eastAsia"/>
                      <w:color w:val="auto"/>
                      <w:szCs w:val="21"/>
                      <w:highlight w:val="none"/>
                    </w:rPr>
                    <w:t>自动包装机</w:t>
                  </w:r>
                </w:p>
              </w:tc>
              <w:tc>
                <w:tcPr>
                  <w:tcW w:w="1390" w:type="pct"/>
                  <w:vAlign w:val="center"/>
                </w:tcPr>
                <w:p w14:paraId="55FCB6CF">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w:t>
                  </w:r>
                </w:p>
              </w:tc>
              <w:tc>
                <w:tcPr>
                  <w:tcW w:w="674" w:type="pct"/>
                  <w:vAlign w:val="center"/>
                </w:tcPr>
                <w:p w14:paraId="5AFE07AD">
                  <w:pPr>
                    <w:keepNext w:val="0"/>
                    <w:keepLines w:val="0"/>
                    <w:pageBreakBefore w:val="0"/>
                    <w:kinsoku/>
                    <w:wordWrap/>
                    <w:overflowPunct/>
                    <w:topLinePunct w:val="0"/>
                    <w:autoSpaceDE/>
                    <w:autoSpaceDN/>
                    <w:bidi w:val="0"/>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0</w:t>
                  </w:r>
                </w:p>
              </w:tc>
              <w:tc>
                <w:tcPr>
                  <w:tcW w:w="655" w:type="pct"/>
                  <w:vAlign w:val="center"/>
                </w:tcPr>
                <w:p w14:paraId="5E7967F0">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423" w:type="pct"/>
                  <w:vAlign w:val="center"/>
                </w:tcPr>
                <w:p w14:paraId="72955832">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w:t>
                  </w:r>
                  <w:r>
                    <w:rPr>
                      <w:rFonts w:hint="eastAsia"/>
                      <w:color w:val="auto"/>
                      <w:szCs w:val="21"/>
                      <w:highlight w:val="none"/>
                    </w:rPr>
                    <w:t>1</w:t>
                  </w:r>
                </w:p>
              </w:tc>
              <w:tc>
                <w:tcPr>
                  <w:tcW w:w="740" w:type="pct"/>
                  <w:vAlign w:val="center"/>
                </w:tcPr>
                <w:p w14:paraId="66657996">
                  <w:pPr>
                    <w:pStyle w:val="25"/>
                    <w:keepNext w:val="0"/>
                    <w:keepLines w:val="0"/>
                    <w:pageBreakBefore w:val="0"/>
                    <w:kinsoku/>
                    <w:wordWrap/>
                    <w:overflowPunct/>
                    <w:topLinePunct w:val="0"/>
                    <w:autoSpaceDE/>
                    <w:autoSpaceDN/>
                    <w:bidi w:val="0"/>
                    <w:spacing w:after="0" w:line="320" w:lineRule="exact"/>
                    <w:ind w:left="0" w:leftChars="0" w:firstLine="0" w:firstLineChars="0"/>
                    <w:jc w:val="center"/>
                    <w:rPr>
                      <w:color w:val="auto"/>
                      <w:szCs w:val="21"/>
                      <w:highlight w:val="none"/>
                    </w:rPr>
                  </w:pPr>
                  <w:r>
                    <w:rPr>
                      <w:rFonts w:hint="eastAsia"/>
                      <w:color w:val="auto"/>
                      <w:szCs w:val="21"/>
                      <w:highlight w:val="none"/>
                    </w:rPr>
                    <w:t>包装</w:t>
                  </w:r>
                </w:p>
              </w:tc>
            </w:tr>
            <w:tr w14:paraId="109C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6"/>
                  <w:shd w:val="clear" w:color="auto" w:fill="A4A4A4" w:themeFill="background1" w:themeFillShade="A5"/>
                  <w:vAlign w:val="center"/>
                </w:tcPr>
                <w:p w14:paraId="20ABBCC0">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实验室</w:t>
                  </w:r>
                </w:p>
              </w:tc>
            </w:tr>
            <w:tr w14:paraId="29F1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32F5A70B">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szCs w:val="21"/>
                      <w:highlight w:val="none"/>
                      <w:lang w:val="en-US" w:eastAsia="zh-CN"/>
                    </w:rPr>
                  </w:pPr>
                  <w:r>
                    <w:rPr>
                      <w:rFonts w:hint="eastAsia"/>
                      <w:color w:val="auto"/>
                      <w:szCs w:val="21"/>
                      <w:highlight w:val="none"/>
                      <w:lang w:val="en-US" w:eastAsia="zh-CN"/>
                    </w:rPr>
                    <w:t>便携式pH计</w:t>
                  </w:r>
                </w:p>
              </w:tc>
              <w:tc>
                <w:tcPr>
                  <w:tcW w:w="1390" w:type="pct"/>
                  <w:vAlign w:val="center"/>
                </w:tcPr>
                <w:p w14:paraId="54EE32FE">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便携式</w:t>
                  </w:r>
                </w:p>
              </w:tc>
              <w:tc>
                <w:tcPr>
                  <w:tcW w:w="674" w:type="pct"/>
                  <w:vAlign w:val="center"/>
                </w:tcPr>
                <w:p w14:paraId="72BA60D3">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0</w:t>
                  </w:r>
                </w:p>
              </w:tc>
              <w:tc>
                <w:tcPr>
                  <w:tcW w:w="655" w:type="pct"/>
                  <w:vAlign w:val="center"/>
                </w:tcPr>
                <w:p w14:paraId="53734BDF">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1</w:t>
                  </w:r>
                </w:p>
              </w:tc>
              <w:tc>
                <w:tcPr>
                  <w:tcW w:w="423" w:type="pct"/>
                  <w:vAlign w:val="center"/>
                </w:tcPr>
                <w:p w14:paraId="0234D2D6">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szCs w:val="21"/>
                      <w:highlight w:val="none"/>
                      <w:lang w:val="en-US" w:eastAsia="zh-CN"/>
                    </w:rPr>
                  </w:pPr>
                  <w:r>
                    <w:rPr>
                      <w:rFonts w:hint="eastAsia"/>
                      <w:color w:val="auto"/>
                      <w:szCs w:val="21"/>
                      <w:highlight w:val="none"/>
                      <w:lang w:val="en-US" w:eastAsia="zh-CN"/>
                    </w:rPr>
                    <w:t>+1</w:t>
                  </w:r>
                </w:p>
              </w:tc>
              <w:tc>
                <w:tcPr>
                  <w:tcW w:w="740" w:type="pct"/>
                  <w:vAlign w:val="center"/>
                </w:tcPr>
                <w:p w14:paraId="5B7338FF">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szCs w:val="21"/>
                      <w:highlight w:val="none"/>
                      <w:lang w:val="en-US" w:eastAsia="zh-CN"/>
                    </w:rPr>
                  </w:pPr>
                  <w:r>
                    <w:rPr>
                      <w:rFonts w:hint="eastAsia"/>
                      <w:color w:val="auto"/>
                      <w:szCs w:val="21"/>
                      <w:highlight w:val="none"/>
                      <w:lang w:val="en-US" w:eastAsia="zh-CN"/>
                    </w:rPr>
                    <w:t>pH测定</w:t>
                  </w:r>
                </w:p>
              </w:tc>
            </w:tr>
            <w:tr w14:paraId="3F7A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B58F0D9">
                  <w:pPr>
                    <w:keepNext w:val="0"/>
                    <w:keepLines w:val="0"/>
                    <w:pageBreakBefore w:val="0"/>
                    <w:kinsoku/>
                    <w:wordWrap/>
                    <w:overflowPunct/>
                    <w:topLinePunct w:val="0"/>
                    <w:autoSpaceDE/>
                    <w:autoSpaceDN/>
                    <w:bidi w:val="0"/>
                    <w:adjustRightInd w:val="0"/>
                    <w:snapToGrid w:val="0"/>
                    <w:spacing w:line="320" w:lineRule="exact"/>
                    <w:jc w:val="center"/>
                    <w:rPr>
                      <w:rFonts w:hint="default"/>
                      <w:color w:val="auto"/>
                      <w:szCs w:val="21"/>
                      <w:highlight w:val="none"/>
                      <w:lang w:val="en-US" w:eastAsia="zh-CN"/>
                    </w:rPr>
                  </w:pPr>
                  <w:r>
                    <w:rPr>
                      <w:rFonts w:hint="eastAsia"/>
                      <w:color w:val="auto"/>
                      <w:szCs w:val="21"/>
                      <w:highlight w:val="none"/>
                      <w:lang w:val="en-US" w:eastAsia="zh-CN"/>
                    </w:rPr>
                    <w:t>烘干箱</w:t>
                  </w:r>
                </w:p>
              </w:tc>
              <w:tc>
                <w:tcPr>
                  <w:tcW w:w="1390" w:type="pct"/>
                  <w:vAlign w:val="center"/>
                </w:tcPr>
                <w:p w14:paraId="5576348A">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能源电</w:t>
                  </w:r>
                </w:p>
              </w:tc>
              <w:tc>
                <w:tcPr>
                  <w:tcW w:w="674" w:type="pct"/>
                  <w:vAlign w:val="center"/>
                </w:tcPr>
                <w:p w14:paraId="30883706">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0</w:t>
                  </w:r>
                </w:p>
              </w:tc>
              <w:tc>
                <w:tcPr>
                  <w:tcW w:w="655" w:type="pct"/>
                  <w:vAlign w:val="center"/>
                </w:tcPr>
                <w:p w14:paraId="3747EC74">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1</w:t>
                  </w:r>
                </w:p>
              </w:tc>
              <w:tc>
                <w:tcPr>
                  <w:tcW w:w="423" w:type="pct"/>
                  <w:vAlign w:val="center"/>
                </w:tcPr>
                <w:p w14:paraId="6D0C689D">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szCs w:val="21"/>
                      <w:highlight w:val="none"/>
                      <w:lang w:val="en-US" w:eastAsia="zh-CN"/>
                    </w:rPr>
                  </w:pPr>
                  <w:r>
                    <w:rPr>
                      <w:rFonts w:hint="eastAsia"/>
                      <w:color w:val="auto"/>
                      <w:szCs w:val="21"/>
                      <w:highlight w:val="none"/>
                      <w:lang w:val="en-US" w:eastAsia="zh-CN"/>
                    </w:rPr>
                    <w:t>+1</w:t>
                  </w:r>
                </w:p>
              </w:tc>
              <w:tc>
                <w:tcPr>
                  <w:tcW w:w="740" w:type="pct"/>
                  <w:vAlign w:val="center"/>
                </w:tcPr>
                <w:p w14:paraId="56B95ABE">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szCs w:val="21"/>
                      <w:highlight w:val="none"/>
                      <w:lang w:val="en-US" w:eastAsia="zh-CN"/>
                    </w:rPr>
                  </w:pPr>
                  <w:r>
                    <w:rPr>
                      <w:rFonts w:hint="eastAsia"/>
                      <w:color w:val="auto"/>
                      <w:szCs w:val="21"/>
                      <w:highlight w:val="none"/>
                      <w:lang w:val="en-US" w:eastAsia="zh-CN"/>
                    </w:rPr>
                    <w:t>水分测定</w:t>
                  </w:r>
                </w:p>
              </w:tc>
            </w:tr>
            <w:tr w14:paraId="50936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142AFAAF">
                  <w:pPr>
                    <w:keepNext w:val="0"/>
                    <w:keepLines w:val="0"/>
                    <w:pageBreakBefore w:val="0"/>
                    <w:kinsoku/>
                    <w:wordWrap/>
                    <w:overflowPunct/>
                    <w:topLinePunct w:val="0"/>
                    <w:autoSpaceDE/>
                    <w:autoSpaceDN/>
                    <w:bidi w:val="0"/>
                    <w:adjustRightInd w:val="0"/>
                    <w:snapToGrid w:val="0"/>
                    <w:spacing w:line="320" w:lineRule="exact"/>
                    <w:jc w:val="center"/>
                    <w:rPr>
                      <w:rFonts w:hint="default"/>
                      <w:color w:val="auto"/>
                      <w:szCs w:val="21"/>
                      <w:highlight w:val="none"/>
                      <w:lang w:val="en-US" w:eastAsia="zh-CN"/>
                    </w:rPr>
                  </w:pPr>
                  <w:r>
                    <w:rPr>
                      <w:rFonts w:hint="eastAsia"/>
                      <w:color w:val="auto"/>
                      <w:szCs w:val="21"/>
                      <w:highlight w:val="none"/>
                      <w:lang w:val="en-US" w:eastAsia="zh-CN"/>
                    </w:rPr>
                    <w:t>无菌操作台</w:t>
                  </w:r>
                </w:p>
              </w:tc>
              <w:tc>
                <w:tcPr>
                  <w:tcW w:w="1390" w:type="pct"/>
                  <w:vAlign w:val="center"/>
                </w:tcPr>
                <w:p w14:paraId="70328544">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w:t>
                  </w:r>
                </w:p>
              </w:tc>
              <w:tc>
                <w:tcPr>
                  <w:tcW w:w="674" w:type="pct"/>
                  <w:vAlign w:val="center"/>
                </w:tcPr>
                <w:p w14:paraId="604EC035">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0</w:t>
                  </w:r>
                </w:p>
              </w:tc>
              <w:tc>
                <w:tcPr>
                  <w:tcW w:w="655" w:type="pct"/>
                  <w:vAlign w:val="center"/>
                </w:tcPr>
                <w:p w14:paraId="16801CB7">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1</w:t>
                  </w:r>
                </w:p>
              </w:tc>
              <w:tc>
                <w:tcPr>
                  <w:tcW w:w="423" w:type="pct"/>
                  <w:vAlign w:val="center"/>
                </w:tcPr>
                <w:p w14:paraId="41E9BBDC">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szCs w:val="21"/>
                      <w:highlight w:val="none"/>
                      <w:lang w:val="en-US" w:eastAsia="zh-CN"/>
                    </w:rPr>
                  </w:pPr>
                  <w:r>
                    <w:rPr>
                      <w:rFonts w:hint="eastAsia"/>
                      <w:color w:val="auto"/>
                      <w:szCs w:val="21"/>
                      <w:highlight w:val="none"/>
                      <w:lang w:val="en-US" w:eastAsia="zh-CN"/>
                    </w:rPr>
                    <w:t>+1</w:t>
                  </w:r>
                </w:p>
              </w:tc>
              <w:tc>
                <w:tcPr>
                  <w:tcW w:w="740" w:type="pct"/>
                  <w:vMerge w:val="restart"/>
                  <w:vAlign w:val="center"/>
                </w:tcPr>
                <w:p w14:paraId="00C70B93">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szCs w:val="21"/>
                      <w:highlight w:val="none"/>
                      <w:lang w:val="en-US" w:eastAsia="zh-CN"/>
                    </w:rPr>
                  </w:pPr>
                  <w:r>
                    <w:rPr>
                      <w:rFonts w:hint="eastAsia"/>
                      <w:color w:val="auto"/>
                      <w:szCs w:val="21"/>
                      <w:highlight w:val="none"/>
                      <w:lang w:val="en-US" w:eastAsia="zh-CN"/>
                    </w:rPr>
                    <w:t>杂菌测定</w:t>
                  </w:r>
                </w:p>
              </w:tc>
            </w:tr>
            <w:tr w14:paraId="1442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02F2D111">
                  <w:pPr>
                    <w:keepNext w:val="0"/>
                    <w:keepLines w:val="0"/>
                    <w:pageBreakBefore w:val="0"/>
                    <w:kinsoku/>
                    <w:wordWrap/>
                    <w:overflowPunct/>
                    <w:topLinePunct w:val="0"/>
                    <w:autoSpaceDE/>
                    <w:autoSpaceDN/>
                    <w:bidi w:val="0"/>
                    <w:adjustRightInd w:val="0"/>
                    <w:snapToGrid w:val="0"/>
                    <w:spacing w:line="320" w:lineRule="exact"/>
                    <w:jc w:val="center"/>
                    <w:rPr>
                      <w:rFonts w:hint="default"/>
                      <w:color w:val="auto"/>
                      <w:szCs w:val="21"/>
                      <w:highlight w:val="none"/>
                      <w:lang w:val="en-US" w:eastAsia="zh-CN"/>
                    </w:rPr>
                  </w:pPr>
                  <w:r>
                    <w:rPr>
                      <w:rFonts w:hint="eastAsia"/>
                      <w:color w:val="auto"/>
                      <w:szCs w:val="21"/>
                      <w:highlight w:val="none"/>
                      <w:lang w:val="en-US" w:eastAsia="zh-CN"/>
                    </w:rPr>
                    <w:t>高压灭菌锅</w:t>
                  </w:r>
                </w:p>
              </w:tc>
              <w:tc>
                <w:tcPr>
                  <w:tcW w:w="1390" w:type="pct"/>
                  <w:vAlign w:val="center"/>
                </w:tcPr>
                <w:p w14:paraId="3748F11C">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w:t>
                  </w:r>
                </w:p>
              </w:tc>
              <w:tc>
                <w:tcPr>
                  <w:tcW w:w="674" w:type="pct"/>
                  <w:vAlign w:val="center"/>
                </w:tcPr>
                <w:p w14:paraId="1BA61AF2">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0</w:t>
                  </w:r>
                </w:p>
              </w:tc>
              <w:tc>
                <w:tcPr>
                  <w:tcW w:w="655" w:type="pct"/>
                  <w:vAlign w:val="center"/>
                </w:tcPr>
                <w:p w14:paraId="581B04DC">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1</w:t>
                  </w:r>
                </w:p>
              </w:tc>
              <w:tc>
                <w:tcPr>
                  <w:tcW w:w="423" w:type="pct"/>
                  <w:vAlign w:val="center"/>
                </w:tcPr>
                <w:p w14:paraId="0898D05D">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szCs w:val="21"/>
                      <w:highlight w:val="none"/>
                      <w:lang w:val="en-US" w:eastAsia="zh-CN"/>
                    </w:rPr>
                  </w:pPr>
                  <w:r>
                    <w:rPr>
                      <w:rFonts w:hint="eastAsia"/>
                      <w:color w:val="auto"/>
                      <w:szCs w:val="21"/>
                      <w:highlight w:val="none"/>
                      <w:lang w:val="en-US" w:eastAsia="zh-CN"/>
                    </w:rPr>
                    <w:t>+1</w:t>
                  </w:r>
                </w:p>
              </w:tc>
              <w:tc>
                <w:tcPr>
                  <w:tcW w:w="740" w:type="pct"/>
                  <w:vMerge w:val="continue"/>
                  <w:vAlign w:val="center"/>
                </w:tcPr>
                <w:p w14:paraId="4FAA5936">
                  <w:pPr>
                    <w:keepNext w:val="0"/>
                    <w:keepLines w:val="0"/>
                    <w:pageBreakBefore w:val="0"/>
                    <w:kinsoku/>
                    <w:wordWrap/>
                    <w:overflowPunct/>
                    <w:topLinePunct w:val="0"/>
                    <w:autoSpaceDE/>
                    <w:autoSpaceDN/>
                    <w:bidi w:val="0"/>
                    <w:adjustRightInd w:val="0"/>
                    <w:snapToGrid w:val="0"/>
                    <w:spacing w:line="320" w:lineRule="exact"/>
                    <w:jc w:val="center"/>
                    <w:rPr>
                      <w:rFonts w:hint="eastAsia"/>
                      <w:color w:val="auto"/>
                      <w:szCs w:val="21"/>
                      <w:highlight w:val="none"/>
                    </w:rPr>
                  </w:pPr>
                </w:p>
              </w:tc>
            </w:tr>
            <w:tr w14:paraId="4C218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73EDCAC6">
                  <w:pPr>
                    <w:keepNext w:val="0"/>
                    <w:keepLines w:val="0"/>
                    <w:pageBreakBefore w:val="0"/>
                    <w:kinsoku/>
                    <w:wordWrap/>
                    <w:overflowPunct/>
                    <w:topLinePunct w:val="0"/>
                    <w:autoSpaceDE/>
                    <w:autoSpaceDN/>
                    <w:bidi w:val="0"/>
                    <w:adjustRightInd w:val="0"/>
                    <w:snapToGrid w:val="0"/>
                    <w:spacing w:line="320" w:lineRule="exact"/>
                    <w:jc w:val="center"/>
                    <w:rPr>
                      <w:rFonts w:hint="default"/>
                      <w:color w:val="auto"/>
                      <w:szCs w:val="21"/>
                      <w:highlight w:val="none"/>
                      <w:lang w:val="en-US" w:eastAsia="zh-CN"/>
                    </w:rPr>
                  </w:pPr>
                  <w:r>
                    <w:rPr>
                      <w:rFonts w:hint="eastAsia"/>
                      <w:color w:val="auto"/>
                      <w:szCs w:val="21"/>
                      <w:highlight w:val="none"/>
                      <w:lang w:val="en-US" w:eastAsia="zh-CN"/>
                    </w:rPr>
                    <w:t>培养箱</w:t>
                  </w:r>
                </w:p>
              </w:tc>
              <w:tc>
                <w:tcPr>
                  <w:tcW w:w="1390" w:type="pct"/>
                  <w:vAlign w:val="center"/>
                </w:tcPr>
                <w:p w14:paraId="5DDDF035">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w:t>
                  </w:r>
                </w:p>
              </w:tc>
              <w:tc>
                <w:tcPr>
                  <w:tcW w:w="674" w:type="pct"/>
                  <w:vAlign w:val="center"/>
                </w:tcPr>
                <w:p w14:paraId="49A04350">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0</w:t>
                  </w:r>
                </w:p>
              </w:tc>
              <w:tc>
                <w:tcPr>
                  <w:tcW w:w="655" w:type="pct"/>
                  <w:vAlign w:val="center"/>
                </w:tcPr>
                <w:p w14:paraId="43CD2775">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1</w:t>
                  </w:r>
                </w:p>
              </w:tc>
              <w:tc>
                <w:tcPr>
                  <w:tcW w:w="423" w:type="pct"/>
                  <w:vAlign w:val="center"/>
                </w:tcPr>
                <w:p w14:paraId="59F732EE">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szCs w:val="21"/>
                      <w:highlight w:val="none"/>
                      <w:lang w:val="en-US" w:eastAsia="zh-CN"/>
                    </w:rPr>
                  </w:pPr>
                  <w:r>
                    <w:rPr>
                      <w:rFonts w:hint="eastAsia"/>
                      <w:color w:val="auto"/>
                      <w:szCs w:val="21"/>
                      <w:highlight w:val="none"/>
                      <w:lang w:val="en-US" w:eastAsia="zh-CN"/>
                    </w:rPr>
                    <w:t>+1</w:t>
                  </w:r>
                </w:p>
              </w:tc>
              <w:tc>
                <w:tcPr>
                  <w:tcW w:w="740" w:type="pct"/>
                  <w:vMerge w:val="continue"/>
                  <w:vAlign w:val="center"/>
                </w:tcPr>
                <w:p w14:paraId="27F8BA7F">
                  <w:pPr>
                    <w:keepNext w:val="0"/>
                    <w:keepLines w:val="0"/>
                    <w:pageBreakBefore w:val="0"/>
                    <w:kinsoku/>
                    <w:wordWrap/>
                    <w:overflowPunct/>
                    <w:topLinePunct w:val="0"/>
                    <w:autoSpaceDE/>
                    <w:autoSpaceDN/>
                    <w:bidi w:val="0"/>
                    <w:adjustRightInd w:val="0"/>
                    <w:snapToGrid w:val="0"/>
                    <w:spacing w:line="320" w:lineRule="exact"/>
                    <w:jc w:val="center"/>
                    <w:rPr>
                      <w:rFonts w:hint="eastAsia"/>
                      <w:color w:val="auto"/>
                      <w:szCs w:val="21"/>
                      <w:highlight w:val="none"/>
                    </w:rPr>
                  </w:pPr>
                </w:p>
              </w:tc>
            </w:tr>
            <w:tr w14:paraId="30D42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5" w:type="pct"/>
                  <w:vAlign w:val="center"/>
                </w:tcPr>
                <w:p w14:paraId="447ED9BD">
                  <w:pPr>
                    <w:keepNext w:val="0"/>
                    <w:keepLines w:val="0"/>
                    <w:pageBreakBefore w:val="0"/>
                    <w:kinsoku/>
                    <w:wordWrap/>
                    <w:overflowPunct/>
                    <w:topLinePunct w:val="0"/>
                    <w:autoSpaceDE/>
                    <w:autoSpaceDN/>
                    <w:bidi w:val="0"/>
                    <w:adjustRightInd w:val="0"/>
                    <w:snapToGrid w:val="0"/>
                    <w:spacing w:line="320" w:lineRule="exact"/>
                    <w:jc w:val="center"/>
                    <w:rPr>
                      <w:rFonts w:hint="default"/>
                      <w:color w:val="auto"/>
                      <w:szCs w:val="21"/>
                      <w:highlight w:val="none"/>
                      <w:lang w:val="en-US" w:eastAsia="zh-CN"/>
                    </w:rPr>
                  </w:pPr>
                  <w:r>
                    <w:rPr>
                      <w:rFonts w:hint="eastAsia"/>
                      <w:color w:val="auto"/>
                      <w:szCs w:val="21"/>
                      <w:highlight w:val="none"/>
                      <w:lang w:val="en-US" w:eastAsia="zh-CN"/>
                    </w:rPr>
                    <w:t>纯水制备</w:t>
                  </w:r>
                </w:p>
              </w:tc>
              <w:tc>
                <w:tcPr>
                  <w:tcW w:w="1390" w:type="pct"/>
                  <w:vAlign w:val="center"/>
                </w:tcPr>
                <w:p w14:paraId="2454F80A">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szCs w:val="21"/>
                      <w:highlight w:val="none"/>
                      <w:lang w:val="en-US" w:eastAsia="zh-CN"/>
                    </w:rPr>
                  </w:pPr>
                  <w:r>
                    <w:rPr>
                      <w:rFonts w:hint="eastAsia"/>
                      <w:color w:val="auto"/>
                      <w:szCs w:val="21"/>
                      <w:highlight w:val="none"/>
                      <w:lang w:val="en-US" w:eastAsia="zh-CN"/>
                    </w:rPr>
                    <w:t>蒸馏</w:t>
                  </w:r>
                </w:p>
              </w:tc>
              <w:tc>
                <w:tcPr>
                  <w:tcW w:w="674" w:type="pct"/>
                  <w:vAlign w:val="center"/>
                </w:tcPr>
                <w:p w14:paraId="7BDF12E7">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0</w:t>
                  </w:r>
                </w:p>
              </w:tc>
              <w:tc>
                <w:tcPr>
                  <w:tcW w:w="655" w:type="pct"/>
                  <w:vAlign w:val="center"/>
                </w:tcPr>
                <w:p w14:paraId="5B018839">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1</w:t>
                  </w:r>
                </w:p>
              </w:tc>
              <w:tc>
                <w:tcPr>
                  <w:tcW w:w="423" w:type="pct"/>
                  <w:vAlign w:val="center"/>
                </w:tcPr>
                <w:p w14:paraId="7AED6A3E">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szCs w:val="21"/>
                      <w:highlight w:val="none"/>
                      <w:lang w:val="en-US" w:eastAsia="zh-CN"/>
                    </w:rPr>
                  </w:pPr>
                  <w:r>
                    <w:rPr>
                      <w:rFonts w:hint="eastAsia"/>
                      <w:color w:val="auto"/>
                      <w:szCs w:val="21"/>
                      <w:highlight w:val="none"/>
                      <w:lang w:val="en-US" w:eastAsia="zh-CN"/>
                    </w:rPr>
                    <w:t>+1</w:t>
                  </w:r>
                </w:p>
              </w:tc>
              <w:tc>
                <w:tcPr>
                  <w:tcW w:w="740" w:type="pct"/>
                  <w:vAlign w:val="center"/>
                </w:tcPr>
                <w:p w14:paraId="49071EDF">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szCs w:val="21"/>
                      <w:highlight w:val="none"/>
                      <w:lang w:val="en-US" w:eastAsia="zh-CN"/>
                    </w:rPr>
                  </w:pPr>
                  <w:r>
                    <w:rPr>
                      <w:rFonts w:hint="eastAsia"/>
                      <w:color w:val="auto"/>
                      <w:szCs w:val="21"/>
                      <w:highlight w:val="none"/>
                      <w:lang w:val="en-US" w:eastAsia="zh-CN"/>
                    </w:rPr>
                    <w:t>纯水制备</w:t>
                  </w:r>
                </w:p>
              </w:tc>
            </w:tr>
          </w:tbl>
          <w:p w14:paraId="1CD638D2">
            <w:pPr>
              <w:keepNext w:val="0"/>
              <w:keepLines w:val="0"/>
              <w:pageBreakBefore w:val="0"/>
              <w:widowControl w:val="0"/>
              <w:kinsoku/>
              <w:wordWrap/>
              <w:overflowPunct/>
              <w:topLinePunct w:val="0"/>
              <w:autoSpaceDE/>
              <w:autoSpaceDN/>
              <w:bidi w:val="0"/>
              <w:adjustRightInd/>
              <w:snapToGrid/>
              <w:spacing w:line="440" w:lineRule="exact"/>
              <w:textAlignment w:val="auto"/>
              <w:rPr>
                <w:b/>
                <w:bCs/>
                <w:color w:val="auto"/>
                <w:kern w:val="0"/>
                <w:sz w:val="24"/>
                <w:highlight w:val="none"/>
              </w:rPr>
            </w:pPr>
            <w:r>
              <w:rPr>
                <w:rFonts w:hint="eastAsia"/>
                <w:b/>
                <w:bCs/>
                <w:color w:val="auto"/>
                <w:kern w:val="0"/>
                <w:sz w:val="24"/>
                <w:highlight w:val="none"/>
                <w:lang w:val="en-US" w:eastAsia="zh-CN"/>
              </w:rPr>
              <w:t>4</w:t>
            </w:r>
            <w:r>
              <w:rPr>
                <w:rFonts w:hint="eastAsia"/>
                <w:b/>
                <w:bCs/>
                <w:color w:val="auto"/>
                <w:kern w:val="0"/>
                <w:sz w:val="24"/>
                <w:highlight w:val="none"/>
              </w:rPr>
              <w:t>、</w:t>
            </w:r>
            <w:r>
              <w:rPr>
                <w:b/>
                <w:bCs/>
                <w:color w:val="auto"/>
                <w:kern w:val="0"/>
                <w:sz w:val="24"/>
                <w:highlight w:val="none"/>
              </w:rPr>
              <w:t>主要原辅材料</w:t>
            </w:r>
            <w:r>
              <w:rPr>
                <w:rFonts w:hint="eastAsia"/>
                <w:b/>
                <w:bCs/>
                <w:color w:val="auto"/>
                <w:kern w:val="0"/>
                <w:sz w:val="24"/>
                <w:highlight w:val="none"/>
              </w:rPr>
              <w:t>消耗</w:t>
            </w:r>
          </w:p>
          <w:p w14:paraId="754068F5">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color w:val="auto"/>
                <w:kern w:val="0"/>
                <w:sz w:val="24"/>
                <w:highlight w:val="none"/>
              </w:rPr>
            </w:pPr>
            <w:r>
              <w:rPr>
                <w:rFonts w:hint="eastAsia"/>
                <w:color w:val="auto"/>
                <w:kern w:val="0"/>
                <w:sz w:val="24"/>
                <w:highlight w:val="none"/>
              </w:rPr>
              <w:t>根据建设单位提供资料，项目</w:t>
            </w:r>
            <w:r>
              <w:rPr>
                <w:color w:val="auto"/>
                <w:kern w:val="0"/>
                <w:sz w:val="24"/>
                <w:highlight w:val="none"/>
              </w:rPr>
              <w:t>原辅料</w:t>
            </w:r>
            <w:r>
              <w:rPr>
                <w:rFonts w:hint="eastAsia"/>
                <w:color w:val="auto"/>
                <w:kern w:val="0"/>
                <w:sz w:val="24"/>
                <w:highlight w:val="none"/>
              </w:rPr>
              <w:t>消耗情况见表2-5。</w:t>
            </w:r>
          </w:p>
          <w:p w14:paraId="32F9C116">
            <w:pPr>
              <w:ind w:firstLine="413" w:firstLineChars="196"/>
              <w:jc w:val="center"/>
              <w:rPr>
                <w:b/>
                <w:bCs/>
                <w:color w:val="auto"/>
                <w:kern w:val="0"/>
                <w:szCs w:val="21"/>
                <w:highlight w:val="none"/>
              </w:rPr>
            </w:pPr>
            <w:r>
              <w:rPr>
                <w:b/>
                <w:bCs/>
                <w:color w:val="auto"/>
                <w:kern w:val="0"/>
                <w:szCs w:val="21"/>
                <w:highlight w:val="none"/>
              </w:rPr>
              <w:t>表2-5  项目原辅材料消耗情况一览表</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436"/>
              <w:gridCol w:w="988"/>
              <w:gridCol w:w="744"/>
              <w:gridCol w:w="1508"/>
              <w:gridCol w:w="1844"/>
              <w:gridCol w:w="1661"/>
            </w:tblGrid>
            <w:tr w14:paraId="4F16A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43D8AA08">
                  <w:pPr>
                    <w:keepNext w:val="0"/>
                    <w:keepLines w:val="0"/>
                    <w:pageBreakBefore w:val="0"/>
                    <w:kinsoku/>
                    <w:wordWrap/>
                    <w:overflowPunct/>
                    <w:topLinePunct w:val="0"/>
                    <w:autoSpaceDE/>
                    <w:autoSpaceDN/>
                    <w:bidi w:val="0"/>
                    <w:adjustRightInd/>
                    <w:snapToGrid/>
                    <w:spacing w:line="320" w:lineRule="exact"/>
                    <w:jc w:val="center"/>
                    <w:rPr>
                      <w:b/>
                      <w:color w:val="auto"/>
                      <w:szCs w:val="21"/>
                      <w:highlight w:val="none"/>
                    </w:rPr>
                  </w:pPr>
                  <w:r>
                    <w:rPr>
                      <w:rFonts w:hint="eastAsia"/>
                      <w:b/>
                      <w:color w:val="auto"/>
                      <w:szCs w:val="21"/>
                      <w:highlight w:val="none"/>
                    </w:rPr>
                    <w:t>序号</w:t>
                  </w:r>
                </w:p>
              </w:tc>
              <w:tc>
                <w:tcPr>
                  <w:tcW w:w="834" w:type="pct"/>
                  <w:vAlign w:val="center"/>
                </w:tcPr>
                <w:p w14:paraId="5253A3EA">
                  <w:pPr>
                    <w:keepNext w:val="0"/>
                    <w:keepLines w:val="0"/>
                    <w:pageBreakBefore w:val="0"/>
                    <w:kinsoku/>
                    <w:wordWrap/>
                    <w:overflowPunct/>
                    <w:topLinePunct w:val="0"/>
                    <w:autoSpaceDE/>
                    <w:autoSpaceDN/>
                    <w:bidi w:val="0"/>
                    <w:adjustRightInd/>
                    <w:snapToGrid/>
                    <w:spacing w:line="320" w:lineRule="exact"/>
                    <w:jc w:val="center"/>
                    <w:rPr>
                      <w:b/>
                      <w:color w:val="auto"/>
                      <w:szCs w:val="21"/>
                      <w:highlight w:val="none"/>
                    </w:rPr>
                  </w:pPr>
                  <w:r>
                    <w:rPr>
                      <w:rFonts w:hint="eastAsia"/>
                      <w:b/>
                      <w:color w:val="auto"/>
                      <w:szCs w:val="21"/>
                      <w:highlight w:val="none"/>
                    </w:rPr>
                    <w:t>名称</w:t>
                  </w:r>
                </w:p>
              </w:tc>
              <w:tc>
                <w:tcPr>
                  <w:tcW w:w="574" w:type="pct"/>
                  <w:vAlign w:val="center"/>
                </w:tcPr>
                <w:p w14:paraId="6062BBEC">
                  <w:pPr>
                    <w:keepNext w:val="0"/>
                    <w:keepLines w:val="0"/>
                    <w:pageBreakBefore w:val="0"/>
                    <w:kinsoku/>
                    <w:wordWrap/>
                    <w:overflowPunct/>
                    <w:topLinePunct w:val="0"/>
                    <w:autoSpaceDE/>
                    <w:autoSpaceDN/>
                    <w:bidi w:val="0"/>
                    <w:adjustRightInd/>
                    <w:snapToGrid/>
                    <w:spacing w:line="320" w:lineRule="exact"/>
                    <w:jc w:val="center"/>
                    <w:rPr>
                      <w:b/>
                      <w:color w:val="auto"/>
                      <w:szCs w:val="21"/>
                      <w:highlight w:val="none"/>
                    </w:rPr>
                  </w:pPr>
                  <w:r>
                    <w:rPr>
                      <w:rFonts w:hint="eastAsia"/>
                      <w:b/>
                      <w:color w:val="auto"/>
                      <w:szCs w:val="21"/>
                      <w:highlight w:val="none"/>
                    </w:rPr>
                    <w:t>来源</w:t>
                  </w:r>
                </w:p>
              </w:tc>
              <w:tc>
                <w:tcPr>
                  <w:tcW w:w="432" w:type="pct"/>
                  <w:vAlign w:val="center"/>
                </w:tcPr>
                <w:p w14:paraId="7E2C74BD">
                  <w:pPr>
                    <w:keepNext w:val="0"/>
                    <w:keepLines w:val="0"/>
                    <w:pageBreakBefore w:val="0"/>
                    <w:kinsoku/>
                    <w:wordWrap/>
                    <w:overflowPunct/>
                    <w:topLinePunct w:val="0"/>
                    <w:autoSpaceDE/>
                    <w:autoSpaceDN/>
                    <w:bidi w:val="0"/>
                    <w:adjustRightInd/>
                    <w:snapToGrid/>
                    <w:spacing w:line="320" w:lineRule="exact"/>
                    <w:jc w:val="center"/>
                    <w:rPr>
                      <w:b/>
                      <w:color w:val="auto"/>
                      <w:szCs w:val="21"/>
                      <w:highlight w:val="none"/>
                    </w:rPr>
                  </w:pPr>
                  <w:r>
                    <w:rPr>
                      <w:rFonts w:hint="eastAsia"/>
                      <w:b/>
                      <w:color w:val="auto"/>
                      <w:szCs w:val="21"/>
                      <w:highlight w:val="none"/>
                    </w:rPr>
                    <w:t>性状</w:t>
                  </w:r>
                </w:p>
              </w:tc>
              <w:tc>
                <w:tcPr>
                  <w:tcW w:w="876" w:type="pct"/>
                  <w:vAlign w:val="center"/>
                </w:tcPr>
                <w:p w14:paraId="3391A7C2">
                  <w:pPr>
                    <w:keepNext w:val="0"/>
                    <w:keepLines w:val="0"/>
                    <w:pageBreakBefore w:val="0"/>
                    <w:kinsoku/>
                    <w:wordWrap/>
                    <w:overflowPunct/>
                    <w:topLinePunct w:val="0"/>
                    <w:autoSpaceDE/>
                    <w:autoSpaceDN/>
                    <w:bidi w:val="0"/>
                    <w:adjustRightInd/>
                    <w:snapToGrid/>
                    <w:spacing w:line="320" w:lineRule="exact"/>
                    <w:jc w:val="center"/>
                    <w:rPr>
                      <w:b/>
                      <w:color w:val="auto"/>
                      <w:szCs w:val="21"/>
                      <w:highlight w:val="none"/>
                    </w:rPr>
                  </w:pPr>
                  <w:r>
                    <w:rPr>
                      <w:rFonts w:hint="eastAsia"/>
                      <w:b/>
                      <w:color w:val="auto"/>
                      <w:szCs w:val="21"/>
                      <w:highlight w:val="none"/>
                    </w:rPr>
                    <w:t>改扩建前年消耗量（t</w:t>
                  </w:r>
                  <w:r>
                    <w:rPr>
                      <w:rFonts w:hint="eastAsia"/>
                      <w:b/>
                      <w:color w:val="auto"/>
                      <w:szCs w:val="21"/>
                      <w:highlight w:val="none"/>
                      <w:lang w:val="en-US" w:eastAsia="zh-CN"/>
                    </w:rPr>
                    <w:t>/a</w:t>
                  </w:r>
                  <w:r>
                    <w:rPr>
                      <w:rFonts w:hint="eastAsia"/>
                      <w:b/>
                      <w:color w:val="auto"/>
                      <w:szCs w:val="21"/>
                      <w:highlight w:val="none"/>
                    </w:rPr>
                    <w:t>）</w:t>
                  </w:r>
                </w:p>
              </w:tc>
              <w:tc>
                <w:tcPr>
                  <w:tcW w:w="1071" w:type="pct"/>
                  <w:vAlign w:val="center"/>
                </w:tcPr>
                <w:p w14:paraId="56F0D698">
                  <w:pPr>
                    <w:keepNext w:val="0"/>
                    <w:keepLines w:val="0"/>
                    <w:pageBreakBefore w:val="0"/>
                    <w:kinsoku/>
                    <w:wordWrap/>
                    <w:overflowPunct/>
                    <w:topLinePunct w:val="0"/>
                    <w:autoSpaceDE/>
                    <w:autoSpaceDN/>
                    <w:bidi w:val="0"/>
                    <w:adjustRightInd/>
                    <w:snapToGrid/>
                    <w:spacing w:line="320" w:lineRule="exact"/>
                    <w:jc w:val="center"/>
                    <w:rPr>
                      <w:b/>
                      <w:color w:val="auto"/>
                      <w:szCs w:val="21"/>
                      <w:highlight w:val="none"/>
                    </w:rPr>
                  </w:pPr>
                  <w:r>
                    <w:rPr>
                      <w:rFonts w:hint="eastAsia"/>
                      <w:b/>
                      <w:color w:val="auto"/>
                      <w:szCs w:val="21"/>
                      <w:highlight w:val="none"/>
                    </w:rPr>
                    <w:t>现全厂消耗量（t</w:t>
                  </w:r>
                  <w:r>
                    <w:rPr>
                      <w:rFonts w:hint="eastAsia"/>
                      <w:b/>
                      <w:color w:val="auto"/>
                      <w:szCs w:val="21"/>
                      <w:highlight w:val="none"/>
                      <w:lang w:val="en-US" w:eastAsia="zh-CN"/>
                    </w:rPr>
                    <w:t>/a</w:t>
                  </w:r>
                  <w:r>
                    <w:rPr>
                      <w:rFonts w:hint="eastAsia"/>
                      <w:b/>
                      <w:color w:val="auto"/>
                      <w:szCs w:val="21"/>
                      <w:highlight w:val="none"/>
                    </w:rPr>
                    <w:t>）</w:t>
                  </w:r>
                </w:p>
              </w:tc>
              <w:tc>
                <w:tcPr>
                  <w:tcW w:w="963" w:type="pct"/>
                  <w:vAlign w:val="center"/>
                </w:tcPr>
                <w:p w14:paraId="0085372A">
                  <w:pPr>
                    <w:keepNext w:val="0"/>
                    <w:keepLines w:val="0"/>
                    <w:pageBreakBefore w:val="0"/>
                    <w:kinsoku/>
                    <w:wordWrap/>
                    <w:overflowPunct/>
                    <w:topLinePunct w:val="0"/>
                    <w:autoSpaceDE/>
                    <w:autoSpaceDN/>
                    <w:bidi w:val="0"/>
                    <w:adjustRightInd/>
                    <w:snapToGrid/>
                    <w:spacing w:line="320" w:lineRule="exact"/>
                    <w:jc w:val="center"/>
                    <w:rPr>
                      <w:b/>
                      <w:color w:val="auto"/>
                      <w:szCs w:val="21"/>
                      <w:highlight w:val="none"/>
                    </w:rPr>
                  </w:pPr>
                  <w:r>
                    <w:rPr>
                      <w:rFonts w:hint="eastAsia"/>
                      <w:b/>
                      <w:color w:val="auto"/>
                      <w:szCs w:val="21"/>
                      <w:highlight w:val="none"/>
                    </w:rPr>
                    <w:t>改扩建变化量（t</w:t>
                  </w:r>
                  <w:r>
                    <w:rPr>
                      <w:rFonts w:hint="eastAsia"/>
                      <w:b/>
                      <w:color w:val="auto"/>
                      <w:szCs w:val="21"/>
                      <w:highlight w:val="none"/>
                      <w:lang w:val="en-US" w:eastAsia="zh-CN"/>
                    </w:rPr>
                    <w:t>/a</w:t>
                  </w:r>
                  <w:r>
                    <w:rPr>
                      <w:rFonts w:hint="eastAsia"/>
                      <w:b/>
                      <w:color w:val="auto"/>
                      <w:szCs w:val="21"/>
                      <w:highlight w:val="none"/>
                    </w:rPr>
                    <w:t>）</w:t>
                  </w:r>
                </w:p>
              </w:tc>
            </w:tr>
            <w:tr w14:paraId="4BDF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shd w:val="clear" w:color="auto" w:fill="BEBEBE"/>
                  <w:vAlign w:val="center"/>
                </w:tcPr>
                <w:p w14:paraId="2D2F3229">
                  <w:pPr>
                    <w:keepNext w:val="0"/>
                    <w:keepLines w:val="0"/>
                    <w:pageBreakBefore w:val="0"/>
                    <w:kinsoku/>
                    <w:wordWrap/>
                    <w:overflowPunct/>
                    <w:topLinePunct w:val="0"/>
                    <w:autoSpaceDE/>
                    <w:autoSpaceDN/>
                    <w:bidi w:val="0"/>
                    <w:adjustRightInd/>
                    <w:snapToGrid/>
                    <w:spacing w:line="320" w:lineRule="exact"/>
                    <w:jc w:val="center"/>
                    <w:rPr>
                      <w:bCs/>
                      <w:color w:val="auto"/>
                      <w:szCs w:val="21"/>
                      <w:highlight w:val="none"/>
                    </w:rPr>
                  </w:pPr>
                  <w:r>
                    <w:rPr>
                      <w:rFonts w:hint="eastAsia"/>
                      <w:b/>
                      <w:color w:val="auto"/>
                      <w:szCs w:val="21"/>
                      <w:highlight w:val="none"/>
                    </w:rPr>
                    <w:t>果蔬干生产线（技改后</w:t>
                  </w:r>
                  <w:r>
                    <w:rPr>
                      <w:rFonts w:hint="eastAsia"/>
                      <w:b/>
                      <w:bCs/>
                      <w:color w:val="auto"/>
                      <w:highlight w:val="none"/>
                    </w:rPr>
                    <w:t>3</w:t>
                  </w:r>
                  <w:r>
                    <w:rPr>
                      <w:rFonts w:hint="eastAsia"/>
                      <w:b/>
                      <w:bCs/>
                      <w:color w:val="auto"/>
                      <w:highlight w:val="none"/>
                      <w:lang w:val="en-US" w:eastAsia="zh-CN"/>
                    </w:rPr>
                    <w:t>6</w:t>
                  </w:r>
                  <w:r>
                    <w:rPr>
                      <w:rFonts w:hint="eastAsia"/>
                      <w:b/>
                      <w:bCs/>
                      <w:color w:val="auto"/>
                      <w:highlight w:val="none"/>
                    </w:rPr>
                    <w:t>00吨/年）</w:t>
                  </w:r>
                </w:p>
              </w:tc>
            </w:tr>
            <w:tr w14:paraId="08435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22DE4085">
                  <w:pPr>
                    <w:keepNext w:val="0"/>
                    <w:keepLines w:val="0"/>
                    <w:pageBreakBefore w:val="0"/>
                    <w:kinsoku/>
                    <w:wordWrap/>
                    <w:overflowPunct/>
                    <w:topLinePunct w:val="0"/>
                    <w:autoSpaceDE/>
                    <w:autoSpaceDN/>
                    <w:bidi w:val="0"/>
                    <w:adjustRightInd/>
                    <w:snapToGrid/>
                    <w:spacing w:line="320" w:lineRule="exact"/>
                    <w:jc w:val="center"/>
                    <w:rPr>
                      <w:bCs/>
                      <w:color w:val="auto"/>
                      <w:szCs w:val="21"/>
                      <w:highlight w:val="none"/>
                    </w:rPr>
                  </w:pPr>
                  <w:r>
                    <w:rPr>
                      <w:rFonts w:hint="eastAsia"/>
                      <w:bCs/>
                      <w:color w:val="auto"/>
                      <w:szCs w:val="21"/>
                      <w:highlight w:val="none"/>
                    </w:rPr>
                    <w:t>1</w:t>
                  </w:r>
                </w:p>
              </w:tc>
              <w:tc>
                <w:tcPr>
                  <w:tcW w:w="834" w:type="pct"/>
                  <w:vAlign w:val="center"/>
                </w:tcPr>
                <w:p w14:paraId="79AF2B91">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color w:val="auto"/>
                      <w:szCs w:val="21"/>
                      <w:highlight w:val="none"/>
                    </w:rPr>
                    <w:t>果蔬废弃物</w:t>
                  </w:r>
                </w:p>
              </w:tc>
              <w:tc>
                <w:tcPr>
                  <w:tcW w:w="574" w:type="pct"/>
                  <w:vAlign w:val="center"/>
                </w:tcPr>
                <w:p w14:paraId="056824E3">
                  <w:pPr>
                    <w:keepNext w:val="0"/>
                    <w:keepLines w:val="0"/>
                    <w:pageBreakBefore w:val="0"/>
                    <w:kinsoku/>
                    <w:wordWrap/>
                    <w:overflowPunct/>
                    <w:topLinePunct w:val="0"/>
                    <w:autoSpaceDE/>
                    <w:autoSpaceDN/>
                    <w:bidi w:val="0"/>
                    <w:adjustRightInd/>
                    <w:snapToGrid/>
                    <w:spacing w:line="320" w:lineRule="exact"/>
                    <w:jc w:val="center"/>
                    <w:rPr>
                      <w:b/>
                      <w:color w:val="auto"/>
                      <w:szCs w:val="21"/>
                      <w:highlight w:val="none"/>
                    </w:rPr>
                  </w:pPr>
                  <w:r>
                    <w:rPr>
                      <w:rFonts w:hint="eastAsia"/>
                      <w:color w:val="auto"/>
                      <w:szCs w:val="21"/>
                      <w:highlight w:val="none"/>
                    </w:rPr>
                    <w:t>外购</w:t>
                  </w:r>
                </w:p>
              </w:tc>
              <w:tc>
                <w:tcPr>
                  <w:tcW w:w="432" w:type="pct"/>
                  <w:vAlign w:val="center"/>
                </w:tcPr>
                <w:p w14:paraId="542B730A">
                  <w:pPr>
                    <w:keepNext w:val="0"/>
                    <w:keepLines w:val="0"/>
                    <w:pageBreakBefore w:val="0"/>
                    <w:kinsoku/>
                    <w:wordWrap/>
                    <w:overflowPunct/>
                    <w:topLinePunct w:val="0"/>
                    <w:autoSpaceDE/>
                    <w:autoSpaceDN/>
                    <w:bidi w:val="0"/>
                    <w:adjustRightInd/>
                    <w:snapToGrid/>
                    <w:spacing w:line="320" w:lineRule="exact"/>
                    <w:jc w:val="center"/>
                    <w:rPr>
                      <w:bCs/>
                      <w:color w:val="auto"/>
                      <w:szCs w:val="21"/>
                      <w:highlight w:val="none"/>
                    </w:rPr>
                  </w:pPr>
                  <w:r>
                    <w:rPr>
                      <w:rFonts w:hint="eastAsia"/>
                      <w:bCs/>
                      <w:color w:val="auto"/>
                      <w:szCs w:val="21"/>
                      <w:highlight w:val="none"/>
                    </w:rPr>
                    <w:t>固态</w:t>
                  </w:r>
                </w:p>
              </w:tc>
              <w:tc>
                <w:tcPr>
                  <w:tcW w:w="876" w:type="pct"/>
                  <w:vAlign w:val="center"/>
                </w:tcPr>
                <w:p w14:paraId="77B1E238">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color w:val="auto"/>
                      <w:szCs w:val="21"/>
                      <w:highlight w:val="none"/>
                    </w:rPr>
                    <w:t>330000</w:t>
                  </w:r>
                </w:p>
              </w:tc>
              <w:tc>
                <w:tcPr>
                  <w:tcW w:w="1071" w:type="pct"/>
                  <w:shd w:val="clear" w:color="auto" w:fill="auto"/>
                  <w:vAlign w:val="center"/>
                </w:tcPr>
                <w:p w14:paraId="3B9D36AB">
                  <w:pPr>
                    <w:keepNext w:val="0"/>
                    <w:keepLines w:val="0"/>
                    <w:pageBreakBefore w:val="0"/>
                    <w:kinsoku/>
                    <w:wordWrap/>
                    <w:overflowPunct/>
                    <w:topLinePunct w:val="0"/>
                    <w:autoSpaceDE/>
                    <w:autoSpaceDN/>
                    <w:bidi w:val="0"/>
                    <w:adjustRightInd/>
                    <w:snapToGrid/>
                    <w:spacing w:line="320" w:lineRule="exact"/>
                    <w:jc w:val="center"/>
                    <w:rPr>
                      <w:rFonts w:ascii="Times New Roman" w:hAnsi="Times New Roman" w:eastAsia="宋体" w:cs="Times New Roman"/>
                      <w:bCs/>
                      <w:color w:val="auto"/>
                      <w:kern w:val="2"/>
                      <w:sz w:val="21"/>
                      <w:szCs w:val="21"/>
                      <w:highlight w:val="none"/>
                      <w:lang w:val="en-US" w:eastAsia="zh-CN" w:bidi="ar-SA"/>
                    </w:rPr>
                  </w:pPr>
                  <w:r>
                    <w:rPr>
                      <w:rFonts w:hint="eastAsia"/>
                      <w:color w:val="auto"/>
                      <w:szCs w:val="21"/>
                      <w:highlight w:val="none"/>
                    </w:rPr>
                    <w:t>330000</w:t>
                  </w:r>
                </w:p>
              </w:tc>
              <w:tc>
                <w:tcPr>
                  <w:tcW w:w="963" w:type="pct"/>
                  <w:shd w:val="clear" w:color="auto" w:fill="auto"/>
                  <w:vAlign w:val="center"/>
                </w:tcPr>
                <w:p w14:paraId="5C816952">
                  <w:pPr>
                    <w:keepNext w:val="0"/>
                    <w:keepLines w:val="0"/>
                    <w:pageBreakBefore w:val="0"/>
                    <w:kinsoku/>
                    <w:wordWrap/>
                    <w:overflowPunct/>
                    <w:topLinePunct w:val="0"/>
                    <w:autoSpaceDE/>
                    <w:autoSpaceDN/>
                    <w:bidi w:val="0"/>
                    <w:adjustRightInd/>
                    <w:snapToGrid/>
                    <w:spacing w:line="320" w:lineRule="exact"/>
                    <w:jc w:val="center"/>
                    <w:rPr>
                      <w:rFonts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0</w:t>
                  </w:r>
                </w:p>
              </w:tc>
            </w:tr>
            <w:tr w14:paraId="3F4EB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59DE64F7">
                  <w:pPr>
                    <w:keepNext w:val="0"/>
                    <w:keepLines w:val="0"/>
                    <w:pageBreakBefore w:val="0"/>
                    <w:kinsoku/>
                    <w:wordWrap/>
                    <w:overflowPunct/>
                    <w:topLinePunct w:val="0"/>
                    <w:autoSpaceDE/>
                    <w:autoSpaceDN/>
                    <w:bidi w:val="0"/>
                    <w:adjustRightInd/>
                    <w:snapToGrid/>
                    <w:spacing w:line="320" w:lineRule="exact"/>
                    <w:jc w:val="center"/>
                    <w:rPr>
                      <w:bCs/>
                      <w:color w:val="auto"/>
                      <w:szCs w:val="21"/>
                      <w:highlight w:val="none"/>
                    </w:rPr>
                  </w:pPr>
                  <w:r>
                    <w:rPr>
                      <w:rFonts w:hint="eastAsia"/>
                      <w:bCs/>
                      <w:color w:val="auto"/>
                      <w:szCs w:val="21"/>
                      <w:highlight w:val="none"/>
                    </w:rPr>
                    <w:t>2</w:t>
                  </w:r>
                </w:p>
              </w:tc>
              <w:tc>
                <w:tcPr>
                  <w:tcW w:w="834" w:type="pct"/>
                  <w:vAlign w:val="center"/>
                </w:tcPr>
                <w:p w14:paraId="5F55FA0A">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color w:val="auto"/>
                      <w:szCs w:val="21"/>
                      <w:highlight w:val="none"/>
                    </w:rPr>
                    <w:t>生物质颗粒</w:t>
                  </w:r>
                </w:p>
              </w:tc>
              <w:tc>
                <w:tcPr>
                  <w:tcW w:w="574" w:type="pct"/>
                  <w:vAlign w:val="center"/>
                </w:tcPr>
                <w:p w14:paraId="492680ED">
                  <w:pPr>
                    <w:keepNext w:val="0"/>
                    <w:keepLines w:val="0"/>
                    <w:pageBreakBefore w:val="0"/>
                    <w:kinsoku/>
                    <w:wordWrap/>
                    <w:overflowPunct/>
                    <w:topLinePunct w:val="0"/>
                    <w:autoSpaceDE/>
                    <w:autoSpaceDN/>
                    <w:bidi w:val="0"/>
                    <w:adjustRightInd/>
                    <w:snapToGrid/>
                    <w:spacing w:line="320" w:lineRule="exact"/>
                    <w:jc w:val="center"/>
                    <w:rPr>
                      <w:b/>
                      <w:color w:val="auto"/>
                      <w:szCs w:val="21"/>
                      <w:highlight w:val="none"/>
                    </w:rPr>
                  </w:pPr>
                  <w:r>
                    <w:rPr>
                      <w:rFonts w:hint="eastAsia"/>
                      <w:color w:val="auto"/>
                      <w:szCs w:val="21"/>
                      <w:highlight w:val="none"/>
                    </w:rPr>
                    <w:t>外购</w:t>
                  </w:r>
                </w:p>
              </w:tc>
              <w:tc>
                <w:tcPr>
                  <w:tcW w:w="432" w:type="pct"/>
                  <w:vAlign w:val="center"/>
                </w:tcPr>
                <w:p w14:paraId="1D18C5D0">
                  <w:pPr>
                    <w:keepNext w:val="0"/>
                    <w:keepLines w:val="0"/>
                    <w:pageBreakBefore w:val="0"/>
                    <w:kinsoku/>
                    <w:wordWrap/>
                    <w:overflowPunct/>
                    <w:topLinePunct w:val="0"/>
                    <w:autoSpaceDE/>
                    <w:autoSpaceDN/>
                    <w:bidi w:val="0"/>
                    <w:adjustRightInd/>
                    <w:snapToGrid/>
                    <w:spacing w:line="320" w:lineRule="exact"/>
                    <w:jc w:val="center"/>
                    <w:rPr>
                      <w:bCs/>
                      <w:color w:val="auto"/>
                      <w:szCs w:val="21"/>
                      <w:highlight w:val="none"/>
                    </w:rPr>
                  </w:pPr>
                  <w:r>
                    <w:rPr>
                      <w:rFonts w:hint="eastAsia"/>
                      <w:bCs/>
                      <w:color w:val="auto"/>
                      <w:szCs w:val="21"/>
                      <w:highlight w:val="none"/>
                    </w:rPr>
                    <w:t>固态</w:t>
                  </w:r>
                </w:p>
              </w:tc>
              <w:tc>
                <w:tcPr>
                  <w:tcW w:w="876" w:type="pct"/>
                  <w:vAlign w:val="center"/>
                </w:tcPr>
                <w:p w14:paraId="180298B7">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szCs w:val="21"/>
                      <w:highlight w:val="none"/>
                      <w:lang w:val="en-US" w:eastAsia="zh-CN"/>
                    </w:rPr>
                  </w:pPr>
                  <w:r>
                    <w:rPr>
                      <w:color w:val="auto"/>
                      <w:szCs w:val="21"/>
                      <w:highlight w:val="none"/>
                    </w:rPr>
                    <w:t>1103</w:t>
                  </w:r>
                  <w:r>
                    <w:rPr>
                      <w:rFonts w:hint="eastAsia"/>
                      <w:color w:val="auto"/>
                      <w:szCs w:val="21"/>
                      <w:highlight w:val="none"/>
                      <w:lang w:val="en-US" w:eastAsia="zh-CN"/>
                    </w:rPr>
                    <w:t>0</w:t>
                  </w:r>
                </w:p>
              </w:tc>
              <w:tc>
                <w:tcPr>
                  <w:tcW w:w="1071" w:type="pct"/>
                  <w:shd w:val="clear" w:color="auto" w:fill="auto"/>
                  <w:vAlign w:val="center"/>
                </w:tcPr>
                <w:p w14:paraId="20F61CE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1279</w:t>
                  </w:r>
                </w:p>
              </w:tc>
              <w:tc>
                <w:tcPr>
                  <w:tcW w:w="963" w:type="pct"/>
                  <w:shd w:val="clear" w:color="auto" w:fill="auto"/>
                  <w:vAlign w:val="center"/>
                </w:tcPr>
                <w:p w14:paraId="6779F91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w:t>
                  </w:r>
                  <w:r>
                    <w:rPr>
                      <w:rFonts w:hint="eastAsia"/>
                      <w:bCs/>
                      <w:color w:val="auto"/>
                      <w:szCs w:val="21"/>
                      <w:highlight w:val="none"/>
                      <w:lang w:val="en-US" w:eastAsia="zh-CN"/>
                    </w:rPr>
                    <w:t>9751</w:t>
                  </w:r>
                </w:p>
              </w:tc>
            </w:tr>
            <w:tr w14:paraId="42A4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7931E5C4">
                  <w:pPr>
                    <w:keepNext w:val="0"/>
                    <w:keepLines w:val="0"/>
                    <w:pageBreakBefore w:val="0"/>
                    <w:kinsoku/>
                    <w:wordWrap/>
                    <w:overflowPunct/>
                    <w:topLinePunct w:val="0"/>
                    <w:autoSpaceDE/>
                    <w:autoSpaceDN/>
                    <w:bidi w:val="0"/>
                    <w:adjustRightInd/>
                    <w:snapToGrid/>
                    <w:spacing w:line="320" w:lineRule="exact"/>
                    <w:jc w:val="center"/>
                    <w:rPr>
                      <w:bCs/>
                      <w:color w:val="auto"/>
                      <w:szCs w:val="21"/>
                      <w:highlight w:val="none"/>
                    </w:rPr>
                  </w:pPr>
                  <w:r>
                    <w:rPr>
                      <w:rFonts w:hint="eastAsia"/>
                      <w:bCs/>
                      <w:color w:val="auto"/>
                      <w:szCs w:val="21"/>
                      <w:highlight w:val="none"/>
                    </w:rPr>
                    <w:t>3</w:t>
                  </w:r>
                </w:p>
              </w:tc>
              <w:tc>
                <w:tcPr>
                  <w:tcW w:w="834" w:type="pct"/>
                  <w:vAlign w:val="center"/>
                </w:tcPr>
                <w:p w14:paraId="631649E3">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color w:val="auto"/>
                      <w:szCs w:val="21"/>
                      <w:highlight w:val="none"/>
                    </w:rPr>
                    <w:t>沼气</w:t>
                  </w:r>
                </w:p>
              </w:tc>
              <w:tc>
                <w:tcPr>
                  <w:tcW w:w="574" w:type="pct"/>
                  <w:vAlign w:val="center"/>
                </w:tcPr>
                <w:p w14:paraId="4A4BF82A">
                  <w:pPr>
                    <w:keepNext w:val="0"/>
                    <w:keepLines w:val="0"/>
                    <w:pageBreakBefore w:val="0"/>
                    <w:kinsoku/>
                    <w:wordWrap/>
                    <w:overflowPunct/>
                    <w:topLinePunct w:val="0"/>
                    <w:autoSpaceDE/>
                    <w:autoSpaceDN/>
                    <w:bidi w:val="0"/>
                    <w:adjustRightInd/>
                    <w:snapToGrid/>
                    <w:spacing w:line="320" w:lineRule="exact"/>
                    <w:jc w:val="center"/>
                    <w:rPr>
                      <w:b/>
                      <w:color w:val="auto"/>
                      <w:szCs w:val="21"/>
                      <w:highlight w:val="none"/>
                    </w:rPr>
                  </w:pPr>
                  <w:r>
                    <w:rPr>
                      <w:rFonts w:hint="eastAsia"/>
                      <w:color w:val="auto"/>
                      <w:szCs w:val="21"/>
                      <w:highlight w:val="none"/>
                    </w:rPr>
                    <w:t>/</w:t>
                  </w:r>
                </w:p>
              </w:tc>
              <w:tc>
                <w:tcPr>
                  <w:tcW w:w="432" w:type="pct"/>
                  <w:vAlign w:val="center"/>
                </w:tcPr>
                <w:p w14:paraId="08B51B38">
                  <w:pPr>
                    <w:keepNext w:val="0"/>
                    <w:keepLines w:val="0"/>
                    <w:pageBreakBefore w:val="0"/>
                    <w:kinsoku/>
                    <w:wordWrap/>
                    <w:overflowPunct/>
                    <w:topLinePunct w:val="0"/>
                    <w:autoSpaceDE/>
                    <w:autoSpaceDN/>
                    <w:bidi w:val="0"/>
                    <w:adjustRightInd/>
                    <w:snapToGrid/>
                    <w:spacing w:line="320" w:lineRule="exact"/>
                    <w:jc w:val="center"/>
                    <w:rPr>
                      <w:bCs/>
                      <w:color w:val="auto"/>
                      <w:szCs w:val="21"/>
                      <w:highlight w:val="none"/>
                    </w:rPr>
                  </w:pPr>
                  <w:r>
                    <w:rPr>
                      <w:rFonts w:hint="eastAsia"/>
                      <w:bCs/>
                      <w:color w:val="auto"/>
                      <w:szCs w:val="21"/>
                      <w:highlight w:val="none"/>
                    </w:rPr>
                    <w:t>气态</w:t>
                  </w:r>
                </w:p>
              </w:tc>
              <w:tc>
                <w:tcPr>
                  <w:tcW w:w="876" w:type="pct"/>
                  <w:vAlign w:val="center"/>
                </w:tcPr>
                <w:p w14:paraId="1E8A2D33">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color w:val="auto"/>
                      <w:szCs w:val="21"/>
                      <w:highlight w:val="none"/>
                    </w:rPr>
                    <w:t>110.97万m</w:t>
                  </w:r>
                  <w:r>
                    <w:rPr>
                      <w:color w:val="auto"/>
                      <w:szCs w:val="21"/>
                      <w:highlight w:val="none"/>
                      <w:vertAlign w:val="superscript"/>
                    </w:rPr>
                    <w:t>3</w:t>
                  </w:r>
                  <w:r>
                    <w:rPr>
                      <w:color w:val="auto"/>
                      <w:szCs w:val="21"/>
                      <w:highlight w:val="none"/>
                    </w:rPr>
                    <w:t>/a</w:t>
                  </w:r>
                </w:p>
              </w:tc>
              <w:tc>
                <w:tcPr>
                  <w:tcW w:w="1071" w:type="pct"/>
                  <w:shd w:val="clear" w:color="auto" w:fill="auto"/>
                  <w:vAlign w:val="center"/>
                </w:tcPr>
                <w:p w14:paraId="6FE7A82D">
                  <w:pPr>
                    <w:keepNext w:val="0"/>
                    <w:keepLines w:val="0"/>
                    <w:pageBreakBefore w:val="0"/>
                    <w:kinsoku/>
                    <w:wordWrap/>
                    <w:overflowPunct/>
                    <w:topLinePunct w:val="0"/>
                    <w:autoSpaceDE/>
                    <w:autoSpaceDN/>
                    <w:bidi w:val="0"/>
                    <w:adjustRightInd/>
                    <w:snapToGrid/>
                    <w:spacing w:line="320" w:lineRule="exact"/>
                    <w:jc w:val="center"/>
                    <w:rPr>
                      <w:rFonts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91.51</w:t>
                  </w:r>
                  <w:r>
                    <w:rPr>
                      <w:rFonts w:hint="eastAsia"/>
                      <w:bCs/>
                      <w:color w:val="auto"/>
                      <w:szCs w:val="21"/>
                      <w:highlight w:val="none"/>
                    </w:rPr>
                    <w:t>万</w:t>
                  </w:r>
                  <w:r>
                    <w:rPr>
                      <w:color w:val="auto"/>
                      <w:szCs w:val="21"/>
                      <w:highlight w:val="none"/>
                    </w:rPr>
                    <w:t>m</w:t>
                  </w:r>
                  <w:r>
                    <w:rPr>
                      <w:color w:val="auto"/>
                      <w:szCs w:val="21"/>
                      <w:highlight w:val="none"/>
                      <w:vertAlign w:val="superscript"/>
                    </w:rPr>
                    <w:t>3</w:t>
                  </w:r>
                  <w:r>
                    <w:rPr>
                      <w:color w:val="auto"/>
                      <w:szCs w:val="21"/>
                      <w:highlight w:val="none"/>
                    </w:rPr>
                    <w:t>/a</w:t>
                  </w:r>
                </w:p>
              </w:tc>
              <w:tc>
                <w:tcPr>
                  <w:tcW w:w="963" w:type="pct"/>
                  <w:shd w:val="clear" w:color="auto" w:fill="auto"/>
                  <w:vAlign w:val="center"/>
                </w:tcPr>
                <w:p w14:paraId="2EBF9949">
                  <w:pPr>
                    <w:keepNext w:val="0"/>
                    <w:keepLines w:val="0"/>
                    <w:pageBreakBefore w:val="0"/>
                    <w:kinsoku/>
                    <w:wordWrap/>
                    <w:overflowPunct/>
                    <w:topLinePunct w:val="0"/>
                    <w:autoSpaceDE/>
                    <w:autoSpaceDN/>
                    <w:bidi w:val="0"/>
                    <w:adjustRightInd/>
                    <w:snapToGrid/>
                    <w:spacing w:line="320" w:lineRule="exact"/>
                    <w:jc w:val="center"/>
                    <w:rPr>
                      <w:rFonts w:ascii="Times New Roman" w:hAnsi="Times New Roman" w:eastAsia="宋体" w:cs="Times New Roman"/>
                      <w:bCs/>
                      <w:color w:val="auto"/>
                      <w:kern w:val="2"/>
                      <w:sz w:val="21"/>
                      <w:szCs w:val="21"/>
                      <w:highlight w:val="none"/>
                      <w:lang w:val="en-US" w:eastAsia="zh-CN" w:bidi="ar-SA"/>
                    </w:rPr>
                  </w:pPr>
                  <w:r>
                    <w:rPr>
                      <w:rFonts w:hint="eastAsia"/>
                      <w:color w:val="auto"/>
                      <w:szCs w:val="21"/>
                      <w:highlight w:val="none"/>
                    </w:rPr>
                    <w:t>-</w:t>
                  </w:r>
                  <w:r>
                    <w:rPr>
                      <w:rFonts w:hint="eastAsia"/>
                      <w:color w:val="auto"/>
                      <w:szCs w:val="21"/>
                      <w:highlight w:val="none"/>
                      <w:lang w:val="en-US" w:eastAsia="zh-CN"/>
                    </w:rPr>
                    <w:t>19.46</w:t>
                  </w:r>
                  <w:r>
                    <w:rPr>
                      <w:rFonts w:hint="eastAsia"/>
                      <w:color w:val="auto"/>
                      <w:szCs w:val="21"/>
                      <w:highlight w:val="none"/>
                    </w:rPr>
                    <w:t>万</w:t>
                  </w:r>
                  <w:r>
                    <w:rPr>
                      <w:color w:val="auto"/>
                      <w:szCs w:val="21"/>
                      <w:highlight w:val="none"/>
                    </w:rPr>
                    <w:t>m</w:t>
                  </w:r>
                  <w:r>
                    <w:rPr>
                      <w:color w:val="auto"/>
                      <w:szCs w:val="21"/>
                      <w:highlight w:val="none"/>
                      <w:vertAlign w:val="superscript"/>
                    </w:rPr>
                    <w:t>3</w:t>
                  </w:r>
                  <w:r>
                    <w:rPr>
                      <w:color w:val="auto"/>
                      <w:szCs w:val="21"/>
                      <w:highlight w:val="none"/>
                    </w:rPr>
                    <w:t>/a</w:t>
                  </w:r>
                </w:p>
              </w:tc>
            </w:tr>
            <w:tr w14:paraId="0F42E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7A3E4EA7">
                  <w:pPr>
                    <w:keepNext w:val="0"/>
                    <w:keepLines w:val="0"/>
                    <w:pageBreakBefore w:val="0"/>
                    <w:kinsoku/>
                    <w:wordWrap/>
                    <w:overflowPunct/>
                    <w:topLinePunct w:val="0"/>
                    <w:autoSpaceDE/>
                    <w:autoSpaceDN/>
                    <w:bidi w:val="0"/>
                    <w:adjustRightInd/>
                    <w:snapToGrid/>
                    <w:spacing w:line="320" w:lineRule="exact"/>
                    <w:jc w:val="center"/>
                    <w:rPr>
                      <w:rFonts w:hint="eastAsia" w:eastAsia="宋体"/>
                      <w:bCs/>
                      <w:color w:val="auto"/>
                      <w:szCs w:val="21"/>
                      <w:highlight w:val="none"/>
                      <w:lang w:val="en-US" w:eastAsia="zh-CN"/>
                    </w:rPr>
                  </w:pPr>
                  <w:r>
                    <w:rPr>
                      <w:rFonts w:hint="eastAsia"/>
                      <w:bCs/>
                      <w:color w:val="auto"/>
                      <w:szCs w:val="21"/>
                      <w:highlight w:val="none"/>
                      <w:lang w:val="en-US" w:eastAsia="zh-CN"/>
                    </w:rPr>
                    <w:t>4</w:t>
                  </w:r>
                </w:p>
              </w:tc>
              <w:tc>
                <w:tcPr>
                  <w:tcW w:w="834" w:type="pct"/>
                  <w:vAlign w:val="center"/>
                </w:tcPr>
                <w:p w14:paraId="419D578C">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color w:val="auto"/>
                      <w:szCs w:val="21"/>
                      <w:highlight w:val="none"/>
                    </w:rPr>
                    <w:t>脱硫剂</w:t>
                  </w:r>
                </w:p>
              </w:tc>
              <w:tc>
                <w:tcPr>
                  <w:tcW w:w="574" w:type="pct"/>
                  <w:vAlign w:val="center"/>
                </w:tcPr>
                <w:p w14:paraId="25468D6D">
                  <w:pPr>
                    <w:keepNext w:val="0"/>
                    <w:keepLines w:val="0"/>
                    <w:pageBreakBefore w:val="0"/>
                    <w:kinsoku/>
                    <w:wordWrap/>
                    <w:overflowPunct/>
                    <w:topLinePunct w:val="0"/>
                    <w:autoSpaceDE/>
                    <w:autoSpaceDN/>
                    <w:bidi w:val="0"/>
                    <w:adjustRightInd/>
                    <w:snapToGrid/>
                    <w:spacing w:line="320" w:lineRule="exact"/>
                    <w:jc w:val="center"/>
                    <w:rPr>
                      <w:b/>
                      <w:color w:val="auto"/>
                      <w:szCs w:val="21"/>
                      <w:highlight w:val="none"/>
                    </w:rPr>
                  </w:pPr>
                  <w:r>
                    <w:rPr>
                      <w:rFonts w:hint="eastAsia"/>
                      <w:color w:val="auto"/>
                      <w:szCs w:val="21"/>
                      <w:highlight w:val="none"/>
                    </w:rPr>
                    <w:t>外购</w:t>
                  </w:r>
                </w:p>
              </w:tc>
              <w:tc>
                <w:tcPr>
                  <w:tcW w:w="432" w:type="pct"/>
                  <w:vAlign w:val="center"/>
                </w:tcPr>
                <w:p w14:paraId="13E8208B">
                  <w:pPr>
                    <w:keepNext w:val="0"/>
                    <w:keepLines w:val="0"/>
                    <w:pageBreakBefore w:val="0"/>
                    <w:kinsoku/>
                    <w:wordWrap/>
                    <w:overflowPunct/>
                    <w:topLinePunct w:val="0"/>
                    <w:autoSpaceDE/>
                    <w:autoSpaceDN/>
                    <w:bidi w:val="0"/>
                    <w:adjustRightInd/>
                    <w:snapToGrid/>
                    <w:spacing w:line="320" w:lineRule="exact"/>
                    <w:jc w:val="center"/>
                    <w:rPr>
                      <w:bCs/>
                      <w:color w:val="auto"/>
                      <w:szCs w:val="21"/>
                      <w:highlight w:val="none"/>
                    </w:rPr>
                  </w:pPr>
                  <w:r>
                    <w:rPr>
                      <w:rFonts w:hint="eastAsia"/>
                      <w:bCs/>
                      <w:color w:val="auto"/>
                      <w:szCs w:val="21"/>
                      <w:highlight w:val="none"/>
                    </w:rPr>
                    <w:t>固态</w:t>
                  </w:r>
                </w:p>
              </w:tc>
              <w:tc>
                <w:tcPr>
                  <w:tcW w:w="876" w:type="pct"/>
                  <w:vAlign w:val="center"/>
                </w:tcPr>
                <w:p w14:paraId="33C3A28F">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color w:val="auto"/>
                      <w:szCs w:val="21"/>
                      <w:highlight w:val="none"/>
                    </w:rPr>
                    <w:t>16</w:t>
                  </w:r>
                </w:p>
              </w:tc>
              <w:tc>
                <w:tcPr>
                  <w:tcW w:w="1071" w:type="pct"/>
                  <w:shd w:val="clear" w:color="auto" w:fill="auto"/>
                  <w:vAlign w:val="center"/>
                </w:tcPr>
                <w:p w14:paraId="58C7BBA7">
                  <w:pPr>
                    <w:keepNext w:val="0"/>
                    <w:keepLines w:val="0"/>
                    <w:pageBreakBefore w:val="0"/>
                    <w:kinsoku/>
                    <w:wordWrap/>
                    <w:overflowPunct/>
                    <w:topLinePunct w:val="0"/>
                    <w:autoSpaceDE/>
                    <w:autoSpaceDN/>
                    <w:bidi w:val="0"/>
                    <w:adjustRightInd/>
                    <w:snapToGrid/>
                    <w:spacing w:line="320" w:lineRule="exact"/>
                    <w:jc w:val="center"/>
                    <w:rPr>
                      <w:rFonts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1.6</w:t>
                  </w:r>
                </w:p>
              </w:tc>
              <w:tc>
                <w:tcPr>
                  <w:tcW w:w="963" w:type="pct"/>
                  <w:shd w:val="clear" w:color="auto" w:fill="auto"/>
                  <w:vAlign w:val="center"/>
                </w:tcPr>
                <w:p w14:paraId="0330E411">
                  <w:pPr>
                    <w:keepNext w:val="0"/>
                    <w:keepLines w:val="0"/>
                    <w:pageBreakBefore w:val="0"/>
                    <w:kinsoku/>
                    <w:wordWrap/>
                    <w:overflowPunct/>
                    <w:topLinePunct w:val="0"/>
                    <w:autoSpaceDE/>
                    <w:autoSpaceDN/>
                    <w:bidi w:val="0"/>
                    <w:adjustRightInd/>
                    <w:snapToGrid/>
                    <w:spacing w:line="320" w:lineRule="exact"/>
                    <w:jc w:val="center"/>
                    <w:rPr>
                      <w:rFonts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-14.4</w:t>
                  </w:r>
                </w:p>
              </w:tc>
            </w:tr>
            <w:tr w14:paraId="5E80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63AC98ED">
                  <w:pPr>
                    <w:keepNext w:val="0"/>
                    <w:keepLines w:val="0"/>
                    <w:pageBreakBefore w:val="0"/>
                    <w:kinsoku/>
                    <w:wordWrap/>
                    <w:overflowPunct/>
                    <w:topLinePunct w:val="0"/>
                    <w:autoSpaceDE/>
                    <w:autoSpaceDN/>
                    <w:bidi w:val="0"/>
                    <w:adjustRightInd/>
                    <w:snapToGrid/>
                    <w:spacing w:line="320" w:lineRule="exact"/>
                    <w:jc w:val="center"/>
                    <w:rPr>
                      <w:rFonts w:hint="eastAsia" w:eastAsia="宋体"/>
                      <w:bCs/>
                      <w:color w:val="auto"/>
                      <w:szCs w:val="21"/>
                      <w:highlight w:val="none"/>
                      <w:lang w:val="en-US" w:eastAsia="zh-CN"/>
                    </w:rPr>
                  </w:pPr>
                  <w:r>
                    <w:rPr>
                      <w:rFonts w:hint="eastAsia"/>
                      <w:bCs/>
                      <w:color w:val="auto"/>
                      <w:szCs w:val="21"/>
                      <w:highlight w:val="none"/>
                      <w:lang w:val="en-US" w:eastAsia="zh-CN"/>
                    </w:rPr>
                    <w:t>5</w:t>
                  </w:r>
                </w:p>
              </w:tc>
              <w:tc>
                <w:tcPr>
                  <w:tcW w:w="834" w:type="pct"/>
                  <w:vAlign w:val="center"/>
                </w:tcPr>
                <w:p w14:paraId="501B3081">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color w:val="auto"/>
                      <w:szCs w:val="21"/>
                      <w:highlight w:val="none"/>
                    </w:rPr>
                    <w:t>生物除臭剂</w:t>
                  </w:r>
                </w:p>
              </w:tc>
              <w:tc>
                <w:tcPr>
                  <w:tcW w:w="574" w:type="pct"/>
                  <w:vAlign w:val="center"/>
                </w:tcPr>
                <w:p w14:paraId="11508ADD">
                  <w:pPr>
                    <w:keepNext w:val="0"/>
                    <w:keepLines w:val="0"/>
                    <w:pageBreakBefore w:val="0"/>
                    <w:kinsoku/>
                    <w:wordWrap/>
                    <w:overflowPunct/>
                    <w:topLinePunct w:val="0"/>
                    <w:autoSpaceDE/>
                    <w:autoSpaceDN/>
                    <w:bidi w:val="0"/>
                    <w:adjustRightInd/>
                    <w:snapToGrid/>
                    <w:spacing w:line="320" w:lineRule="exact"/>
                    <w:jc w:val="center"/>
                    <w:rPr>
                      <w:b/>
                      <w:color w:val="auto"/>
                      <w:szCs w:val="21"/>
                      <w:highlight w:val="none"/>
                    </w:rPr>
                  </w:pPr>
                  <w:r>
                    <w:rPr>
                      <w:rFonts w:hint="eastAsia"/>
                      <w:color w:val="auto"/>
                      <w:szCs w:val="21"/>
                      <w:highlight w:val="none"/>
                    </w:rPr>
                    <w:t>外购</w:t>
                  </w:r>
                </w:p>
              </w:tc>
              <w:tc>
                <w:tcPr>
                  <w:tcW w:w="432" w:type="pct"/>
                  <w:vAlign w:val="center"/>
                </w:tcPr>
                <w:p w14:paraId="5A3261D6">
                  <w:pPr>
                    <w:keepNext w:val="0"/>
                    <w:keepLines w:val="0"/>
                    <w:pageBreakBefore w:val="0"/>
                    <w:kinsoku/>
                    <w:wordWrap/>
                    <w:overflowPunct/>
                    <w:topLinePunct w:val="0"/>
                    <w:autoSpaceDE/>
                    <w:autoSpaceDN/>
                    <w:bidi w:val="0"/>
                    <w:adjustRightInd/>
                    <w:snapToGrid/>
                    <w:spacing w:line="320" w:lineRule="exact"/>
                    <w:jc w:val="center"/>
                    <w:rPr>
                      <w:bCs/>
                      <w:color w:val="auto"/>
                      <w:szCs w:val="21"/>
                      <w:highlight w:val="none"/>
                    </w:rPr>
                  </w:pPr>
                  <w:r>
                    <w:rPr>
                      <w:rFonts w:hint="eastAsia"/>
                      <w:bCs/>
                      <w:color w:val="auto"/>
                      <w:szCs w:val="21"/>
                      <w:highlight w:val="none"/>
                    </w:rPr>
                    <w:t>固态</w:t>
                  </w:r>
                </w:p>
              </w:tc>
              <w:tc>
                <w:tcPr>
                  <w:tcW w:w="876" w:type="pct"/>
                  <w:vAlign w:val="center"/>
                </w:tcPr>
                <w:p w14:paraId="552DE552">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color w:val="auto"/>
                      <w:szCs w:val="21"/>
                      <w:highlight w:val="none"/>
                    </w:rPr>
                    <w:t>10</w:t>
                  </w:r>
                </w:p>
              </w:tc>
              <w:tc>
                <w:tcPr>
                  <w:tcW w:w="1071" w:type="pct"/>
                  <w:shd w:val="clear" w:color="auto" w:fill="auto"/>
                  <w:vAlign w:val="center"/>
                </w:tcPr>
                <w:p w14:paraId="74A3E57C">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15</w:t>
                  </w:r>
                </w:p>
              </w:tc>
              <w:tc>
                <w:tcPr>
                  <w:tcW w:w="963" w:type="pct"/>
                  <w:shd w:val="clear" w:color="auto" w:fill="auto"/>
                  <w:vAlign w:val="center"/>
                </w:tcPr>
                <w:p w14:paraId="570B770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+5</w:t>
                  </w:r>
                </w:p>
              </w:tc>
            </w:tr>
            <w:tr w14:paraId="1E19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21AD57A6">
                  <w:pPr>
                    <w:keepNext w:val="0"/>
                    <w:keepLines w:val="0"/>
                    <w:pageBreakBefore w:val="0"/>
                    <w:kinsoku/>
                    <w:wordWrap/>
                    <w:overflowPunct/>
                    <w:topLinePunct w:val="0"/>
                    <w:autoSpaceDE/>
                    <w:autoSpaceDN/>
                    <w:bidi w:val="0"/>
                    <w:adjustRightInd/>
                    <w:snapToGrid/>
                    <w:spacing w:line="320" w:lineRule="exact"/>
                    <w:jc w:val="center"/>
                    <w:rPr>
                      <w:rFonts w:hint="eastAsia" w:eastAsia="宋体"/>
                      <w:bCs/>
                      <w:color w:val="auto"/>
                      <w:szCs w:val="21"/>
                      <w:highlight w:val="none"/>
                      <w:lang w:val="en-US" w:eastAsia="zh-CN"/>
                    </w:rPr>
                  </w:pPr>
                  <w:r>
                    <w:rPr>
                      <w:rFonts w:hint="eastAsia"/>
                      <w:bCs/>
                      <w:color w:val="auto"/>
                      <w:szCs w:val="21"/>
                      <w:highlight w:val="none"/>
                      <w:lang w:val="en-US" w:eastAsia="zh-CN"/>
                    </w:rPr>
                    <w:t>6</w:t>
                  </w:r>
                </w:p>
              </w:tc>
              <w:tc>
                <w:tcPr>
                  <w:tcW w:w="834" w:type="pct"/>
                  <w:vAlign w:val="center"/>
                </w:tcPr>
                <w:p w14:paraId="2CB065A0">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color w:val="auto"/>
                      <w:szCs w:val="21"/>
                      <w:highlight w:val="none"/>
                    </w:rPr>
                    <w:t>活性炭</w:t>
                  </w:r>
                </w:p>
              </w:tc>
              <w:tc>
                <w:tcPr>
                  <w:tcW w:w="574" w:type="pct"/>
                  <w:vAlign w:val="center"/>
                </w:tcPr>
                <w:p w14:paraId="16B705B0">
                  <w:pPr>
                    <w:keepNext w:val="0"/>
                    <w:keepLines w:val="0"/>
                    <w:pageBreakBefore w:val="0"/>
                    <w:kinsoku/>
                    <w:wordWrap/>
                    <w:overflowPunct/>
                    <w:topLinePunct w:val="0"/>
                    <w:autoSpaceDE/>
                    <w:autoSpaceDN/>
                    <w:bidi w:val="0"/>
                    <w:adjustRightInd/>
                    <w:snapToGrid/>
                    <w:spacing w:line="320" w:lineRule="exact"/>
                    <w:jc w:val="center"/>
                    <w:rPr>
                      <w:b/>
                      <w:color w:val="auto"/>
                      <w:szCs w:val="21"/>
                      <w:highlight w:val="none"/>
                    </w:rPr>
                  </w:pPr>
                  <w:r>
                    <w:rPr>
                      <w:rFonts w:hint="eastAsia"/>
                      <w:color w:val="auto"/>
                      <w:szCs w:val="21"/>
                      <w:highlight w:val="none"/>
                    </w:rPr>
                    <w:t>外购</w:t>
                  </w:r>
                </w:p>
              </w:tc>
              <w:tc>
                <w:tcPr>
                  <w:tcW w:w="432" w:type="pct"/>
                  <w:vAlign w:val="center"/>
                </w:tcPr>
                <w:p w14:paraId="5626C2C9">
                  <w:pPr>
                    <w:keepNext w:val="0"/>
                    <w:keepLines w:val="0"/>
                    <w:pageBreakBefore w:val="0"/>
                    <w:kinsoku/>
                    <w:wordWrap/>
                    <w:overflowPunct/>
                    <w:topLinePunct w:val="0"/>
                    <w:autoSpaceDE/>
                    <w:autoSpaceDN/>
                    <w:bidi w:val="0"/>
                    <w:adjustRightInd/>
                    <w:snapToGrid/>
                    <w:spacing w:line="320" w:lineRule="exact"/>
                    <w:jc w:val="center"/>
                    <w:rPr>
                      <w:bCs/>
                      <w:color w:val="auto"/>
                      <w:szCs w:val="21"/>
                      <w:highlight w:val="none"/>
                    </w:rPr>
                  </w:pPr>
                  <w:r>
                    <w:rPr>
                      <w:rFonts w:hint="eastAsia"/>
                      <w:bCs/>
                      <w:color w:val="auto"/>
                      <w:szCs w:val="21"/>
                      <w:highlight w:val="none"/>
                    </w:rPr>
                    <w:t>固态</w:t>
                  </w:r>
                </w:p>
              </w:tc>
              <w:tc>
                <w:tcPr>
                  <w:tcW w:w="876" w:type="pct"/>
                  <w:vAlign w:val="center"/>
                </w:tcPr>
                <w:p w14:paraId="34202A8A">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color w:val="auto"/>
                      <w:szCs w:val="21"/>
                      <w:highlight w:val="none"/>
                    </w:rPr>
                    <w:t>7.5</w:t>
                  </w:r>
                </w:p>
              </w:tc>
              <w:tc>
                <w:tcPr>
                  <w:tcW w:w="1071" w:type="pct"/>
                  <w:shd w:val="clear" w:color="auto" w:fill="auto"/>
                  <w:vAlign w:val="center"/>
                </w:tcPr>
                <w:p w14:paraId="26A11B57">
                  <w:pPr>
                    <w:keepNext w:val="0"/>
                    <w:keepLines w:val="0"/>
                    <w:pageBreakBefore w:val="0"/>
                    <w:kinsoku/>
                    <w:wordWrap/>
                    <w:overflowPunct/>
                    <w:topLinePunct w:val="0"/>
                    <w:autoSpaceDE/>
                    <w:autoSpaceDN/>
                    <w:bidi w:val="0"/>
                    <w:adjustRightInd/>
                    <w:snapToGrid/>
                    <w:spacing w:line="320" w:lineRule="exact"/>
                    <w:jc w:val="center"/>
                    <w:rPr>
                      <w:rFonts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7.5</w:t>
                  </w:r>
                </w:p>
              </w:tc>
              <w:tc>
                <w:tcPr>
                  <w:tcW w:w="963" w:type="pct"/>
                  <w:shd w:val="clear" w:color="auto" w:fill="auto"/>
                  <w:vAlign w:val="center"/>
                </w:tcPr>
                <w:p w14:paraId="4C5926E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w:t>
                  </w:r>
                </w:p>
              </w:tc>
            </w:tr>
            <w:tr w14:paraId="19675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36BD2622">
                  <w:pPr>
                    <w:keepNext w:val="0"/>
                    <w:keepLines w:val="0"/>
                    <w:pageBreakBefore w:val="0"/>
                    <w:kinsoku/>
                    <w:wordWrap/>
                    <w:overflowPunct/>
                    <w:topLinePunct w:val="0"/>
                    <w:autoSpaceDE/>
                    <w:autoSpaceDN/>
                    <w:bidi w:val="0"/>
                    <w:adjustRightInd/>
                    <w:snapToGrid/>
                    <w:spacing w:line="320" w:lineRule="exact"/>
                    <w:jc w:val="center"/>
                    <w:rPr>
                      <w:rFonts w:hint="eastAsia" w:eastAsia="宋体"/>
                      <w:bCs/>
                      <w:color w:val="auto"/>
                      <w:szCs w:val="21"/>
                      <w:highlight w:val="none"/>
                      <w:lang w:val="en-US" w:eastAsia="zh-CN"/>
                    </w:rPr>
                  </w:pPr>
                  <w:r>
                    <w:rPr>
                      <w:rFonts w:hint="eastAsia"/>
                      <w:bCs/>
                      <w:color w:val="auto"/>
                      <w:szCs w:val="21"/>
                      <w:highlight w:val="none"/>
                      <w:lang w:val="en-US" w:eastAsia="zh-CN"/>
                    </w:rPr>
                    <w:t>7</w:t>
                  </w:r>
                </w:p>
              </w:tc>
              <w:tc>
                <w:tcPr>
                  <w:tcW w:w="834" w:type="pct"/>
                  <w:vAlign w:val="center"/>
                </w:tcPr>
                <w:p w14:paraId="2808F242">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color w:val="auto"/>
                      <w:szCs w:val="21"/>
                      <w:highlight w:val="none"/>
                    </w:rPr>
                    <w:t>絮凝剂</w:t>
                  </w:r>
                </w:p>
              </w:tc>
              <w:tc>
                <w:tcPr>
                  <w:tcW w:w="574" w:type="pct"/>
                  <w:vAlign w:val="center"/>
                </w:tcPr>
                <w:p w14:paraId="6FDFD637">
                  <w:pPr>
                    <w:keepNext w:val="0"/>
                    <w:keepLines w:val="0"/>
                    <w:pageBreakBefore w:val="0"/>
                    <w:kinsoku/>
                    <w:wordWrap/>
                    <w:overflowPunct/>
                    <w:topLinePunct w:val="0"/>
                    <w:autoSpaceDE/>
                    <w:autoSpaceDN/>
                    <w:bidi w:val="0"/>
                    <w:adjustRightInd/>
                    <w:snapToGrid/>
                    <w:spacing w:line="320" w:lineRule="exact"/>
                    <w:jc w:val="center"/>
                    <w:rPr>
                      <w:b/>
                      <w:color w:val="auto"/>
                      <w:szCs w:val="21"/>
                      <w:highlight w:val="none"/>
                    </w:rPr>
                  </w:pPr>
                  <w:r>
                    <w:rPr>
                      <w:rFonts w:hint="eastAsia"/>
                      <w:color w:val="auto"/>
                      <w:szCs w:val="21"/>
                      <w:highlight w:val="none"/>
                    </w:rPr>
                    <w:t>外购</w:t>
                  </w:r>
                </w:p>
              </w:tc>
              <w:tc>
                <w:tcPr>
                  <w:tcW w:w="432" w:type="pct"/>
                  <w:vAlign w:val="center"/>
                </w:tcPr>
                <w:p w14:paraId="63C80D32">
                  <w:pPr>
                    <w:keepNext w:val="0"/>
                    <w:keepLines w:val="0"/>
                    <w:pageBreakBefore w:val="0"/>
                    <w:kinsoku/>
                    <w:wordWrap/>
                    <w:overflowPunct/>
                    <w:topLinePunct w:val="0"/>
                    <w:autoSpaceDE/>
                    <w:autoSpaceDN/>
                    <w:bidi w:val="0"/>
                    <w:adjustRightInd/>
                    <w:snapToGrid/>
                    <w:spacing w:line="320" w:lineRule="exact"/>
                    <w:jc w:val="center"/>
                    <w:rPr>
                      <w:bCs/>
                      <w:color w:val="auto"/>
                      <w:szCs w:val="21"/>
                      <w:highlight w:val="none"/>
                    </w:rPr>
                  </w:pPr>
                  <w:r>
                    <w:rPr>
                      <w:rFonts w:hint="eastAsia"/>
                      <w:bCs/>
                      <w:color w:val="auto"/>
                      <w:szCs w:val="21"/>
                      <w:highlight w:val="none"/>
                    </w:rPr>
                    <w:t>固态</w:t>
                  </w:r>
                </w:p>
              </w:tc>
              <w:tc>
                <w:tcPr>
                  <w:tcW w:w="876" w:type="pct"/>
                  <w:vAlign w:val="center"/>
                </w:tcPr>
                <w:p w14:paraId="168A7213">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color w:val="auto"/>
                      <w:szCs w:val="21"/>
                      <w:highlight w:val="none"/>
                    </w:rPr>
                    <w:t>150</w:t>
                  </w:r>
                </w:p>
              </w:tc>
              <w:tc>
                <w:tcPr>
                  <w:tcW w:w="1071" w:type="pct"/>
                  <w:shd w:val="clear" w:color="auto" w:fill="auto"/>
                  <w:vAlign w:val="center"/>
                </w:tcPr>
                <w:p w14:paraId="5415326C">
                  <w:pPr>
                    <w:keepNext w:val="0"/>
                    <w:keepLines w:val="0"/>
                    <w:pageBreakBefore w:val="0"/>
                    <w:kinsoku/>
                    <w:wordWrap/>
                    <w:overflowPunct/>
                    <w:topLinePunct w:val="0"/>
                    <w:autoSpaceDE/>
                    <w:autoSpaceDN/>
                    <w:bidi w:val="0"/>
                    <w:adjustRightInd/>
                    <w:snapToGrid/>
                    <w:spacing w:line="320" w:lineRule="exact"/>
                    <w:jc w:val="center"/>
                    <w:rPr>
                      <w:rFonts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147</w:t>
                  </w:r>
                </w:p>
              </w:tc>
              <w:tc>
                <w:tcPr>
                  <w:tcW w:w="963" w:type="pct"/>
                  <w:shd w:val="clear" w:color="auto" w:fill="auto"/>
                  <w:vAlign w:val="center"/>
                </w:tcPr>
                <w:p w14:paraId="0C7C4971">
                  <w:pPr>
                    <w:keepNext w:val="0"/>
                    <w:keepLines w:val="0"/>
                    <w:pageBreakBefore w:val="0"/>
                    <w:kinsoku/>
                    <w:wordWrap/>
                    <w:overflowPunct/>
                    <w:topLinePunct w:val="0"/>
                    <w:autoSpaceDE/>
                    <w:autoSpaceDN/>
                    <w:bidi w:val="0"/>
                    <w:adjustRightInd/>
                    <w:snapToGrid/>
                    <w:spacing w:line="320" w:lineRule="exact"/>
                    <w:jc w:val="center"/>
                    <w:rPr>
                      <w:rFonts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-3</w:t>
                  </w:r>
                </w:p>
              </w:tc>
            </w:tr>
            <w:tr w14:paraId="2850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22618AD1">
                  <w:pPr>
                    <w:keepNext w:val="0"/>
                    <w:keepLines w:val="0"/>
                    <w:pageBreakBefore w:val="0"/>
                    <w:kinsoku/>
                    <w:wordWrap/>
                    <w:overflowPunct/>
                    <w:topLinePunct w:val="0"/>
                    <w:autoSpaceDE/>
                    <w:autoSpaceDN/>
                    <w:bidi w:val="0"/>
                    <w:adjustRightInd/>
                    <w:snapToGrid/>
                    <w:spacing w:line="320" w:lineRule="exact"/>
                    <w:jc w:val="center"/>
                    <w:rPr>
                      <w:rFonts w:hint="default" w:eastAsia="宋体"/>
                      <w:bCs/>
                      <w:color w:val="auto"/>
                      <w:szCs w:val="21"/>
                      <w:highlight w:val="none"/>
                      <w:lang w:val="en-US" w:eastAsia="zh-CN"/>
                    </w:rPr>
                  </w:pPr>
                  <w:r>
                    <w:rPr>
                      <w:rFonts w:hint="eastAsia"/>
                      <w:bCs/>
                      <w:color w:val="auto"/>
                      <w:szCs w:val="21"/>
                      <w:highlight w:val="none"/>
                      <w:lang w:val="en-US" w:eastAsia="zh-CN"/>
                    </w:rPr>
                    <w:t>8</w:t>
                  </w:r>
                </w:p>
              </w:tc>
              <w:tc>
                <w:tcPr>
                  <w:tcW w:w="834" w:type="pct"/>
                  <w:vAlign w:val="center"/>
                </w:tcPr>
                <w:p w14:paraId="19A4AE95">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color w:val="auto"/>
                      <w:szCs w:val="21"/>
                      <w:highlight w:val="none"/>
                    </w:rPr>
                    <w:t>石灰</w:t>
                  </w:r>
                </w:p>
              </w:tc>
              <w:tc>
                <w:tcPr>
                  <w:tcW w:w="574" w:type="pct"/>
                  <w:vAlign w:val="center"/>
                </w:tcPr>
                <w:p w14:paraId="155CFFF2">
                  <w:pPr>
                    <w:keepNext w:val="0"/>
                    <w:keepLines w:val="0"/>
                    <w:pageBreakBefore w:val="0"/>
                    <w:kinsoku/>
                    <w:wordWrap/>
                    <w:overflowPunct/>
                    <w:topLinePunct w:val="0"/>
                    <w:autoSpaceDE/>
                    <w:autoSpaceDN/>
                    <w:bidi w:val="0"/>
                    <w:adjustRightInd/>
                    <w:snapToGrid/>
                    <w:spacing w:line="320" w:lineRule="exact"/>
                    <w:jc w:val="center"/>
                    <w:rPr>
                      <w:b/>
                      <w:color w:val="auto"/>
                      <w:szCs w:val="21"/>
                      <w:highlight w:val="none"/>
                    </w:rPr>
                  </w:pPr>
                  <w:r>
                    <w:rPr>
                      <w:rFonts w:hint="eastAsia"/>
                      <w:color w:val="auto"/>
                      <w:szCs w:val="21"/>
                      <w:highlight w:val="none"/>
                    </w:rPr>
                    <w:t>外购</w:t>
                  </w:r>
                </w:p>
              </w:tc>
              <w:tc>
                <w:tcPr>
                  <w:tcW w:w="432" w:type="pct"/>
                  <w:vAlign w:val="center"/>
                </w:tcPr>
                <w:p w14:paraId="38D7D9E6">
                  <w:pPr>
                    <w:keepNext w:val="0"/>
                    <w:keepLines w:val="0"/>
                    <w:pageBreakBefore w:val="0"/>
                    <w:kinsoku/>
                    <w:wordWrap/>
                    <w:overflowPunct/>
                    <w:topLinePunct w:val="0"/>
                    <w:autoSpaceDE/>
                    <w:autoSpaceDN/>
                    <w:bidi w:val="0"/>
                    <w:adjustRightInd/>
                    <w:snapToGrid/>
                    <w:spacing w:line="320" w:lineRule="exact"/>
                    <w:jc w:val="center"/>
                    <w:rPr>
                      <w:bCs/>
                      <w:color w:val="auto"/>
                      <w:szCs w:val="21"/>
                      <w:highlight w:val="none"/>
                    </w:rPr>
                  </w:pPr>
                  <w:r>
                    <w:rPr>
                      <w:rFonts w:hint="eastAsia"/>
                      <w:bCs/>
                      <w:color w:val="auto"/>
                      <w:szCs w:val="21"/>
                      <w:highlight w:val="none"/>
                    </w:rPr>
                    <w:t>固态</w:t>
                  </w:r>
                </w:p>
              </w:tc>
              <w:tc>
                <w:tcPr>
                  <w:tcW w:w="876" w:type="pct"/>
                  <w:vAlign w:val="center"/>
                </w:tcPr>
                <w:p w14:paraId="06DB671A">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color w:val="auto"/>
                      <w:szCs w:val="21"/>
                      <w:highlight w:val="none"/>
                    </w:rPr>
                    <w:t>3</w:t>
                  </w:r>
                </w:p>
              </w:tc>
              <w:tc>
                <w:tcPr>
                  <w:tcW w:w="1071" w:type="pct"/>
                  <w:shd w:val="clear" w:color="auto" w:fill="auto"/>
                  <w:vAlign w:val="center"/>
                </w:tcPr>
                <w:p w14:paraId="0631F1F0">
                  <w:pPr>
                    <w:keepNext w:val="0"/>
                    <w:keepLines w:val="0"/>
                    <w:pageBreakBefore w:val="0"/>
                    <w:kinsoku/>
                    <w:wordWrap/>
                    <w:overflowPunct/>
                    <w:topLinePunct w:val="0"/>
                    <w:autoSpaceDE/>
                    <w:autoSpaceDN/>
                    <w:bidi w:val="0"/>
                    <w:adjustRightInd/>
                    <w:snapToGrid/>
                    <w:spacing w:line="320" w:lineRule="exact"/>
                    <w:jc w:val="center"/>
                    <w:rPr>
                      <w:rFonts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2.94</w:t>
                  </w:r>
                </w:p>
              </w:tc>
              <w:tc>
                <w:tcPr>
                  <w:tcW w:w="963" w:type="pct"/>
                  <w:shd w:val="clear" w:color="auto" w:fill="auto"/>
                  <w:vAlign w:val="center"/>
                </w:tcPr>
                <w:p w14:paraId="42AF1917">
                  <w:pPr>
                    <w:keepNext w:val="0"/>
                    <w:keepLines w:val="0"/>
                    <w:pageBreakBefore w:val="0"/>
                    <w:kinsoku/>
                    <w:wordWrap/>
                    <w:overflowPunct/>
                    <w:topLinePunct w:val="0"/>
                    <w:autoSpaceDE/>
                    <w:autoSpaceDN/>
                    <w:bidi w:val="0"/>
                    <w:adjustRightInd/>
                    <w:snapToGrid/>
                    <w:spacing w:line="320" w:lineRule="exact"/>
                    <w:jc w:val="center"/>
                    <w:rPr>
                      <w:rFonts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-0.06</w:t>
                  </w:r>
                </w:p>
              </w:tc>
            </w:tr>
            <w:tr w14:paraId="78DF9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519998EE">
                  <w:pPr>
                    <w:keepNext w:val="0"/>
                    <w:keepLines w:val="0"/>
                    <w:pageBreakBefore w:val="0"/>
                    <w:kinsoku/>
                    <w:wordWrap/>
                    <w:overflowPunct/>
                    <w:topLinePunct w:val="0"/>
                    <w:autoSpaceDE/>
                    <w:autoSpaceDN/>
                    <w:bidi w:val="0"/>
                    <w:adjustRightInd/>
                    <w:snapToGrid/>
                    <w:spacing w:line="320" w:lineRule="exact"/>
                    <w:jc w:val="center"/>
                    <w:rPr>
                      <w:rFonts w:hint="eastAsia" w:eastAsia="宋体"/>
                      <w:bCs/>
                      <w:color w:val="auto"/>
                      <w:szCs w:val="21"/>
                      <w:highlight w:val="none"/>
                      <w:lang w:val="en-US" w:eastAsia="zh-CN"/>
                    </w:rPr>
                  </w:pPr>
                  <w:r>
                    <w:rPr>
                      <w:rFonts w:hint="eastAsia"/>
                      <w:bCs/>
                      <w:color w:val="auto"/>
                      <w:szCs w:val="21"/>
                      <w:highlight w:val="none"/>
                      <w:lang w:val="en-US" w:eastAsia="zh-CN"/>
                    </w:rPr>
                    <w:t>9</w:t>
                  </w:r>
                </w:p>
              </w:tc>
              <w:tc>
                <w:tcPr>
                  <w:tcW w:w="834" w:type="pct"/>
                  <w:vAlign w:val="center"/>
                </w:tcPr>
                <w:p w14:paraId="18D48EB9">
                  <w:pPr>
                    <w:keepNext w:val="0"/>
                    <w:keepLines w:val="0"/>
                    <w:pageBreakBefore w:val="0"/>
                    <w:kinsoku/>
                    <w:wordWrap/>
                    <w:overflowPunct/>
                    <w:topLinePunct w:val="0"/>
                    <w:autoSpaceDE/>
                    <w:autoSpaceDN/>
                    <w:bidi w:val="0"/>
                    <w:adjustRightInd/>
                    <w:snapToGrid/>
                    <w:spacing w:line="320" w:lineRule="exact"/>
                    <w:jc w:val="center"/>
                    <w:rPr>
                      <w:b/>
                      <w:bCs/>
                      <w:color w:val="auto"/>
                      <w:sz w:val="24"/>
                      <w:highlight w:val="none"/>
                    </w:rPr>
                  </w:pPr>
                  <w:r>
                    <w:rPr>
                      <w:color w:val="auto"/>
                      <w:szCs w:val="21"/>
                      <w:highlight w:val="none"/>
                    </w:rPr>
                    <w:t>尿素</w:t>
                  </w:r>
                </w:p>
              </w:tc>
              <w:tc>
                <w:tcPr>
                  <w:tcW w:w="574" w:type="pct"/>
                  <w:vAlign w:val="center"/>
                </w:tcPr>
                <w:p w14:paraId="127C5F79">
                  <w:pPr>
                    <w:keepNext w:val="0"/>
                    <w:keepLines w:val="0"/>
                    <w:pageBreakBefore w:val="0"/>
                    <w:kinsoku/>
                    <w:wordWrap/>
                    <w:overflowPunct/>
                    <w:topLinePunct w:val="0"/>
                    <w:autoSpaceDE/>
                    <w:autoSpaceDN/>
                    <w:bidi w:val="0"/>
                    <w:adjustRightInd/>
                    <w:snapToGrid/>
                    <w:spacing w:line="320" w:lineRule="exact"/>
                    <w:jc w:val="center"/>
                    <w:rPr>
                      <w:b/>
                      <w:color w:val="auto"/>
                      <w:szCs w:val="21"/>
                      <w:highlight w:val="none"/>
                    </w:rPr>
                  </w:pPr>
                  <w:r>
                    <w:rPr>
                      <w:rFonts w:hint="eastAsia"/>
                      <w:color w:val="auto"/>
                      <w:szCs w:val="21"/>
                      <w:highlight w:val="none"/>
                    </w:rPr>
                    <w:t>外购</w:t>
                  </w:r>
                </w:p>
              </w:tc>
              <w:tc>
                <w:tcPr>
                  <w:tcW w:w="432" w:type="pct"/>
                  <w:vAlign w:val="center"/>
                </w:tcPr>
                <w:p w14:paraId="3DD72E0C">
                  <w:pPr>
                    <w:keepNext w:val="0"/>
                    <w:keepLines w:val="0"/>
                    <w:pageBreakBefore w:val="0"/>
                    <w:kinsoku/>
                    <w:wordWrap/>
                    <w:overflowPunct/>
                    <w:topLinePunct w:val="0"/>
                    <w:autoSpaceDE/>
                    <w:autoSpaceDN/>
                    <w:bidi w:val="0"/>
                    <w:adjustRightInd/>
                    <w:snapToGrid/>
                    <w:spacing w:line="320" w:lineRule="exact"/>
                    <w:jc w:val="center"/>
                    <w:rPr>
                      <w:bCs/>
                      <w:color w:val="auto"/>
                      <w:szCs w:val="21"/>
                      <w:highlight w:val="none"/>
                    </w:rPr>
                  </w:pPr>
                  <w:r>
                    <w:rPr>
                      <w:rFonts w:hint="eastAsia"/>
                      <w:bCs/>
                      <w:color w:val="auto"/>
                      <w:szCs w:val="21"/>
                      <w:highlight w:val="none"/>
                    </w:rPr>
                    <w:t>液态</w:t>
                  </w:r>
                </w:p>
              </w:tc>
              <w:tc>
                <w:tcPr>
                  <w:tcW w:w="876" w:type="pct"/>
                  <w:vAlign w:val="center"/>
                </w:tcPr>
                <w:p w14:paraId="06E999CF">
                  <w:pPr>
                    <w:keepNext w:val="0"/>
                    <w:keepLines w:val="0"/>
                    <w:pageBreakBefore w:val="0"/>
                    <w:kinsoku/>
                    <w:wordWrap/>
                    <w:overflowPunct/>
                    <w:topLinePunct w:val="0"/>
                    <w:autoSpaceDE/>
                    <w:autoSpaceDN/>
                    <w:bidi w:val="0"/>
                    <w:adjustRightInd/>
                    <w:snapToGrid/>
                    <w:spacing w:line="320" w:lineRule="exact"/>
                    <w:jc w:val="center"/>
                    <w:rPr>
                      <w:b/>
                      <w:bCs/>
                      <w:color w:val="auto"/>
                      <w:sz w:val="24"/>
                      <w:highlight w:val="none"/>
                    </w:rPr>
                  </w:pPr>
                  <w:r>
                    <w:rPr>
                      <w:color w:val="auto"/>
                      <w:szCs w:val="21"/>
                      <w:highlight w:val="none"/>
                    </w:rPr>
                    <w:t>1.1</w:t>
                  </w:r>
                </w:p>
              </w:tc>
              <w:tc>
                <w:tcPr>
                  <w:tcW w:w="1071" w:type="pct"/>
                  <w:shd w:val="clear" w:color="auto" w:fill="auto"/>
                  <w:vAlign w:val="center"/>
                </w:tcPr>
                <w:p w14:paraId="79227540">
                  <w:pPr>
                    <w:keepNext w:val="0"/>
                    <w:keepLines w:val="0"/>
                    <w:pageBreakBefore w:val="0"/>
                    <w:kinsoku/>
                    <w:wordWrap/>
                    <w:overflowPunct/>
                    <w:topLinePunct w:val="0"/>
                    <w:autoSpaceDE/>
                    <w:autoSpaceDN/>
                    <w:bidi w:val="0"/>
                    <w:adjustRightInd/>
                    <w:snapToGrid/>
                    <w:spacing w:line="320" w:lineRule="exact"/>
                    <w:jc w:val="center"/>
                    <w:rPr>
                      <w:rFonts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0.11</w:t>
                  </w:r>
                </w:p>
              </w:tc>
              <w:tc>
                <w:tcPr>
                  <w:tcW w:w="963" w:type="pct"/>
                  <w:shd w:val="clear" w:color="auto" w:fill="auto"/>
                  <w:vAlign w:val="center"/>
                </w:tcPr>
                <w:p w14:paraId="449424B0">
                  <w:pPr>
                    <w:keepNext w:val="0"/>
                    <w:keepLines w:val="0"/>
                    <w:pageBreakBefore w:val="0"/>
                    <w:kinsoku/>
                    <w:wordWrap/>
                    <w:overflowPunct/>
                    <w:topLinePunct w:val="0"/>
                    <w:autoSpaceDE/>
                    <w:autoSpaceDN/>
                    <w:bidi w:val="0"/>
                    <w:adjustRightInd/>
                    <w:snapToGrid/>
                    <w:spacing w:line="320" w:lineRule="exact"/>
                    <w:jc w:val="center"/>
                    <w:rPr>
                      <w:rFonts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-0.99</w:t>
                  </w:r>
                </w:p>
              </w:tc>
            </w:tr>
            <w:tr w14:paraId="5358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8" w:type="pct"/>
                  <w:vAlign w:val="center"/>
                </w:tcPr>
                <w:p w14:paraId="197847B3">
                  <w:pPr>
                    <w:keepNext w:val="0"/>
                    <w:keepLines w:val="0"/>
                    <w:pageBreakBefore w:val="0"/>
                    <w:kinsoku/>
                    <w:wordWrap/>
                    <w:overflowPunct/>
                    <w:topLinePunct w:val="0"/>
                    <w:autoSpaceDE/>
                    <w:autoSpaceDN/>
                    <w:bidi w:val="0"/>
                    <w:adjustRightInd/>
                    <w:snapToGrid/>
                    <w:spacing w:line="320" w:lineRule="exact"/>
                    <w:jc w:val="center"/>
                    <w:rPr>
                      <w:rFonts w:hint="default"/>
                      <w:bCs/>
                      <w:color w:val="auto"/>
                      <w:szCs w:val="21"/>
                      <w:highlight w:val="none"/>
                      <w:lang w:val="en-US" w:eastAsia="zh-CN"/>
                    </w:rPr>
                  </w:pPr>
                  <w:r>
                    <w:rPr>
                      <w:rFonts w:hint="eastAsia"/>
                      <w:bCs/>
                      <w:color w:val="auto"/>
                      <w:szCs w:val="21"/>
                      <w:highlight w:val="none"/>
                      <w:lang w:val="en-US" w:eastAsia="zh-CN"/>
                    </w:rPr>
                    <w:t>10</w:t>
                  </w:r>
                </w:p>
              </w:tc>
              <w:tc>
                <w:tcPr>
                  <w:tcW w:w="834" w:type="pct"/>
                  <w:vAlign w:val="center"/>
                </w:tcPr>
                <w:p w14:paraId="68BD907B">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润滑油</w:t>
                  </w:r>
                </w:p>
              </w:tc>
              <w:tc>
                <w:tcPr>
                  <w:tcW w:w="574" w:type="pct"/>
                  <w:vAlign w:val="center"/>
                </w:tcPr>
                <w:p w14:paraId="5DAEDD87">
                  <w:pPr>
                    <w:keepNext w:val="0"/>
                    <w:keepLines w:val="0"/>
                    <w:pageBreakBefore w:val="0"/>
                    <w:kinsoku/>
                    <w:wordWrap/>
                    <w:overflowPunct/>
                    <w:topLinePunct w:val="0"/>
                    <w:autoSpaceDE/>
                    <w:autoSpaceDN/>
                    <w:bidi w:val="0"/>
                    <w:adjustRightInd/>
                    <w:snapToGrid/>
                    <w:spacing w:line="320" w:lineRule="exact"/>
                    <w:jc w:val="center"/>
                    <w:rPr>
                      <w:rFonts w:hint="eastAsia"/>
                      <w:color w:val="auto"/>
                      <w:szCs w:val="21"/>
                      <w:highlight w:val="none"/>
                    </w:rPr>
                  </w:pPr>
                  <w:r>
                    <w:rPr>
                      <w:rFonts w:hint="eastAsia"/>
                      <w:color w:val="auto"/>
                      <w:szCs w:val="21"/>
                      <w:highlight w:val="none"/>
                    </w:rPr>
                    <w:t>外购</w:t>
                  </w:r>
                </w:p>
              </w:tc>
              <w:tc>
                <w:tcPr>
                  <w:tcW w:w="432" w:type="pct"/>
                  <w:vAlign w:val="center"/>
                </w:tcPr>
                <w:p w14:paraId="41FD7DC8">
                  <w:pPr>
                    <w:keepNext w:val="0"/>
                    <w:keepLines w:val="0"/>
                    <w:pageBreakBefore w:val="0"/>
                    <w:kinsoku/>
                    <w:wordWrap/>
                    <w:overflowPunct/>
                    <w:topLinePunct w:val="0"/>
                    <w:autoSpaceDE/>
                    <w:autoSpaceDN/>
                    <w:bidi w:val="0"/>
                    <w:adjustRightInd/>
                    <w:snapToGrid/>
                    <w:spacing w:line="320" w:lineRule="exact"/>
                    <w:jc w:val="center"/>
                    <w:rPr>
                      <w:rFonts w:hint="eastAsia"/>
                      <w:bCs/>
                      <w:color w:val="auto"/>
                      <w:szCs w:val="21"/>
                      <w:highlight w:val="none"/>
                    </w:rPr>
                  </w:pPr>
                  <w:r>
                    <w:rPr>
                      <w:rFonts w:hint="eastAsia"/>
                      <w:bCs/>
                      <w:color w:val="auto"/>
                      <w:szCs w:val="21"/>
                      <w:highlight w:val="none"/>
                    </w:rPr>
                    <w:t>液态</w:t>
                  </w:r>
                </w:p>
              </w:tc>
              <w:tc>
                <w:tcPr>
                  <w:tcW w:w="876" w:type="pct"/>
                  <w:vAlign w:val="center"/>
                </w:tcPr>
                <w:p w14:paraId="294CDFB3">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szCs w:val="21"/>
                      <w:highlight w:val="none"/>
                      <w:lang w:val="en-US" w:eastAsia="zh-CN"/>
                    </w:rPr>
                  </w:pPr>
                  <w:r>
                    <w:rPr>
                      <w:rFonts w:hint="eastAsia"/>
                      <w:color w:val="auto"/>
                      <w:szCs w:val="21"/>
                      <w:highlight w:val="none"/>
                      <w:lang w:val="en-US" w:eastAsia="zh-CN"/>
                    </w:rPr>
                    <w:t>0.1</w:t>
                  </w:r>
                </w:p>
              </w:tc>
              <w:tc>
                <w:tcPr>
                  <w:tcW w:w="1071" w:type="pct"/>
                  <w:shd w:val="clear" w:color="auto" w:fill="auto"/>
                  <w:vAlign w:val="center"/>
                </w:tcPr>
                <w:p w14:paraId="536C5A9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0.15</w:t>
                  </w:r>
                </w:p>
              </w:tc>
              <w:tc>
                <w:tcPr>
                  <w:tcW w:w="963" w:type="pct"/>
                  <w:shd w:val="clear" w:color="auto" w:fill="auto"/>
                  <w:vAlign w:val="center"/>
                </w:tcPr>
                <w:p w14:paraId="4B64ACE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0.05</w:t>
                  </w:r>
                </w:p>
              </w:tc>
            </w:tr>
            <w:tr w14:paraId="00A07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320F53C9">
                  <w:pPr>
                    <w:keepNext w:val="0"/>
                    <w:keepLines w:val="0"/>
                    <w:pageBreakBefore w:val="0"/>
                    <w:kinsoku/>
                    <w:wordWrap/>
                    <w:overflowPunct/>
                    <w:topLinePunct w:val="0"/>
                    <w:autoSpaceDE/>
                    <w:autoSpaceDN/>
                    <w:bidi w:val="0"/>
                    <w:adjustRightInd/>
                    <w:snapToGrid/>
                    <w:spacing w:line="320" w:lineRule="exact"/>
                    <w:jc w:val="left"/>
                    <w:rPr>
                      <w:rFonts w:hint="eastAsia" w:eastAsia="宋体"/>
                      <w:bCs/>
                      <w:color w:val="auto"/>
                      <w:szCs w:val="21"/>
                      <w:highlight w:val="none"/>
                      <w:lang w:val="en-US" w:eastAsia="zh-CN"/>
                    </w:rPr>
                  </w:pPr>
                  <w:r>
                    <w:rPr>
                      <w:rFonts w:hint="eastAsia"/>
                      <w:color w:val="auto"/>
                      <w:sz w:val="20"/>
                      <w:szCs w:val="20"/>
                      <w:highlight w:val="none"/>
                    </w:rPr>
                    <w:t>根据</w:t>
                  </w:r>
                  <w:r>
                    <w:rPr>
                      <w:rFonts w:hint="eastAsia"/>
                      <w:color w:val="auto"/>
                      <w:sz w:val="20"/>
                      <w:szCs w:val="20"/>
                      <w:highlight w:val="none"/>
                      <w:lang w:val="en-US" w:eastAsia="zh-CN"/>
                    </w:rPr>
                    <w:t>现有项目</w:t>
                  </w:r>
                  <w:r>
                    <w:rPr>
                      <w:rFonts w:hint="eastAsia"/>
                      <w:color w:val="auto"/>
                      <w:sz w:val="20"/>
                      <w:szCs w:val="20"/>
                      <w:highlight w:val="none"/>
                    </w:rPr>
                    <w:t>污水处理</w:t>
                  </w:r>
                  <w:r>
                    <w:rPr>
                      <w:rFonts w:hint="eastAsia"/>
                      <w:color w:val="auto"/>
                      <w:sz w:val="20"/>
                      <w:szCs w:val="20"/>
                      <w:highlight w:val="none"/>
                      <w:lang w:val="en-US" w:eastAsia="zh-CN"/>
                    </w:rPr>
                    <w:t>运行经验，本项目</w:t>
                  </w:r>
                  <w:r>
                    <w:rPr>
                      <w:rFonts w:hint="eastAsia"/>
                      <w:color w:val="auto"/>
                      <w:sz w:val="20"/>
                      <w:szCs w:val="20"/>
                      <w:highlight w:val="none"/>
                    </w:rPr>
                    <w:t>处理1m</w:t>
                  </w:r>
                  <w:r>
                    <w:rPr>
                      <w:rFonts w:hint="eastAsia"/>
                      <w:color w:val="auto"/>
                      <w:sz w:val="20"/>
                      <w:szCs w:val="20"/>
                      <w:highlight w:val="none"/>
                      <w:vertAlign w:val="superscript"/>
                    </w:rPr>
                    <w:t>3</w:t>
                  </w:r>
                  <w:r>
                    <w:rPr>
                      <w:rFonts w:hint="eastAsia"/>
                      <w:color w:val="auto"/>
                      <w:sz w:val="20"/>
                      <w:szCs w:val="20"/>
                      <w:highlight w:val="none"/>
                    </w:rPr>
                    <w:t>废水产生沼气</w:t>
                  </w:r>
                  <w:r>
                    <w:rPr>
                      <w:rFonts w:hint="eastAsia"/>
                      <w:color w:val="auto"/>
                      <w:sz w:val="20"/>
                      <w:szCs w:val="20"/>
                      <w:highlight w:val="none"/>
                      <w:lang w:val="en-US" w:eastAsia="zh-CN"/>
                    </w:rPr>
                    <w:t>平均为4m</w:t>
                  </w:r>
                  <w:r>
                    <w:rPr>
                      <w:rFonts w:hint="eastAsia"/>
                      <w:color w:val="auto"/>
                      <w:sz w:val="20"/>
                      <w:szCs w:val="20"/>
                      <w:highlight w:val="none"/>
                      <w:vertAlign w:val="superscript"/>
                      <w:lang w:val="en-US" w:eastAsia="zh-CN"/>
                    </w:rPr>
                    <w:t>3</w:t>
                  </w:r>
                  <w:r>
                    <w:rPr>
                      <w:rFonts w:hint="eastAsia"/>
                      <w:color w:val="auto"/>
                      <w:sz w:val="20"/>
                      <w:szCs w:val="20"/>
                      <w:highlight w:val="none"/>
                    </w:rPr>
                    <w:t>，改扩建后处理废水量为</w:t>
                  </w:r>
                  <w:r>
                    <w:rPr>
                      <w:rFonts w:hint="eastAsia"/>
                      <w:color w:val="auto"/>
                      <w:sz w:val="20"/>
                      <w:szCs w:val="20"/>
                      <w:highlight w:val="none"/>
                      <w:lang w:val="en-US" w:eastAsia="zh-CN"/>
                    </w:rPr>
                    <w:t>22.8784</w:t>
                  </w:r>
                  <w:r>
                    <w:rPr>
                      <w:rFonts w:hint="eastAsia"/>
                      <w:color w:val="auto"/>
                      <w:sz w:val="20"/>
                      <w:szCs w:val="20"/>
                      <w:highlight w:val="none"/>
                    </w:rPr>
                    <w:t>万m</w:t>
                  </w:r>
                  <w:r>
                    <w:rPr>
                      <w:rFonts w:hint="eastAsia"/>
                      <w:color w:val="auto"/>
                      <w:sz w:val="20"/>
                      <w:szCs w:val="20"/>
                      <w:highlight w:val="none"/>
                      <w:vertAlign w:val="superscript"/>
                    </w:rPr>
                    <w:t>3</w:t>
                  </w:r>
                  <w:r>
                    <w:rPr>
                      <w:rFonts w:hint="eastAsia"/>
                      <w:color w:val="auto"/>
                      <w:sz w:val="20"/>
                      <w:szCs w:val="20"/>
                      <w:highlight w:val="none"/>
                    </w:rPr>
                    <w:t>，计算出改扩建后沼气量为</w:t>
                  </w:r>
                  <w:r>
                    <w:rPr>
                      <w:rFonts w:hint="eastAsia"/>
                      <w:color w:val="auto"/>
                      <w:sz w:val="20"/>
                      <w:szCs w:val="20"/>
                      <w:highlight w:val="none"/>
                      <w:lang w:val="en-US" w:eastAsia="zh-CN"/>
                    </w:rPr>
                    <w:t>91.51</w:t>
                  </w:r>
                  <w:r>
                    <w:rPr>
                      <w:rFonts w:hint="eastAsia"/>
                      <w:color w:val="auto"/>
                      <w:sz w:val="20"/>
                      <w:szCs w:val="20"/>
                      <w:highlight w:val="none"/>
                    </w:rPr>
                    <w:t>万m</w:t>
                  </w:r>
                  <w:r>
                    <w:rPr>
                      <w:rFonts w:hint="eastAsia"/>
                      <w:color w:val="auto"/>
                      <w:sz w:val="20"/>
                      <w:szCs w:val="20"/>
                      <w:highlight w:val="none"/>
                      <w:vertAlign w:val="superscript"/>
                      <w:lang w:val="en-US" w:eastAsia="zh-CN"/>
                    </w:rPr>
                    <w:t>3</w:t>
                  </w:r>
                  <w:r>
                    <w:rPr>
                      <w:rFonts w:hint="eastAsia"/>
                      <w:color w:val="auto"/>
                      <w:sz w:val="20"/>
                      <w:szCs w:val="20"/>
                      <w:highlight w:val="none"/>
                      <w:vertAlign w:val="baseline"/>
                      <w:lang w:val="en-US" w:eastAsia="zh-CN"/>
                    </w:rPr>
                    <w:t>。</w:t>
                  </w:r>
                </w:p>
              </w:tc>
            </w:tr>
            <w:tr w14:paraId="4EC2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shd w:val="clear" w:color="auto" w:fill="BEBEBE"/>
                  <w:vAlign w:val="center"/>
                </w:tcPr>
                <w:p w14:paraId="2EF731D8">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b/>
                      <w:bCs/>
                      <w:color w:val="auto"/>
                      <w:szCs w:val="21"/>
                      <w:highlight w:val="none"/>
                      <w:lang w:eastAsia="zh-CN"/>
                    </w:rPr>
                    <w:t>液体复合微生物肥料</w:t>
                  </w:r>
                  <w:r>
                    <w:rPr>
                      <w:rFonts w:hint="eastAsia"/>
                      <w:b/>
                      <w:bCs/>
                      <w:color w:val="auto"/>
                      <w:szCs w:val="21"/>
                      <w:highlight w:val="none"/>
                    </w:rPr>
                    <w:t>生产线</w:t>
                  </w:r>
                  <w:r>
                    <w:rPr>
                      <w:rFonts w:hint="eastAsia"/>
                      <w:b/>
                      <w:bCs/>
                      <w:color w:val="auto"/>
                      <w:highlight w:val="none"/>
                    </w:rPr>
                    <w:t>（设计年产量16000吨/年）</w:t>
                  </w:r>
                </w:p>
              </w:tc>
            </w:tr>
            <w:tr w14:paraId="5CD6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7D2F3FF5">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834" w:type="pct"/>
                  <w:shd w:val="clear" w:color="auto" w:fill="auto"/>
                  <w:vAlign w:val="center"/>
                </w:tcPr>
                <w:p w14:paraId="0BECE9B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尾菜废水</w:t>
                  </w:r>
                </w:p>
              </w:tc>
              <w:tc>
                <w:tcPr>
                  <w:tcW w:w="574" w:type="pct"/>
                  <w:vAlign w:val="center"/>
                </w:tcPr>
                <w:p w14:paraId="0FA4BE49">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default" w:eastAsia="宋体"/>
                      <w:color w:val="auto"/>
                      <w:szCs w:val="21"/>
                      <w:highlight w:val="none"/>
                      <w:lang w:val="en-US" w:eastAsia="zh-CN"/>
                    </w:rPr>
                  </w:pPr>
                  <w:r>
                    <w:rPr>
                      <w:rFonts w:hint="eastAsia"/>
                      <w:color w:val="auto"/>
                      <w:szCs w:val="21"/>
                      <w:highlight w:val="none"/>
                      <w:lang w:val="en-US" w:eastAsia="zh-CN"/>
                    </w:rPr>
                    <w:t>现有尾菜废水收集池</w:t>
                  </w:r>
                </w:p>
              </w:tc>
              <w:tc>
                <w:tcPr>
                  <w:tcW w:w="432" w:type="pct"/>
                  <w:vAlign w:val="center"/>
                </w:tcPr>
                <w:p w14:paraId="5CB8AF43">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bCs/>
                      <w:color w:val="auto"/>
                      <w:szCs w:val="21"/>
                      <w:highlight w:val="none"/>
                    </w:rPr>
                    <w:t>液态</w:t>
                  </w:r>
                </w:p>
              </w:tc>
              <w:tc>
                <w:tcPr>
                  <w:tcW w:w="876" w:type="pct"/>
                  <w:vAlign w:val="center"/>
                </w:tcPr>
                <w:p w14:paraId="126933CE">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0</w:t>
                  </w:r>
                </w:p>
              </w:tc>
              <w:tc>
                <w:tcPr>
                  <w:tcW w:w="1071" w:type="pct"/>
                  <w:shd w:val="clear" w:color="auto" w:fill="auto"/>
                  <w:vAlign w:val="center"/>
                </w:tcPr>
                <w:p w14:paraId="266B87C9">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14285.7</w:t>
                  </w:r>
                </w:p>
              </w:tc>
              <w:tc>
                <w:tcPr>
                  <w:tcW w:w="963" w:type="pct"/>
                  <w:shd w:val="clear" w:color="auto" w:fill="auto"/>
                  <w:vAlign w:val="center"/>
                </w:tcPr>
                <w:p w14:paraId="7666686E">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14285.7</w:t>
                  </w:r>
                </w:p>
              </w:tc>
            </w:tr>
            <w:tr w14:paraId="5BD8B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4233B2A1">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2</w:t>
                  </w:r>
                </w:p>
              </w:tc>
              <w:tc>
                <w:tcPr>
                  <w:tcW w:w="834" w:type="pct"/>
                  <w:shd w:val="clear" w:color="auto" w:fill="auto"/>
                  <w:vAlign w:val="center"/>
                </w:tcPr>
                <w:p w14:paraId="1F7012C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糖蜜</w:t>
                  </w:r>
                </w:p>
              </w:tc>
              <w:tc>
                <w:tcPr>
                  <w:tcW w:w="574" w:type="pct"/>
                  <w:vAlign w:val="center"/>
                </w:tcPr>
                <w:p w14:paraId="75AECDF7">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color w:val="auto"/>
                      <w:szCs w:val="21"/>
                      <w:highlight w:val="none"/>
                    </w:rPr>
                  </w:pPr>
                  <w:r>
                    <w:rPr>
                      <w:rFonts w:hint="eastAsia"/>
                      <w:color w:val="auto"/>
                      <w:szCs w:val="21"/>
                      <w:highlight w:val="none"/>
                    </w:rPr>
                    <w:t>外购</w:t>
                  </w:r>
                </w:p>
              </w:tc>
              <w:tc>
                <w:tcPr>
                  <w:tcW w:w="432" w:type="pct"/>
                  <w:shd w:val="clear" w:color="auto" w:fill="auto"/>
                  <w:vAlign w:val="center"/>
                </w:tcPr>
                <w:p w14:paraId="206EE3CE">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bCs/>
                      <w:color w:val="auto"/>
                      <w:szCs w:val="21"/>
                      <w:highlight w:val="none"/>
                    </w:rPr>
                    <w:t>固态</w:t>
                  </w:r>
                </w:p>
              </w:tc>
              <w:tc>
                <w:tcPr>
                  <w:tcW w:w="876" w:type="pct"/>
                  <w:vAlign w:val="center"/>
                </w:tcPr>
                <w:p w14:paraId="6E28DA53">
                  <w:pPr>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color w:val="auto"/>
                      <w:szCs w:val="21"/>
                      <w:highlight w:val="none"/>
                    </w:rPr>
                  </w:pPr>
                  <w:r>
                    <w:rPr>
                      <w:rFonts w:hint="eastAsia"/>
                      <w:color w:val="auto"/>
                      <w:szCs w:val="21"/>
                      <w:highlight w:val="none"/>
                      <w:lang w:val="en-US" w:eastAsia="zh-CN"/>
                    </w:rPr>
                    <w:t>0</w:t>
                  </w:r>
                </w:p>
              </w:tc>
              <w:tc>
                <w:tcPr>
                  <w:tcW w:w="1071" w:type="pct"/>
                  <w:shd w:val="clear" w:color="auto" w:fill="auto"/>
                  <w:vAlign w:val="center"/>
                </w:tcPr>
                <w:p w14:paraId="25AC38E8">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342.7</w:t>
                  </w:r>
                </w:p>
              </w:tc>
              <w:tc>
                <w:tcPr>
                  <w:tcW w:w="963" w:type="pct"/>
                  <w:shd w:val="clear" w:color="auto" w:fill="auto"/>
                  <w:vAlign w:val="center"/>
                </w:tcPr>
                <w:p w14:paraId="5E82E0F1">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342.7</w:t>
                  </w:r>
                </w:p>
              </w:tc>
            </w:tr>
            <w:tr w14:paraId="1DFF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19C8C883">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3</w:t>
                  </w:r>
                </w:p>
              </w:tc>
              <w:tc>
                <w:tcPr>
                  <w:tcW w:w="834" w:type="pct"/>
                  <w:shd w:val="clear" w:color="auto" w:fill="auto"/>
                  <w:vAlign w:val="center"/>
                </w:tcPr>
                <w:p w14:paraId="279B9B9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冰醋酸</w:t>
                  </w:r>
                </w:p>
              </w:tc>
              <w:tc>
                <w:tcPr>
                  <w:tcW w:w="574" w:type="pct"/>
                  <w:vAlign w:val="center"/>
                </w:tcPr>
                <w:p w14:paraId="081EB025">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color w:val="auto"/>
                      <w:szCs w:val="21"/>
                      <w:highlight w:val="none"/>
                    </w:rPr>
                  </w:pPr>
                  <w:r>
                    <w:rPr>
                      <w:rFonts w:hint="eastAsia"/>
                      <w:color w:val="auto"/>
                      <w:szCs w:val="21"/>
                      <w:highlight w:val="none"/>
                    </w:rPr>
                    <w:t>外购</w:t>
                  </w:r>
                </w:p>
              </w:tc>
              <w:tc>
                <w:tcPr>
                  <w:tcW w:w="432" w:type="pct"/>
                  <w:shd w:val="clear" w:color="auto" w:fill="auto"/>
                  <w:vAlign w:val="center"/>
                </w:tcPr>
                <w:p w14:paraId="743DD1A7">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bCs/>
                      <w:color w:val="auto"/>
                      <w:szCs w:val="21"/>
                      <w:highlight w:val="none"/>
                    </w:rPr>
                    <w:t>液态</w:t>
                  </w:r>
                </w:p>
              </w:tc>
              <w:tc>
                <w:tcPr>
                  <w:tcW w:w="876" w:type="pct"/>
                  <w:vAlign w:val="center"/>
                </w:tcPr>
                <w:p w14:paraId="566FDD5C">
                  <w:pPr>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color w:val="auto"/>
                      <w:szCs w:val="21"/>
                      <w:highlight w:val="none"/>
                    </w:rPr>
                  </w:pPr>
                  <w:r>
                    <w:rPr>
                      <w:rFonts w:hint="eastAsia"/>
                      <w:color w:val="auto"/>
                      <w:szCs w:val="21"/>
                      <w:highlight w:val="none"/>
                      <w:lang w:val="en-US" w:eastAsia="zh-CN"/>
                    </w:rPr>
                    <w:t>0</w:t>
                  </w:r>
                </w:p>
              </w:tc>
              <w:tc>
                <w:tcPr>
                  <w:tcW w:w="1071" w:type="pct"/>
                  <w:shd w:val="clear" w:color="auto" w:fill="auto"/>
                  <w:vAlign w:val="center"/>
                </w:tcPr>
                <w:p w14:paraId="327F1DC3">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31.4</w:t>
                  </w:r>
                </w:p>
                <w:p w14:paraId="50F45034">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（最大储量</w:t>
                  </w:r>
                  <w:r>
                    <w:rPr>
                      <w:rFonts w:hint="eastAsia" w:cs="Times New Roman"/>
                      <w:i w:val="0"/>
                      <w:iCs w:val="0"/>
                      <w:color w:val="auto"/>
                      <w:kern w:val="0"/>
                      <w:sz w:val="21"/>
                      <w:szCs w:val="21"/>
                      <w:highlight w:val="none"/>
                      <w:u w:val="none"/>
                      <w:lang w:val="en-US" w:eastAsia="zh-CN" w:bidi="ar"/>
                    </w:rPr>
                    <w:t>2</w:t>
                  </w:r>
                  <w:r>
                    <w:rPr>
                      <w:rFonts w:hint="eastAsia" w:ascii="Times New Roman" w:hAnsi="Times New Roman" w:eastAsia="宋体" w:cs="Times New Roman"/>
                      <w:i w:val="0"/>
                      <w:iCs w:val="0"/>
                      <w:color w:val="auto"/>
                      <w:kern w:val="0"/>
                      <w:sz w:val="21"/>
                      <w:szCs w:val="21"/>
                      <w:highlight w:val="none"/>
                      <w:u w:val="none"/>
                      <w:lang w:val="en-US" w:eastAsia="zh-CN" w:bidi="ar"/>
                    </w:rPr>
                    <w:t>t）</w:t>
                  </w:r>
                </w:p>
              </w:tc>
              <w:tc>
                <w:tcPr>
                  <w:tcW w:w="963" w:type="pct"/>
                  <w:shd w:val="clear" w:color="auto" w:fill="auto"/>
                  <w:vAlign w:val="center"/>
                </w:tcPr>
                <w:p w14:paraId="0CF54FF6">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31.4</w:t>
                  </w:r>
                </w:p>
              </w:tc>
            </w:tr>
            <w:tr w14:paraId="347EE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55D3871E">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4</w:t>
                  </w:r>
                </w:p>
              </w:tc>
              <w:tc>
                <w:tcPr>
                  <w:tcW w:w="834" w:type="pct"/>
                  <w:shd w:val="clear" w:color="auto" w:fill="auto"/>
                  <w:vAlign w:val="center"/>
                </w:tcPr>
                <w:p w14:paraId="39369D9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磷酸二氢钾</w:t>
                  </w:r>
                </w:p>
              </w:tc>
              <w:tc>
                <w:tcPr>
                  <w:tcW w:w="574" w:type="pct"/>
                  <w:vAlign w:val="center"/>
                </w:tcPr>
                <w:p w14:paraId="45E2AE44">
                  <w:pPr>
                    <w:keepNext w:val="0"/>
                    <w:keepLines w:val="0"/>
                    <w:pageBreakBefore w:val="0"/>
                    <w:kinsoku/>
                    <w:wordWrap/>
                    <w:overflowPunct/>
                    <w:topLinePunct w:val="0"/>
                    <w:autoSpaceDE/>
                    <w:autoSpaceDN/>
                    <w:bidi w:val="0"/>
                    <w:adjustRightInd/>
                    <w:snapToGrid/>
                    <w:spacing w:line="320" w:lineRule="exact"/>
                    <w:jc w:val="center"/>
                    <w:rPr>
                      <w:rFonts w:hint="eastAsia"/>
                      <w:color w:val="auto"/>
                      <w:szCs w:val="21"/>
                      <w:highlight w:val="none"/>
                    </w:rPr>
                  </w:pPr>
                  <w:r>
                    <w:rPr>
                      <w:rFonts w:hint="eastAsia"/>
                      <w:color w:val="auto"/>
                      <w:szCs w:val="21"/>
                      <w:highlight w:val="none"/>
                    </w:rPr>
                    <w:t>外购</w:t>
                  </w:r>
                </w:p>
              </w:tc>
              <w:tc>
                <w:tcPr>
                  <w:tcW w:w="432" w:type="pct"/>
                  <w:vAlign w:val="center"/>
                </w:tcPr>
                <w:p w14:paraId="208672FB">
                  <w:pPr>
                    <w:keepNext w:val="0"/>
                    <w:keepLines w:val="0"/>
                    <w:pageBreakBefore w:val="0"/>
                    <w:kinsoku/>
                    <w:wordWrap/>
                    <w:overflowPunct/>
                    <w:topLinePunct w:val="0"/>
                    <w:autoSpaceDE/>
                    <w:autoSpaceDN/>
                    <w:bidi w:val="0"/>
                    <w:adjustRightInd/>
                    <w:snapToGrid/>
                    <w:spacing w:line="320" w:lineRule="exact"/>
                    <w:jc w:val="center"/>
                    <w:rPr>
                      <w:rFonts w:hint="eastAsia"/>
                      <w:bCs/>
                      <w:color w:val="auto"/>
                      <w:szCs w:val="21"/>
                      <w:highlight w:val="none"/>
                    </w:rPr>
                  </w:pPr>
                  <w:r>
                    <w:rPr>
                      <w:rFonts w:hint="eastAsia"/>
                      <w:bCs/>
                      <w:color w:val="auto"/>
                      <w:szCs w:val="21"/>
                      <w:highlight w:val="none"/>
                    </w:rPr>
                    <w:t>固态</w:t>
                  </w:r>
                </w:p>
              </w:tc>
              <w:tc>
                <w:tcPr>
                  <w:tcW w:w="876" w:type="pct"/>
                  <w:vAlign w:val="center"/>
                </w:tcPr>
                <w:p w14:paraId="5D57F0A0">
                  <w:pPr>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color w:val="auto"/>
                      <w:szCs w:val="21"/>
                      <w:highlight w:val="none"/>
                    </w:rPr>
                  </w:pPr>
                  <w:r>
                    <w:rPr>
                      <w:rFonts w:hint="eastAsia"/>
                      <w:color w:val="auto"/>
                      <w:szCs w:val="21"/>
                      <w:highlight w:val="none"/>
                      <w:lang w:val="en-US" w:eastAsia="zh-CN"/>
                    </w:rPr>
                    <w:t>0</w:t>
                  </w:r>
                </w:p>
              </w:tc>
              <w:tc>
                <w:tcPr>
                  <w:tcW w:w="1071" w:type="pct"/>
                  <w:shd w:val="clear" w:color="auto" w:fill="auto"/>
                  <w:vAlign w:val="center"/>
                </w:tcPr>
                <w:p w14:paraId="59DD508E">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71.4</w:t>
                  </w:r>
                </w:p>
              </w:tc>
              <w:tc>
                <w:tcPr>
                  <w:tcW w:w="963" w:type="pct"/>
                  <w:shd w:val="clear" w:color="auto" w:fill="auto"/>
                  <w:vAlign w:val="center"/>
                </w:tcPr>
                <w:p w14:paraId="4F47104E">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71.4</w:t>
                  </w:r>
                </w:p>
              </w:tc>
            </w:tr>
            <w:tr w14:paraId="34AB6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156F7819">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5</w:t>
                  </w:r>
                </w:p>
              </w:tc>
              <w:tc>
                <w:tcPr>
                  <w:tcW w:w="834" w:type="pct"/>
                  <w:shd w:val="clear" w:color="auto" w:fill="auto"/>
                  <w:vAlign w:val="center"/>
                </w:tcPr>
                <w:p w14:paraId="5BE231A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磷酸一铵</w:t>
                  </w:r>
                  <w:r>
                    <w:rPr>
                      <w:rFonts w:hint="eastAsia" w:cs="Times New Roman"/>
                      <w:color w:val="auto"/>
                      <w:sz w:val="21"/>
                      <w:szCs w:val="21"/>
                      <w:highlight w:val="none"/>
                      <w:lang w:val="en-US" w:eastAsia="zh-CN"/>
                    </w:rPr>
                    <w:t>（58</w:t>
                  </w:r>
                  <w:r>
                    <w:rPr>
                      <w:rFonts w:hint="eastAsia"/>
                      <w:color w:val="auto"/>
                      <w:szCs w:val="21"/>
                      <w:highlight w:val="none"/>
                    </w:rPr>
                    <w:t>%</w:t>
                  </w:r>
                  <w:r>
                    <w:rPr>
                      <w:rFonts w:hint="eastAsia" w:cs="Times New Roman"/>
                      <w:color w:val="auto"/>
                      <w:sz w:val="21"/>
                      <w:szCs w:val="21"/>
                      <w:highlight w:val="none"/>
                      <w:lang w:val="en-US" w:eastAsia="zh-CN"/>
                    </w:rPr>
                    <w:t>）</w:t>
                  </w:r>
                </w:p>
              </w:tc>
              <w:tc>
                <w:tcPr>
                  <w:tcW w:w="574" w:type="pct"/>
                  <w:vAlign w:val="center"/>
                </w:tcPr>
                <w:p w14:paraId="424B123E">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color w:val="auto"/>
                      <w:szCs w:val="21"/>
                      <w:highlight w:val="none"/>
                    </w:rPr>
                  </w:pPr>
                  <w:r>
                    <w:rPr>
                      <w:rFonts w:hint="eastAsia"/>
                      <w:color w:val="auto"/>
                      <w:szCs w:val="21"/>
                      <w:highlight w:val="none"/>
                    </w:rPr>
                    <w:t>外购</w:t>
                  </w:r>
                </w:p>
              </w:tc>
              <w:tc>
                <w:tcPr>
                  <w:tcW w:w="432" w:type="pct"/>
                  <w:vAlign w:val="center"/>
                </w:tcPr>
                <w:p w14:paraId="40067EAB">
                  <w:pPr>
                    <w:keepNext w:val="0"/>
                    <w:keepLines w:val="0"/>
                    <w:pageBreakBefore w:val="0"/>
                    <w:kinsoku/>
                    <w:wordWrap/>
                    <w:overflowPunct/>
                    <w:topLinePunct w:val="0"/>
                    <w:autoSpaceDE/>
                    <w:autoSpaceDN/>
                    <w:bidi w:val="0"/>
                    <w:adjustRightInd/>
                    <w:snapToGrid/>
                    <w:spacing w:line="320" w:lineRule="exact"/>
                    <w:jc w:val="center"/>
                    <w:rPr>
                      <w:rFonts w:hint="eastAsia"/>
                      <w:bCs/>
                      <w:color w:val="auto"/>
                      <w:szCs w:val="21"/>
                      <w:highlight w:val="none"/>
                    </w:rPr>
                  </w:pPr>
                  <w:r>
                    <w:rPr>
                      <w:rFonts w:hint="eastAsia"/>
                      <w:bCs/>
                      <w:color w:val="auto"/>
                      <w:szCs w:val="21"/>
                      <w:highlight w:val="none"/>
                    </w:rPr>
                    <w:t>固态</w:t>
                  </w:r>
                </w:p>
              </w:tc>
              <w:tc>
                <w:tcPr>
                  <w:tcW w:w="876" w:type="pct"/>
                  <w:vAlign w:val="center"/>
                </w:tcPr>
                <w:p w14:paraId="1A856D75">
                  <w:pPr>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color w:val="auto"/>
                      <w:szCs w:val="21"/>
                      <w:highlight w:val="none"/>
                    </w:rPr>
                  </w:pPr>
                  <w:r>
                    <w:rPr>
                      <w:rFonts w:hint="eastAsia"/>
                      <w:color w:val="auto"/>
                      <w:szCs w:val="21"/>
                      <w:highlight w:val="none"/>
                      <w:lang w:val="en-US" w:eastAsia="zh-CN"/>
                    </w:rPr>
                    <w:t>0</w:t>
                  </w:r>
                </w:p>
              </w:tc>
              <w:tc>
                <w:tcPr>
                  <w:tcW w:w="1071" w:type="pct"/>
                  <w:shd w:val="clear" w:color="auto" w:fill="auto"/>
                  <w:vAlign w:val="center"/>
                </w:tcPr>
                <w:p w14:paraId="0B0DFEDB">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71.4</w:t>
                  </w:r>
                </w:p>
              </w:tc>
              <w:tc>
                <w:tcPr>
                  <w:tcW w:w="963" w:type="pct"/>
                  <w:shd w:val="clear" w:color="auto" w:fill="auto"/>
                  <w:vAlign w:val="center"/>
                </w:tcPr>
                <w:p w14:paraId="65590822">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71.4</w:t>
                  </w:r>
                </w:p>
              </w:tc>
            </w:tr>
            <w:tr w14:paraId="4C4F6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shd w:val="clear" w:color="auto" w:fill="auto"/>
                  <w:vAlign w:val="center"/>
                </w:tcPr>
                <w:p w14:paraId="1FDF1FBE">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6</w:t>
                  </w:r>
                </w:p>
              </w:tc>
              <w:tc>
                <w:tcPr>
                  <w:tcW w:w="834" w:type="pct"/>
                  <w:shd w:val="clear" w:color="auto" w:fill="auto"/>
                  <w:vAlign w:val="center"/>
                </w:tcPr>
                <w:p w14:paraId="3A79E78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磷酸二铵</w:t>
                  </w:r>
                </w:p>
              </w:tc>
              <w:tc>
                <w:tcPr>
                  <w:tcW w:w="574" w:type="pct"/>
                  <w:shd w:val="clear" w:color="auto" w:fill="auto"/>
                  <w:vAlign w:val="center"/>
                </w:tcPr>
                <w:p w14:paraId="284E7AD6">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外购</w:t>
                  </w:r>
                </w:p>
              </w:tc>
              <w:tc>
                <w:tcPr>
                  <w:tcW w:w="432" w:type="pct"/>
                  <w:vAlign w:val="center"/>
                </w:tcPr>
                <w:p w14:paraId="15F22BD5">
                  <w:pPr>
                    <w:keepNext w:val="0"/>
                    <w:keepLines w:val="0"/>
                    <w:pageBreakBefore w:val="0"/>
                    <w:kinsoku/>
                    <w:wordWrap/>
                    <w:overflowPunct/>
                    <w:topLinePunct w:val="0"/>
                    <w:autoSpaceDE/>
                    <w:autoSpaceDN/>
                    <w:bidi w:val="0"/>
                    <w:adjustRightInd/>
                    <w:snapToGrid/>
                    <w:spacing w:line="320" w:lineRule="exact"/>
                    <w:jc w:val="center"/>
                    <w:rPr>
                      <w:bCs/>
                      <w:color w:val="auto"/>
                      <w:szCs w:val="21"/>
                      <w:highlight w:val="none"/>
                    </w:rPr>
                  </w:pPr>
                  <w:r>
                    <w:rPr>
                      <w:rFonts w:hint="eastAsia"/>
                      <w:bCs/>
                      <w:color w:val="auto"/>
                      <w:szCs w:val="21"/>
                      <w:highlight w:val="none"/>
                    </w:rPr>
                    <w:t>固态</w:t>
                  </w:r>
                </w:p>
              </w:tc>
              <w:tc>
                <w:tcPr>
                  <w:tcW w:w="876" w:type="pct"/>
                  <w:vAlign w:val="center"/>
                </w:tcPr>
                <w:p w14:paraId="28F9DA3A">
                  <w:pPr>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lang w:val="en-US" w:eastAsia="zh-CN"/>
                    </w:rPr>
                    <w:t>0</w:t>
                  </w:r>
                </w:p>
              </w:tc>
              <w:tc>
                <w:tcPr>
                  <w:tcW w:w="1071" w:type="pct"/>
                  <w:shd w:val="clear" w:color="auto" w:fill="auto"/>
                  <w:vAlign w:val="center"/>
                </w:tcPr>
                <w:p w14:paraId="14849CC5">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40.</w:t>
                  </w:r>
                  <w:r>
                    <w:rPr>
                      <w:rFonts w:hint="eastAsia" w:cs="Times New Roman"/>
                      <w:i w:val="0"/>
                      <w:iCs w:val="0"/>
                      <w:color w:val="auto"/>
                      <w:kern w:val="0"/>
                      <w:sz w:val="21"/>
                      <w:szCs w:val="21"/>
                      <w:highlight w:val="none"/>
                      <w:u w:val="none"/>
                      <w:lang w:val="en-US" w:eastAsia="zh-CN" w:bidi="ar"/>
                    </w:rPr>
                    <w:t>118</w:t>
                  </w:r>
                </w:p>
              </w:tc>
              <w:tc>
                <w:tcPr>
                  <w:tcW w:w="963" w:type="pct"/>
                  <w:shd w:val="clear" w:color="auto" w:fill="auto"/>
                  <w:vAlign w:val="center"/>
                </w:tcPr>
                <w:p w14:paraId="36E04F34">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40.</w:t>
                  </w:r>
                  <w:r>
                    <w:rPr>
                      <w:rFonts w:hint="eastAsia" w:cs="Times New Roman"/>
                      <w:i w:val="0"/>
                      <w:iCs w:val="0"/>
                      <w:color w:val="auto"/>
                      <w:kern w:val="0"/>
                      <w:sz w:val="21"/>
                      <w:szCs w:val="21"/>
                      <w:highlight w:val="none"/>
                      <w:u w:val="none"/>
                      <w:lang w:val="en-US" w:eastAsia="zh-CN" w:bidi="ar"/>
                    </w:rPr>
                    <w:t>118</w:t>
                  </w:r>
                </w:p>
              </w:tc>
            </w:tr>
            <w:tr w14:paraId="200F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shd w:val="clear" w:color="auto" w:fill="auto"/>
                  <w:vAlign w:val="center"/>
                </w:tcPr>
                <w:p w14:paraId="0A7DF0BE">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7</w:t>
                  </w:r>
                </w:p>
              </w:tc>
              <w:tc>
                <w:tcPr>
                  <w:tcW w:w="834" w:type="pct"/>
                  <w:shd w:val="clear" w:color="auto" w:fill="auto"/>
                  <w:vAlign w:val="center"/>
                </w:tcPr>
                <w:p w14:paraId="0FE591E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硫酸铵（</w:t>
                  </w:r>
                  <w:r>
                    <w:rPr>
                      <w:rFonts w:hint="eastAsia"/>
                      <w:color w:val="auto"/>
                      <w:szCs w:val="21"/>
                      <w:highlight w:val="none"/>
                    </w:rPr>
                    <w:t>20.5%</w:t>
                  </w:r>
                  <w:r>
                    <w:rPr>
                      <w:rFonts w:hint="eastAsia" w:cs="Times New Roman"/>
                      <w:color w:val="auto"/>
                      <w:sz w:val="21"/>
                      <w:szCs w:val="21"/>
                      <w:highlight w:val="none"/>
                      <w:lang w:val="en-US" w:eastAsia="zh-CN"/>
                    </w:rPr>
                    <w:t>）</w:t>
                  </w:r>
                </w:p>
              </w:tc>
              <w:tc>
                <w:tcPr>
                  <w:tcW w:w="574" w:type="pct"/>
                  <w:shd w:val="clear" w:color="auto" w:fill="auto"/>
                  <w:vAlign w:val="center"/>
                </w:tcPr>
                <w:p w14:paraId="527A908E">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外购</w:t>
                  </w:r>
                </w:p>
              </w:tc>
              <w:tc>
                <w:tcPr>
                  <w:tcW w:w="432" w:type="pct"/>
                  <w:vAlign w:val="center"/>
                </w:tcPr>
                <w:p w14:paraId="131453C8">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bCs/>
                      <w:color w:val="auto"/>
                      <w:szCs w:val="21"/>
                      <w:highlight w:val="none"/>
                    </w:rPr>
                    <w:t>固态</w:t>
                  </w:r>
                </w:p>
              </w:tc>
              <w:tc>
                <w:tcPr>
                  <w:tcW w:w="876" w:type="pct"/>
                  <w:vAlign w:val="center"/>
                </w:tcPr>
                <w:p w14:paraId="34F121C3">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color w:val="auto"/>
                      <w:szCs w:val="21"/>
                      <w:highlight w:val="none"/>
                      <w:lang w:val="en-US" w:eastAsia="zh-CN"/>
                    </w:rPr>
                    <w:t>0</w:t>
                  </w:r>
                </w:p>
              </w:tc>
              <w:tc>
                <w:tcPr>
                  <w:tcW w:w="1071" w:type="pct"/>
                  <w:shd w:val="clear" w:color="auto" w:fill="auto"/>
                  <w:vAlign w:val="center"/>
                </w:tcPr>
                <w:p w14:paraId="4B7D8C70">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785.2</w:t>
                  </w:r>
                </w:p>
                <w:p w14:paraId="6FC6C496">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（最大储量20t）</w:t>
                  </w:r>
                </w:p>
              </w:tc>
              <w:tc>
                <w:tcPr>
                  <w:tcW w:w="963" w:type="pct"/>
                  <w:shd w:val="clear" w:color="auto" w:fill="auto"/>
                  <w:vAlign w:val="center"/>
                </w:tcPr>
                <w:p w14:paraId="6E489EA0">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785.2</w:t>
                  </w:r>
                </w:p>
              </w:tc>
            </w:tr>
            <w:tr w14:paraId="29D0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shd w:val="clear" w:color="auto" w:fill="auto"/>
                  <w:vAlign w:val="center"/>
                </w:tcPr>
                <w:p w14:paraId="10D0A63D">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8</w:t>
                  </w:r>
                </w:p>
              </w:tc>
              <w:tc>
                <w:tcPr>
                  <w:tcW w:w="834" w:type="pct"/>
                  <w:shd w:val="clear" w:color="auto" w:fill="auto"/>
                  <w:vAlign w:val="center"/>
                </w:tcPr>
                <w:p w14:paraId="718F543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氢氧化钾</w:t>
                  </w:r>
                </w:p>
              </w:tc>
              <w:tc>
                <w:tcPr>
                  <w:tcW w:w="574" w:type="pct"/>
                  <w:shd w:val="clear" w:color="auto" w:fill="auto"/>
                  <w:vAlign w:val="center"/>
                </w:tcPr>
                <w:p w14:paraId="55B72DC2">
                  <w:pPr>
                    <w:keepNext w:val="0"/>
                    <w:keepLines w:val="0"/>
                    <w:pageBreakBefore w:val="0"/>
                    <w:kinsoku/>
                    <w:wordWrap/>
                    <w:overflowPunct/>
                    <w:topLinePunct w:val="0"/>
                    <w:autoSpaceDE/>
                    <w:autoSpaceDN/>
                    <w:bidi w:val="0"/>
                    <w:adjustRightInd/>
                    <w:snapToGrid/>
                    <w:spacing w:line="320" w:lineRule="exact"/>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外购</w:t>
                  </w:r>
                </w:p>
              </w:tc>
              <w:tc>
                <w:tcPr>
                  <w:tcW w:w="432" w:type="pct"/>
                  <w:vAlign w:val="center"/>
                </w:tcPr>
                <w:p w14:paraId="1DDA4CDC">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bCs/>
                      <w:color w:val="auto"/>
                      <w:szCs w:val="21"/>
                      <w:highlight w:val="none"/>
                    </w:rPr>
                    <w:t>固态</w:t>
                  </w:r>
                </w:p>
              </w:tc>
              <w:tc>
                <w:tcPr>
                  <w:tcW w:w="876" w:type="pct"/>
                  <w:vAlign w:val="center"/>
                </w:tcPr>
                <w:p w14:paraId="2BCA3807">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color w:val="auto"/>
                      <w:szCs w:val="21"/>
                      <w:highlight w:val="none"/>
                      <w:lang w:val="en-US" w:eastAsia="zh-CN"/>
                    </w:rPr>
                    <w:t>0</w:t>
                  </w:r>
                </w:p>
              </w:tc>
              <w:tc>
                <w:tcPr>
                  <w:tcW w:w="1071" w:type="pct"/>
                  <w:shd w:val="clear" w:color="auto" w:fill="auto"/>
                  <w:vAlign w:val="center"/>
                </w:tcPr>
                <w:p w14:paraId="19B913C5">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40</w:t>
                  </w: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963" w:type="pct"/>
                  <w:shd w:val="clear" w:color="auto" w:fill="auto"/>
                  <w:vAlign w:val="center"/>
                </w:tcPr>
                <w:p w14:paraId="4F65D8F4">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40</w:t>
                  </w:r>
                  <w:r>
                    <w:rPr>
                      <w:rFonts w:hint="default" w:ascii="Times New Roman" w:hAnsi="Times New Roman" w:eastAsia="宋体" w:cs="Times New Roman"/>
                      <w:i w:val="0"/>
                      <w:iCs w:val="0"/>
                      <w:color w:val="auto"/>
                      <w:kern w:val="0"/>
                      <w:sz w:val="21"/>
                      <w:szCs w:val="21"/>
                      <w:highlight w:val="none"/>
                      <w:u w:val="none"/>
                      <w:lang w:val="en-US" w:eastAsia="zh-CN" w:bidi="ar"/>
                    </w:rPr>
                    <w:t>.7</w:t>
                  </w:r>
                </w:p>
              </w:tc>
            </w:tr>
            <w:tr w14:paraId="7FE1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shd w:val="clear" w:color="auto" w:fill="auto"/>
                  <w:vAlign w:val="center"/>
                </w:tcPr>
                <w:p w14:paraId="5D53E597">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9</w:t>
                  </w:r>
                </w:p>
              </w:tc>
              <w:tc>
                <w:tcPr>
                  <w:tcW w:w="834" w:type="pct"/>
                  <w:shd w:val="clear" w:color="auto" w:fill="auto"/>
                  <w:vAlign w:val="center"/>
                </w:tcPr>
                <w:p w14:paraId="58ED08B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乳酸菌</w:t>
                  </w:r>
                </w:p>
              </w:tc>
              <w:tc>
                <w:tcPr>
                  <w:tcW w:w="574" w:type="pct"/>
                  <w:vAlign w:val="center"/>
                </w:tcPr>
                <w:p w14:paraId="0EC5E2AB">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color w:val="auto"/>
                      <w:szCs w:val="21"/>
                      <w:highlight w:val="none"/>
                    </w:rPr>
                    <w:t>外购</w:t>
                  </w:r>
                </w:p>
              </w:tc>
              <w:tc>
                <w:tcPr>
                  <w:tcW w:w="432" w:type="pct"/>
                  <w:vAlign w:val="center"/>
                </w:tcPr>
                <w:p w14:paraId="44E389CD">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bCs/>
                      <w:color w:val="auto"/>
                      <w:szCs w:val="21"/>
                      <w:highlight w:val="none"/>
                    </w:rPr>
                    <w:t>固态</w:t>
                  </w:r>
                </w:p>
              </w:tc>
              <w:tc>
                <w:tcPr>
                  <w:tcW w:w="876" w:type="pct"/>
                  <w:vAlign w:val="center"/>
                </w:tcPr>
                <w:p w14:paraId="15C3DFE6">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color w:val="auto"/>
                      <w:szCs w:val="21"/>
                      <w:highlight w:val="none"/>
                      <w:lang w:val="en-US" w:eastAsia="zh-CN"/>
                    </w:rPr>
                    <w:t>0</w:t>
                  </w:r>
                </w:p>
              </w:tc>
              <w:tc>
                <w:tcPr>
                  <w:tcW w:w="1071" w:type="pct"/>
                  <w:shd w:val="clear" w:color="auto" w:fill="auto"/>
                  <w:vAlign w:val="center"/>
                </w:tcPr>
                <w:p w14:paraId="7A372EC7">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35.8</w:t>
                  </w:r>
                </w:p>
              </w:tc>
              <w:tc>
                <w:tcPr>
                  <w:tcW w:w="963" w:type="pct"/>
                  <w:shd w:val="clear" w:color="auto" w:fill="auto"/>
                  <w:vAlign w:val="center"/>
                </w:tcPr>
                <w:p w14:paraId="7C0B676E">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35.8</w:t>
                  </w:r>
                </w:p>
              </w:tc>
            </w:tr>
            <w:tr w14:paraId="52D2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shd w:val="clear" w:color="auto" w:fill="auto"/>
                  <w:vAlign w:val="center"/>
                </w:tcPr>
                <w:p w14:paraId="51C86A7D">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default" w:eastAsia="宋体"/>
                      <w:color w:val="auto"/>
                      <w:szCs w:val="21"/>
                      <w:highlight w:val="none"/>
                      <w:lang w:val="en-US" w:eastAsia="zh-CN"/>
                    </w:rPr>
                  </w:pPr>
                  <w:r>
                    <w:rPr>
                      <w:rFonts w:hint="eastAsia"/>
                      <w:color w:val="auto"/>
                      <w:szCs w:val="21"/>
                      <w:highlight w:val="none"/>
                      <w:lang w:val="en-US" w:eastAsia="zh-CN"/>
                    </w:rPr>
                    <w:t>10</w:t>
                  </w:r>
                </w:p>
              </w:tc>
              <w:tc>
                <w:tcPr>
                  <w:tcW w:w="834" w:type="pct"/>
                  <w:shd w:val="clear" w:color="auto" w:fill="auto"/>
                  <w:vAlign w:val="center"/>
                </w:tcPr>
                <w:p w14:paraId="21BC5D2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聚谷氨酸</w:t>
                  </w:r>
                </w:p>
              </w:tc>
              <w:tc>
                <w:tcPr>
                  <w:tcW w:w="574" w:type="pct"/>
                  <w:vAlign w:val="center"/>
                </w:tcPr>
                <w:p w14:paraId="6DF83D61">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color w:val="auto"/>
                      <w:szCs w:val="21"/>
                      <w:highlight w:val="none"/>
                    </w:rPr>
                    <w:t>外购</w:t>
                  </w:r>
                </w:p>
              </w:tc>
              <w:tc>
                <w:tcPr>
                  <w:tcW w:w="432" w:type="pct"/>
                  <w:vAlign w:val="center"/>
                </w:tcPr>
                <w:p w14:paraId="1CA68A33">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bCs/>
                      <w:color w:val="auto"/>
                      <w:szCs w:val="21"/>
                      <w:highlight w:val="none"/>
                    </w:rPr>
                    <w:t>固态</w:t>
                  </w:r>
                </w:p>
              </w:tc>
              <w:tc>
                <w:tcPr>
                  <w:tcW w:w="876" w:type="pct"/>
                  <w:vAlign w:val="center"/>
                </w:tcPr>
                <w:p w14:paraId="72E01113">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color w:val="auto"/>
                      <w:szCs w:val="21"/>
                      <w:highlight w:val="none"/>
                      <w:lang w:val="en-US" w:eastAsia="zh-CN"/>
                    </w:rPr>
                    <w:t>0</w:t>
                  </w:r>
                </w:p>
              </w:tc>
              <w:tc>
                <w:tcPr>
                  <w:tcW w:w="1071" w:type="pct"/>
                  <w:shd w:val="clear" w:color="auto" w:fill="auto"/>
                  <w:vAlign w:val="center"/>
                </w:tcPr>
                <w:p w14:paraId="553EE4B3">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24.2</w:t>
                  </w:r>
                </w:p>
              </w:tc>
              <w:tc>
                <w:tcPr>
                  <w:tcW w:w="963" w:type="pct"/>
                  <w:shd w:val="clear" w:color="auto" w:fill="auto"/>
                  <w:vAlign w:val="center"/>
                </w:tcPr>
                <w:p w14:paraId="6563AF56">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r>
                    <w:rPr>
                      <w:rFonts w:hint="eastAsia" w:ascii="Times New Roman" w:hAnsi="Times New Roman" w:eastAsia="宋体" w:cs="Times New Roman"/>
                      <w:i w:val="0"/>
                      <w:iCs w:val="0"/>
                      <w:color w:val="auto"/>
                      <w:kern w:val="0"/>
                      <w:sz w:val="21"/>
                      <w:szCs w:val="21"/>
                      <w:highlight w:val="none"/>
                      <w:u w:val="none"/>
                      <w:lang w:val="en-US" w:eastAsia="zh-CN" w:bidi="ar"/>
                    </w:rPr>
                    <w:t>24.2</w:t>
                  </w:r>
                </w:p>
              </w:tc>
            </w:tr>
            <w:tr w14:paraId="4A98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shd w:val="clear" w:color="auto" w:fill="auto"/>
                  <w:vAlign w:val="center"/>
                </w:tcPr>
                <w:p w14:paraId="2B42D58C">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default" w:eastAsia="宋体"/>
                      <w:color w:val="auto"/>
                      <w:szCs w:val="21"/>
                      <w:highlight w:val="none"/>
                      <w:lang w:val="en-US" w:eastAsia="zh-CN"/>
                    </w:rPr>
                  </w:pPr>
                  <w:r>
                    <w:rPr>
                      <w:rFonts w:hint="eastAsia"/>
                      <w:color w:val="auto"/>
                      <w:szCs w:val="21"/>
                      <w:highlight w:val="none"/>
                      <w:lang w:val="en-US" w:eastAsia="zh-CN"/>
                    </w:rPr>
                    <w:t>11</w:t>
                  </w:r>
                </w:p>
              </w:tc>
              <w:tc>
                <w:tcPr>
                  <w:tcW w:w="834" w:type="pct"/>
                  <w:shd w:val="clear" w:color="auto" w:fill="auto"/>
                  <w:vAlign w:val="center"/>
                </w:tcPr>
                <w:p w14:paraId="64735E2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多元菌脂</w:t>
                  </w:r>
                </w:p>
              </w:tc>
              <w:tc>
                <w:tcPr>
                  <w:tcW w:w="574" w:type="pct"/>
                  <w:vAlign w:val="center"/>
                </w:tcPr>
                <w:p w14:paraId="68E2BD6E">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color w:val="auto"/>
                      <w:szCs w:val="21"/>
                      <w:highlight w:val="none"/>
                    </w:rPr>
                    <w:t>外购</w:t>
                  </w:r>
                </w:p>
              </w:tc>
              <w:tc>
                <w:tcPr>
                  <w:tcW w:w="432" w:type="pct"/>
                  <w:vAlign w:val="center"/>
                </w:tcPr>
                <w:p w14:paraId="150F3FB5">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bCs/>
                      <w:color w:val="auto"/>
                      <w:szCs w:val="21"/>
                      <w:highlight w:val="none"/>
                    </w:rPr>
                    <w:t>固态</w:t>
                  </w:r>
                </w:p>
              </w:tc>
              <w:tc>
                <w:tcPr>
                  <w:tcW w:w="876" w:type="pct"/>
                  <w:vAlign w:val="center"/>
                </w:tcPr>
                <w:p w14:paraId="777C4CD6">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color w:val="auto"/>
                      <w:szCs w:val="21"/>
                      <w:highlight w:val="none"/>
                      <w:lang w:val="en-US" w:eastAsia="zh-CN"/>
                    </w:rPr>
                    <w:t>0</w:t>
                  </w:r>
                </w:p>
              </w:tc>
              <w:tc>
                <w:tcPr>
                  <w:tcW w:w="1071" w:type="pct"/>
                  <w:shd w:val="clear" w:color="auto" w:fill="auto"/>
                  <w:vAlign w:val="center"/>
                </w:tcPr>
                <w:p w14:paraId="1A82629E">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6</w:t>
                  </w: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963" w:type="pct"/>
                  <w:shd w:val="clear" w:color="auto" w:fill="auto"/>
                  <w:vAlign w:val="center"/>
                </w:tcPr>
                <w:p w14:paraId="4360D963">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6</w:t>
                  </w:r>
                  <w:r>
                    <w:rPr>
                      <w:rFonts w:hint="default" w:ascii="Times New Roman" w:hAnsi="Times New Roman" w:eastAsia="宋体" w:cs="Times New Roman"/>
                      <w:i w:val="0"/>
                      <w:iCs w:val="0"/>
                      <w:color w:val="auto"/>
                      <w:kern w:val="0"/>
                      <w:sz w:val="21"/>
                      <w:szCs w:val="21"/>
                      <w:highlight w:val="none"/>
                      <w:u w:val="none"/>
                      <w:lang w:val="en-US" w:eastAsia="zh-CN" w:bidi="ar"/>
                    </w:rPr>
                    <w:t>.3</w:t>
                  </w:r>
                </w:p>
              </w:tc>
            </w:tr>
            <w:tr w14:paraId="6F904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shd w:val="clear" w:color="auto" w:fill="auto"/>
                  <w:vAlign w:val="center"/>
                </w:tcPr>
                <w:p w14:paraId="0C8FF189">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default" w:eastAsia="宋体"/>
                      <w:color w:val="auto"/>
                      <w:szCs w:val="21"/>
                      <w:highlight w:val="none"/>
                      <w:lang w:val="en-US" w:eastAsia="zh-CN"/>
                    </w:rPr>
                  </w:pPr>
                  <w:r>
                    <w:rPr>
                      <w:rFonts w:hint="eastAsia"/>
                      <w:color w:val="auto"/>
                      <w:szCs w:val="21"/>
                      <w:highlight w:val="none"/>
                      <w:lang w:val="en-US" w:eastAsia="zh-CN"/>
                    </w:rPr>
                    <w:t>12</w:t>
                  </w:r>
                </w:p>
              </w:tc>
              <w:tc>
                <w:tcPr>
                  <w:tcW w:w="834" w:type="pct"/>
                  <w:shd w:val="clear" w:color="auto" w:fill="auto"/>
                  <w:vAlign w:val="center"/>
                </w:tcPr>
                <w:p w14:paraId="17A1BD7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枯草芽孢</w:t>
                  </w:r>
                </w:p>
              </w:tc>
              <w:tc>
                <w:tcPr>
                  <w:tcW w:w="574" w:type="pct"/>
                  <w:vAlign w:val="center"/>
                </w:tcPr>
                <w:p w14:paraId="66313D5A">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rPr>
                    <w:t>外购</w:t>
                  </w:r>
                </w:p>
              </w:tc>
              <w:tc>
                <w:tcPr>
                  <w:tcW w:w="432" w:type="pct"/>
                  <w:vAlign w:val="center"/>
                </w:tcPr>
                <w:p w14:paraId="66583380">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bCs/>
                      <w:color w:val="auto"/>
                      <w:szCs w:val="21"/>
                      <w:highlight w:val="none"/>
                    </w:rPr>
                    <w:t>固态</w:t>
                  </w:r>
                </w:p>
              </w:tc>
              <w:tc>
                <w:tcPr>
                  <w:tcW w:w="876" w:type="pct"/>
                  <w:vAlign w:val="center"/>
                </w:tcPr>
                <w:p w14:paraId="4FB4D5B0">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color w:val="auto"/>
                      <w:szCs w:val="21"/>
                      <w:highlight w:val="none"/>
                      <w:lang w:val="en-US" w:eastAsia="zh-CN"/>
                    </w:rPr>
                    <w:t>0</w:t>
                  </w:r>
                </w:p>
              </w:tc>
              <w:tc>
                <w:tcPr>
                  <w:tcW w:w="1071" w:type="pct"/>
                  <w:shd w:val="clear" w:color="auto" w:fill="auto"/>
                  <w:vAlign w:val="center"/>
                </w:tcPr>
                <w:p w14:paraId="6955DC00">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28.6</w:t>
                  </w:r>
                </w:p>
              </w:tc>
              <w:tc>
                <w:tcPr>
                  <w:tcW w:w="963" w:type="pct"/>
                  <w:shd w:val="clear" w:color="auto" w:fill="auto"/>
                  <w:vAlign w:val="center"/>
                </w:tcPr>
                <w:p w14:paraId="46DD8039">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28.6</w:t>
                  </w:r>
                </w:p>
              </w:tc>
            </w:tr>
            <w:tr w14:paraId="067D9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39F8BD1C">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default" w:eastAsia="宋体"/>
                      <w:color w:val="auto"/>
                      <w:szCs w:val="21"/>
                      <w:highlight w:val="none"/>
                      <w:lang w:val="en-US" w:eastAsia="zh-CN"/>
                    </w:rPr>
                  </w:pPr>
                  <w:r>
                    <w:rPr>
                      <w:rFonts w:hint="eastAsia"/>
                      <w:color w:val="auto"/>
                      <w:szCs w:val="21"/>
                      <w:highlight w:val="none"/>
                      <w:lang w:val="en-US" w:eastAsia="zh-CN"/>
                    </w:rPr>
                    <w:t>13</w:t>
                  </w:r>
                </w:p>
              </w:tc>
              <w:tc>
                <w:tcPr>
                  <w:tcW w:w="834" w:type="pct"/>
                  <w:shd w:val="clear" w:color="auto" w:fill="auto"/>
                  <w:vAlign w:val="center"/>
                </w:tcPr>
                <w:p w14:paraId="7C40CB7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贝莱斯芽孢</w:t>
                  </w:r>
                </w:p>
              </w:tc>
              <w:tc>
                <w:tcPr>
                  <w:tcW w:w="574" w:type="pct"/>
                  <w:vAlign w:val="center"/>
                </w:tcPr>
                <w:p w14:paraId="0396890A">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rPr>
                    <w:t>外购</w:t>
                  </w:r>
                </w:p>
              </w:tc>
              <w:tc>
                <w:tcPr>
                  <w:tcW w:w="432" w:type="pct"/>
                  <w:vAlign w:val="center"/>
                </w:tcPr>
                <w:p w14:paraId="482FBC5C">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bCs/>
                      <w:color w:val="auto"/>
                      <w:szCs w:val="21"/>
                      <w:highlight w:val="none"/>
                    </w:rPr>
                    <w:t>固态</w:t>
                  </w:r>
                </w:p>
              </w:tc>
              <w:tc>
                <w:tcPr>
                  <w:tcW w:w="876" w:type="pct"/>
                  <w:vAlign w:val="center"/>
                </w:tcPr>
                <w:p w14:paraId="2DA206F0">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color w:val="auto"/>
                      <w:szCs w:val="21"/>
                      <w:highlight w:val="none"/>
                      <w:lang w:val="en-US" w:eastAsia="zh-CN"/>
                    </w:rPr>
                    <w:t>0</w:t>
                  </w:r>
                </w:p>
              </w:tc>
              <w:tc>
                <w:tcPr>
                  <w:tcW w:w="1071" w:type="pct"/>
                  <w:shd w:val="clear" w:color="auto" w:fill="auto"/>
                  <w:vAlign w:val="center"/>
                </w:tcPr>
                <w:p w14:paraId="3753221C">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6</w:t>
                  </w: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963" w:type="pct"/>
                  <w:shd w:val="clear" w:color="auto" w:fill="auto"/>
                  <w:vAlign w:val="center"/>
                </w:tcPr>
                <w:p w14:paraId="1873FB11">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6</w:t>
                  </w:r>
                  <w:r>
                    <w:rPr>
                      <w:rFonts w:hint="default" w:ascii="Times New Roman" w:hAnsi="Times New Roman" w:eastAsia="宋体" w:cs="Times New Roman"/>
                      <w:i w:val="0"/>
                      <w:iCs w:val="0"/>
                      <w:color w:val="auto"/>
                      <w:kern w:val="0"/>
                      <w:sz w:val="21"/>
                      <w:szCs w:val="21"/>
                      <w:highlight w:val="none"/>
                      <w:u w:val="none"/>
                      <w:lang w:val="en-US" w:eastAsia="zh-CN" w:bidi="ar"/>
                    </w:rPr>
                    <w:t>.3</w:t>
                  </w:r>
                </w:p>
              </w:tc>
            </w:tr>
            <w:tr w14:paraId="52F61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3623F381">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rPr>
                    <w:t>1</w:t>
                  </w:r>
                  <w:r>
                    <w:rPr>
                      <w:rFonts w:hint="eastAsia"/>
                      <w:color w:val="auto"/>
                      <w:szCs w:val="21"/>
                      <w:highlight w:val="none"/>
                      <w:lang w:val="en-US" w:eastAsia="zh-CN"/>
                    </w:rPr>
                    <w:t>4</w:t>
                  </w:r>
                </w:p>
              </w:tc>
              <w:tc>
                <w:tcPr>
                  <w:tcW w:w="834" w:type="pct"/>
                  <w:shd w:val="clear" w:color="auto" w:fill="auto"/>
                  <w:vAlign w:val="center"/>
                </w:tcPr>
                <w:p w14:paraId="7849535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搅冻样芽孢</w:t>
                  </w:r>
                </w:p>
              </w:tc>
              <w:tc>
                <w:tcPr>
                  <w:tcW w:w="574" w:type="pct"/>
                  <w:vAlign w:val="center"/>
                </w:tcPr>
                <w:p w14:paraId="1E4661C1">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rPr>
                    <w:t>外购</w:t>
                  </w:r>
                </w:p>
              </w:tc>
              <w:tc>
                <w:tcPr>
                  <w:tcW w:w="432" w:type="pct"/>
                  <w:vAlign w:val="center"/>
                </w:tcPr>
                <w:p w14:paraId="603C24C8">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bCs/>
                      <w:color w:val="auto"/>
                      <w:szCs w:val="21"/>
                      <w:highlight w:val="none"/>
                    </w:rPr>
                    <w:t>固态</w:t>
                  </w:r>
                </w:p>
              </w:tc>
              <w:tc>
                <w:tcPr>
                  <w:tcW w:w="876" w:type="pct"/>
                  <w:vAlign w:val="center"/>
                </w:tcPr>
                <w:p w14:paraId="589EA07C">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color w:val="auto"/>
                      <w:szCs w:val="21"/>
                      <w:highlight w:val="none"/>
                      <w:lang w:val="en-US" w:eastAsia="zh-CN"/>
                    </w:rPr>
                    <w:t>0</w:t>
                  </w:r>
                </w:p>
              </w:tc>
              <w:tc>
                <w:tcPr>
                  <w:tcW w:w="1071" w:type="pct"/>
                  <w:shd w:val="clear" w:color="auto" w:fill="auto"/>
                  <w:vAlign w:val="center"/>
                </w:tcPr>
                <w:p w14:paraId="218EC552">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28.6</w:t>
                  </w:r>
                </w:p>
              </w:tc>
              <w:tc>
                <w:tcPr>
                  <w:tcW w:w="963" w:type="pct"/>
                  <w:shd w:val="clear" w:color="auto" w:fill="auto"/>
                  <w:vAlign w:val="center"/>
                </w:tcPr>
                <w:p w14:paraId="111B9FE6">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28.6</w:t>
                  </w:r>
                </w:p>
              </w:tc>
            </w:tr>
            <w:tr w14:paraId="7B34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680F84BE">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default" w:eastAsia="宋体"/>
                      <w:color w:val="auto"/>
                      <w:szCs w:val="21"/>
                      <w:highlight w:val="none"/>
                      <w:lang w:val="en-US" w:eastAsia="zh-CN"/>
                    </w:rPr>
                  </w:pPr>
                  <w:r>
                    <w:rPr>
                      <w:rFonts w:hint="eastAsia"/>
                      <w:color w:val="auto"/>
                      <w:szCs w:val="21"/>
                      <w:highlight w:val="none"/>
                      <w:lang w:val="en-US" w:eastAsia="zh-CN"/>
                    </w:rPr>
                    <w:t>15</w:t>
                  </w:r>
                </w:p>
              </w:tc>
              <w:tc>
                <w:tcPr>
                  <w:tcW w:w="834" w:type="pct"/>
                  <w:shd w:val="clear" w:color="auto" w:fill="auto"/>
                  <w:vAlign w:val="center"/>
                </w:tcPr>
                <w:p w14:paraId="1CA70E5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包装桶</w:t>
                  </w:r>
                </w:p>
              </w:tc>
              <w:tc>
                <w:tcPr>
                  <w:tcW w:w="574" w:type="pct"/>
                  <w:vAlign w:val="center"/>
                </w:tcPr>
                <w:p w14:paraId="785CA153">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外购</w:t>
                  </w:r>
                </w:p>
              </w:tc>
              <w:tc>
                <w:tcPr>
                  <w:tcW w:w="432" w:type="pct"/>
                  <w:vAlign w:val="center"/>
                </w:tcPr>
                <w:p w14:paraId="0383BC2C">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eastAsia="宋体"/>
                      <w:bCs/>
                      <w:color w:val="auto"/>
                      <w:szCs w:val="21"/>
                      <w:highlight w:val="none"/>
                      <w:lang w:val="en-US" w:eastAsia="zh-CN"/>
                    </w:rPr>
                  </w:pPr>
                  <w:r>
                    <w:rPr>
                      <w:rFonts w:hint="eastAsia"/>
                      <w:bCs/>
                      <w:color w:val="auto"/>
                      <w:szCs w:val="21"/>
                      <w:highlight w:val="none"/>
                      <w:lang w:val="en-US" w:eastAsia="zh-CN"/>
                    </w:rPr>
                    <w:t>固体</w:t>
                  </w:r>
                </w:p>
              </w:tc>
              <w:tc>
                <w:tcPr>
                  <w:tcW w:w="876" w:type="pct"/>
                  <w:vAlign w:val="center"/>
                </w:tcPr>
                <w:p w14:paraId="3663948D">
                  <w:pPr>
                    <w:keepNext w:val="0"/>
                    <w:keepLines w:val="0"/>
                    <w:pageBreakBefore w:val="0"/>
                    <w:kinsoku/>
                    <w:wordWrap/>
                    <w:overflowPunct/>
                    <w:topLinePunct w:val="0"/>
                    <w:autoSpaceDE/>
                    <w:autoSpaceDN/>
                    <w:bidi w:val="0"/>
                    <w:adjustRightInd/>
                    <w:snapToGrid/>
                    <w:spacing w:line="320" w:lineRule="exact"/>
                    <w:jc w:val="center"/>
                    <w:rPr>
                      <w:rFonts w:hint="default"/>
                      <w:color w:val="auto"/>
                      <w:szCs w:val="21"/>
                      <w:highlight w:val="none"/>
                      <w:lang w:val="en-US" w:eastAsia="zh-CN"/>
                    </w:rPr>
                  </w:pPr>
                  <w:r>
                    <w:rPr>
                      <w:rFonts w:hint="eastAsia"/>
                      <w:color w:val="auto"/>
                      <w:szCs w:val="21"/>
                      <w:highlight w:val="none"/>
                      <w:lang w:val="en-US" w:eastAsia="zh-CN"/>
                    </w:rPr>
                    <w:t>0</w:t>
                  </w:r>
                </w:p>
              </w:tc>
              <w:tc>
                <w:tcPr>
                  <w:tcW w:w="1071" w:type="pct"/>
                  <w:shd w:val="clear" w:color="auto" w:fill="auto"/>
                  <w:vAlign w:val="center"/>
                </w:tcPr>
                <w:p w14:paraId="467F043F">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32</w:t>
                  </w:r>
                  <w:r>
                    <w:rPr>
                      <w:rFonts w:hint="eastAsia" w:ascii="Times New Roman" w:hAnsi="Times New Roman" w:eastAsia="宋体" w:cs="Times New Roman"/>
                      <w:i w:val="0"/>
                      <w:iCs w:val="0"/>
                      <w:color w:val="auto"/>
                      <w:kern w:val="0"/>
                      <w:sz w:val="21"/>
                      <w:szCs w:val="21"/>
                      <w:highlight w:val="none"/>
                      <w:u w:val="none"/>
                      <w:lang w:val="en-US" w:eastAsia="zh-CN" w:bidi="ar"/>
                    </w:rPr>
                    <w:t>0000（个）</w:t>
                  </w:r>
                </w:p>
              </w:tc>
              <w:tc>
                <w:tcPr>
                  <w:tcW w:w="963" w:type="pct"/>
                  <w:shd w:val="clear" w:color="auto" w:fill="auto"/>
                  <w:vAlign w:val="center"/>
                </w:tcPr>
                <w:p w14:paraId="416DD96D">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eastAsia" w:cs="Times New Roman"/>
                      <w:i w:val="0"/>
                      <w:iCs w:val="0"/>
                      <w:color w:val="auto"/>
                      <w:kern w:val="0"/>
                      <w:sz w:val="21"/>
                      <w:szCs w:val="21"/>
                      <w:highlight w:val="none"/>
                      <w:u w:val="none"/>
                      <w:lang w:val="en-US" w:eastAsia="zh-CN" w:bidi="ar"/>
                    </w:rPr>
                    <w:t>32</w:t>
                  </w:r>
                  <w:r>
                    <w:rPr>
                      <w:rFonts w:hint="eastAsia" w:ascii="Times New Roman" w:hAnsi="Times New Roman" w:eastAsia="宋体" w:cs="Times New Roman"/>
                      <w:i w:val="0"/>
                      <w:iCs w:val="0"/>
                      <w:color w:val="auto"/>
                      <w:kern w:val="0"/>
                      <w:sz w:val="21"/>
                      <w:szCs w:val="21"/>
                      <w:highlight w:val="none"/>
                      <w:u w:val="none"/>
                      <w:lang w:val="en-US" w:eastAsia="zh-CN" w:bidi="ar"/>
                    </w:rPr>
                    <w:t>0000</w:t>
                  </w:r>
                </w:p>
              </w:tc>
            </w:tr>
            <w:tr w14:paraId="4898B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2B6243D4">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b/>
                      <w:bCs/>
                      <w:color w:val="auto"/>
                      <w:szCs w:val="21"/>
                      <w:highlight w:val="none"/>
                      <w:lang w:eastAsia="zh-CN"/>
                    </w:rPr>
                    <w:t>固体复合微生物肥</w:t>
                  </w:r>
                  <w:r>
                    <w:rPr>
                      <w:rFonts w:hint="eastAsia"/>
                      <w:b/>
                      <w:bCs/>
                      <w:color w:val="auto"/>
                      <w:szCs w:val="21"/>
                      <w:highlight w:val="none"/>
                    </w:rPr>
                    <w:t>生产线</w:t>
                  </w:r>
                  <w:r>
                    <w:rPr>
                      <w:rFonts w:hint="eastAsia"/>
                      <w:b/>
                      <w:bCs/>
                      <w:color w:val="auto"/>
                      <w:highlight w:val="none"/>
                    </w:rPr>
                    <w:t>（设计年产量</w:t>
                  </w:r>
                  <w:r>
                    <w:rPr>
                      <w:rFonts w:hint="eastAsia"/>
                      <w:b/>
                      <w:bCs/>
                      <w:color w:val="auto"/>
                      <w:highlight w:val="none"/>
                      <w:lang w:val="en-US" w:eastAsia="zh-CN"/>
                    </w:rPr>
                    <w:t>86000</w:t>
                  </w:r>
                  <w:r>
                    <w:rPr>
                      <w:rFonts w:hint="eastAsia"/>
                      <w:b/>
                      <w:bCs/>
                      <w:color w:val="auto"/>
                      <w:highlight w:val="none"/>
                    </w:rPr>
                    <w:t>吨/年）</w:t>
                  </w:r>
                </w:p>
              </w:tc>
            </w:tr>
            <w:tr w14:paraId="7414B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75A33767">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rPr>
                    <w:t>1</w:t>
                  </w:r>
                </w:p>
              </w:tc>
              <w:tc>
                <w:tcPr>
                  <w:tcW w:w="834" w:type="pct"/>
                  <w:shd w:val="clear" w:color="auto" w:fill="auto"/>
                  <w:vAlign w:val="center"/>
                </w:tcPr>
                <w:p w14:paraId="5527D52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果蔬渣</w:t>
                  </w:r>
                  <w:r>
                    <w:rPr>
                      <w:rFonts w:hint="eastAsia" w:cs="Times New Roman"/>
                      <w:color w:val="auto"/>
                      <w:sz w:val="21"/>
                      <w:szCs w:val="21"/>
                      <w:highlight w:val="none"/>
                      <w:lang w:val="en-US" w:eastAsia="zh-CN"/>
                    </w:rPr>
                    <w:t>（水分66.7%）</w:t>
                  </w:r>
                </w:p>
              </w:tc>
              <w:tc>
                <w:tcPr>
                  <w:tcW w:w="574" w:type="pct"/>
                  <w:vAlign w:val="center"/>
                </w:tcPr>
                <w:p w14:paraId="0F574EB7">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default" w:eastAsia="宋体"/>
                      <w:color w:val="auto"/>
                      <w:szCs w:val="21"/>
                      <w:highlight w:val="none"/>
                      <w:lang w:val="en-US" w:eastAsia="zh-CN"/>
                    </w:rPr>
                  </w:pPr>
                  <w:r>
                    <w:rPr>
                      <w:rFonts w:hint="eastAsia"/>
                      <w:color w:val="auto"/>
                      <w:szCs w:val="21"/>
                      <w:highlight w:val="none"/>
                      <w:lang w:val="en-US" w:eastAsia="zh-CN"/>
                    </w:rPr>
                    <w:t>现有项目脱水</w:t>
                  </w:r>
                </w:p>
              </w:tc>
              <w:tc>
                <w:tcPr>
                  <w:tcW w:w="432" w:type="pct"/>
                  <w:vAlign w:val="center"/>
                </w:tcPr>
                <w:p w14:paraId="7BFD55D0">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bCs/>
                      <w:color w:val="auto"/>
                      <w:szCs w:val="21"/>
                      <w:highlight w:val="none"/>
                    </w:rPr>
                    <w:t>固态</w:t>
                  </w:r>
                </w:p>
              </w:tc>
              <w:tc>
                <w:tcPr>
                  <w:tcW w:w="876" w:type="pct"/>
                  <w:vAlign w:val="center"/>
                </w:tcPr>
                <w:p w14:paraId="153C4BFC">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0</w:t>
                  </w:r>
                </w:p>
              </w:tc>
              <w:tc>
                <w:tcPr>
                  <w:tcW w:w="1071" w:type="pct"/>
                  <w:vAlign w:val="center"/>
                </w:tcPr>
                <w:p w14:paraId="4859C06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Cs w:val="21"/>
                      <w:highlight w:val="none"/>
                    </w:rPr>
                  </w:pPr>
                  <w:r>
                    <w:rPr>
                      <w:rFonts w:hint="eastAsia" w:cs="Times New Roman"/>
                      <w:color w:val="auto"/>
                      <w:sz w:val="21"/>
                      <w:szCs w:val="21"/>
                      <w:highlight w:val="none"/>
                      <w:lang w:val="en-US" w:eastAsia="zh-CN"/>
                    </w:rPr>
                    <w:t>89910</w:t>
                  </w:r>
                </w:p>
              </w:tc>
              <w:tc>
                <w:tcPr>
                  <w:tcW w:w="963" w:type="pct"/>
                  <w:shd w:val="clear" w:color="auto" w:fill="auto"/>
                  <w:vAlign w:val="center"/>
                </w:tcPr>
                <w:p w14:paraId="18C77D5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+89910</w:t>
                  </w:r>
                </w:p>
              </w:tc>
            </w:tr>
            <w:tr w14:paraId="1E2E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74014364">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rPr>
                    <w:t>2</w:t>
                  </w:r>
                </w:p>
              </w:tc>
              <w:tc>
                <w:tcPr>
                  <w:tcW w:w="834" w:type="pct"/>
                  <w:shd w:val="clear" w:color="auto" w:fill="auto"/>
                  <w:vAlign w:val="center"/>
                </w:tcPr>
                <w:p w14:paraId="770EBE44">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color w:val="auto"/>
                      <w:szCs w:val="21"/>
                      <w:highlight w:val="none"/>
                    </w:rPr>
                  </w:pPr>
                  <w:r>
                    <w:rPr>
                      <w:rFonts w:hint="eastAsia"/>
                      <w:color w:val="auto"/>
                      <w:szCs w:val="21"/>
                      <w:highlight w:val="none"/>
                    </w:rPr>
                    <w:t>甘蔗叶子</w:t>
                  </w:r>
                </w:p>
                <w:p w14:paraId="05695D0B">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w:t>
                  </w:r>
                  <w:r>
                    <w:rPr>
                      <w:rFonts w:hint="eastAsia"/>
                      <w:color w:val="auto"/>
                      <w:szCs w:val="21"/>
                      <w:highlight w:val="none"/>
                      <w:lang w:val="en-US" w:eastAsia="zh-CN"/>
                    </w:rPr>
                    <w:t>水分10%</w:t>
                  </w:r>
                  <w:r>
                    <w:rPr>
                      <w:rFonts w:hint="eastAsia"/>
                      <w:color w:val="auto"/>
                      <w:szCs w:val="21"/>
                      <w:highlight w:val="none"/>
                      <w:lang w:eastAsia="zh-CN"/>
                    </w:rPr>
                    <w:t>）</w:t>
                  </w:r>
                </w:p>
              </w:tc>
              <w:tc>
                <w:tcPr>
                  <w:tcW w:w="574" w:type="pct"/>
                  <w:vAlign w:val="center"/>
                </w:tcPr>
                <w:p w14:paraId="676B0A41">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color w:val="auto"/>
                      <w:szCs w:val="21"/>
                      <w:highlight w:val="none"/>
                    </w:rPr>
                    <w:t>外购</w:t>
                  </w:r>
                </w:p>
              </w:tc>
              <w:tc>
                <w:tcPr>
                  <w:tcW w:w="432" w:type="pct"/>
                  <w:vAlign w:val="center"/>
                </w:tcPr>
                <w:p w14:paraId="52BF4811">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bCs/>
                      <w:color w:val="auto"/>
                      <w:szCs w:val="21"/>
                      <w:highlight w:val="none"/>
                    </w:rPr>
                    <w:t>固态</w:t>
                  </w:r>
                </w:p>
              </w:tc>
              <w:tc>
                <w:tcPr>
                  <w:tcW w:w="876" w:type="pct"/>
                  <w:vAlign w:val="center"/>
                </w:tcPr>
                <w:p w14:paraId="01E16E05">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0</w:t>
                  </w:r>
                </w:p>
              </w:tc>
              <w:tc>
                <w:tcPr>
                  <w:tcW w:w="1071" w:type="pct"/>
                  <w:vAlign w:val="center"/>
                </w:tcPr>
                <w:p w14:paraId="593A610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Cs w:val="21"/>
                      <w:highlight w:val="none"/>
                    </w:rPr>
                  </w:pPr>
                  <w:r>
                    <w:rPr>
                      <w:rFonts w:hint="eastAsia" w:cs="Times New Roman"/>
                      <w:color w:val="auto"/>
                      <w:kern w:val="2"/>
                      <w:sz w:val="21"/>
                      <w:szCs w:val="21"/>
                      <w:highlight w:val="none"/>
                      <w:lang w:val="en-US" w:eastAsia="zh-CN" w:bidi="ar-SA"/>
                    </w:rPr>
                    <w:t>2830.5</w:t>
                  </w:r>
                </w:p>
              </w:tc>
              <w:tc>
                <w:tcPr>
                  <w:tcW w:w="963" w:type="pct"/>
                  <w:shd w:val="clear" w:color="auto" w:fill="auto"/>
                  <w:vAlign w:val="center"/>
                </w:tcPr>
                <w:p w14:paraId="37C6CA2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+2830.5</w:t>
                  </w:r>
                </w:p>
              </w:tc>
            </w:tr>
            <w:tr w14:paraId="2ACA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37237F2D">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rPr>
                    <w:t>4</w:t>
                  </w:r>
                </w:p>
              </w:tc>
              <w:tc>
                <w:tcPr>
                  <w:tcW w:w="834" w:type="pct"/>
                  <w:shd w:val="clear" w:color="auto" w:fill="auto"/>
                  <w:vAlign w:val="center"/>
                </w:tcPr>
                <w:p w14:paraId="7B7B2717">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color w:val="auto"/>
                      <w:szCs w:val="21"/>
                      <w:highlight w:val="none"/>
                    </w:rPr>
                  </w:pPr>
                  <w:r>
                    <w:rPr>
                      <w:rFonts w:hint="eastAsia"/>
                      <w:color w:val="auto"/>
                      <w:szCs w:val="21"/>
                      <w:highlight w:val="none"/>
                    </w:rPr>
                    <w:t>玉米秸秆</w:t>
                  </w:r>
                </w:p>
                <w:p w14:paraId="77813ED9">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w:t>
                  </w:r>
                  <w:r>
                    <w:rPr>
                      <w:rFonts w:hint="eastAsia"/>
                      <w:color w:val="auto"/>
                      <w:szCs w:val="21"/>
                      <w:highlight w:val="none"/>
                      <w:lang w:val="en-US" w:eastAsia="zh-CN"/>
                    </w:rPr>
                    <w:t>水分10%</w:t>
                  </w:r>
                  <w:r>
                    <w:rPr>
                      <w:rFonts w:hint="eastAsia"/>
                      <w:color w:val="auto"/>
                      <w:szCs w:val="21"/>
                      <w:highlight w:val="none"/>
                      <w:lang w:eastAsia="zh-CN"/>
                    </w:rPr>
                    <w:t>）</w:t>
                  </w:r>
                </w:p>
              </w:tc>
              <w:tc>
                <w:tcPr>
                  <w:tcW w:w="574" w:type="pct"/>
                  <w:vAlign w:val="center"/>
                </w:tcPr>
                <w:p w14:paraId="7AD88E05">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rPr>
                    <w:t>外购</w:t>
                  </w:r>
                </w:p>
              </w:tc>
              <w:tc>
                <w:tcPr>
                  <w:tcW w:w="432" w:type="pct"/>
                  <w:vAlign w:val="center"/>
                </w:tcPr>
                <w:p w14:paraId="2994733F">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bCs/>
                      <w:color w:val="auto"/>
                      <w:szCs w:val="21"/>
                      <w:highlight w:val="none"/>
                    </w:rPr>
                    <w:t>固态</w:t>
                  </w:r>
                </w:p>
              </w:tc>
              <w:tc>
                <w:tcPr>
                  <w:tcW w:w="876" w:type="pct"/>
                  <w:vAlign w:val="center"/>
                </w:tcPr>
                <w:p w14:paraId="594D5ED5">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0</w:t>
                  </w:r>
                </w:p>
              </w:tc>
              <w:tc>
                <w:tcPr>
                  <w:tcW w:w="1071" w:type="pct"/>
                  <w:vAlign w:val="center"/>
                </w:tcPr>
                <w:p w14:paraId="13F23D0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Cs w:val="21"/>
                      <w:highlight w:val="none"/>
                    </w:rPr>
                  </w:pPr>
                  <w:r>
                    <w:rPr>
                      <w:rFonts w:hint="eastAsia" w:cs="Times New Roman"/>
                      <w:color w:val="auto"/>
                      <w:kern w:val="2"/>
                      <w:sz w:val="21"/>
                      <w:szCs w:val="21"/>
                      <w:highlight w:val="none"/>
                      <w:lang w:val="en-US" w:eastAsia="zh-CN" w:bidi="ar-SA"/>
                    </w:rPr>
                    <w:t>2830.5</w:t>
                  </w:r>
                </w:p>
              </w:tc>
              <w:tc>
                <w:tcPr>
                  <w:tcW w:w="963" w:type="pct"/>
                  <w:shd w:val="clear" w:color="auto" w:fill="auto"/>
                  <w:vAlign w:val="center"/>
                </w:tcPr>
                <w:p w14:paraId="5A8C10D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+2830.5</w:t>
                  </w:r>
                </w:p>
              </w:tc>
            </w:tr>
            <w:tr w14:paraId="17C7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14801F57">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rPr>
                    <w:t>5</w:t>
                  </w:r>
                </w:p>
              </w:tc>
              <w:tc>
                <w:tcPr>
                  <w:tcW w:w="834" w:type="pct"/>
                  <w:shd w:val="clear" w:color="auto" w:fill="auto"/>
                  <w:vAlign w:val="center"/>
                </w:tcPr>
                <w:p w14:paraId="7B1AF788">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color w:val="auto"/>
                      <w:szCs w:val="21"/>
                      <w:highlight w:val="none"/>
                    </w:rPr>
                  </w:pPr>
                  <w:r>
                    <w:rPr>
                      <w:rFonts w:hint="eastAsia"/>
                      <w:color w:val="auto"/>
                      <w:szCs w:val="21"/>
                      <w:highlight w:val="none"/>
                    </w:rPr>
                    <w:t>菊花渣</w:t>
                  </w:r>
                </w:p>
                <w:p w14:paraId="3F7BC8C1">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w:t>
                  </w:r>
                  <w:r>
                    <w:rPr>
                      <w:rFonts w:hint="eastAsia"/>
                      <w:color w:val="auto"/>
                      <w:szCs w:val="21"/>
                      <w:highlight w:val="none"/>
                      <w:lang w:val="en-US" w:eastAsia="zh-CN"/>
                    </w:rPr>
                    <w:t>水分10%</w:t>
                  </w:r>
                  <w:r>
                    <w:rPr>
                      <w:rFonts w:hint="eastAsia"/>
                      <w:color w:val="auto"/>
                      <w:szCs w:val="21"/>
                      <w:highlight w:val="none"/>
                      <w:lang w:eastAsia="zh-CN"/>
                    </w:rPr>
                    <w:t>）</w:t>
                  </w:r>
                </w:p>
              </w:tc>
              <w:tc>
                <w:tcPr>
                  <w:tcW w:w="574" w:type="pct"/>
                  <w:vAlign w:val="center"/>
                </w:tcPr>
                <w:p w14:paraId="685526FE">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rPr>
                    <w:t>外购</w:t>
                  </w:r>
                </w:p>
              </w:tc>
              <w:tc>
                <w:tcPr>
                  <w:tcW w:w="432" w:type="pct"/>
                  <w:vAlign w:val="center"/>
                </w:tcPr>
                <w:p w14:paraId="710A651D">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bCs/>
                      <w:color w:val="auto"/>
                      <w:szCs w:val="21"/>
                      <w:highlight w:val="none"/>
                    </w:rPr>
                    <w:t>固态</w:t>
                  </w:r>
                </w:p>
              </w:tc>
              <w:tc>
                <w:tcPr>
                  <w:tcW w:w="876" w:type="pct"/>
                  <w:vAlign w:val="center"/>
                </w:tcPr>
                <w:p w14:paraId="3EB75F8D">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0</w:t>
                  </w:r>
                </w:p>
              </w:tc>
              <w:tc>
                <w:tcPr>
                  <w:tcW w:w="1071" w:type="pct"/>
                  <w:vAlign w:val="center"/>
                </w:tcPr>
                <w:p w14:paraId="682176A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Cs w:val="21"/>
                      <w:highlight w:val="none"/>
                    </w:rPr>
                  </w:pPr>
                  <w:r>
                    <w:rPr>
                      <w:rFonts w:hint="eastAsia" w:cs="Times New Roman"/>
                      <w:color w:val="auto"/>
                      <w:kern w:val="2"/>
                      <w:sz w:val="21"/>
                      <w:szCs w:val="21"/>
                      <w:highlight w:val="none"/>
                      <w:lang w:val="en-US" w:eastAsia="zh-CN" w:bidi="ar-SA"/>
                    </w:rPr>
                    <w:t>2830.5</w:t>
                  </w:r>
                </w:p>
              </w:tc>
              <w:tc>
                <w:tcPr>
                  <w:tcW w:w="963" w:type="pct"/>
                  <w:shd w:val="clear" w:color="auto" w:fill="auto"/>
                  <w:vAlign w:val="center"/>
                </w:tcPr>
                <w:p w14:paraId="79ADBD2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+2830.5</w:t>
                  </w:r>
                </w:p>
              </w:tc>
            </w:tr>
            <w:tr w14:paraId="0CDB1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1E245146">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rPr>
                    <w:t>6</w:t>
                  </w:r>
                </w:p>
              </w:tc>
              <w:tc>
                <w:tcPr>
                  <w:tcW w:w="834" w:type="pct"/>
                  <w:shd w:val="clear" w:color="auto" w:fill="auto"/>
                  <w:vAlign w:val="center"/>
                </w:tcPr>
                <w:p w14:paraId="05D167A7">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椰糠</w:t>
                  </w:r>
                  <w:r>
                    <w:rPr>
                      <w:rFonts w:hint="eastAsia"/>
                      <w:color w:val="auto"/>
                      <w:szCs w:val="21"/>
                      <w:highlight w:val="none"/>
                      <w:lang w:eastAsia="zh-CN"/>
                    </w:rPr>
                    <w:t>（</w:t>
                  </w:r>
                  <w:r>
                    <w:rPr>
                      <w:rFonts w:hint="eastAsia"/>
                      <w:color w:val="auto"/>
                      <w:szCs w:val="21"/>
                      <w:highlight w:val="none"/>
                      <w:lang w:val="en-US" w:eastAsia="zh-CN"/>
                    </w:rPr>
                    <w:t>水分10%</w:t>
                  </w:r>
                  <w:r>
                    <w:rPr>
                      <w:rFonts w:hint="eastAsia"/>
                      <w:color w:val="auto"/>
                      <w:szCs w:val="21"/>
                      <w:highlight w:val="none"/>
                      <w:lang w:eastAsia="zh-CN"/>
                    </w:rPr>
                    <w:t>）</w:t>
                  </w:r>
                </w:p>
              </w:tc>
              <w:tc>
                <w:tcPr>
                  <w:tcW w:w="574" w:type="pct"/>
                  <w:vAlign w:val="center"/>
                </w:tcPr>
                <w:p w14:paraId="30D77928">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rPr>
                    <w:t>外购</w:t>
                  </w:r>
                </w:p>
              </w:tc>
              <w:tc>
                <w:tcPr>
                  <w:tcW w:w="432" w:type="pct"/>
                  <w:vAlign w:val="center"/>
                </w:tcPr>
                <w:p w14:paraId="3BA52B4B">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bCs/>
                      <w:color w:val="auto"/>
                      <w:szCs w:val="21"/>
                      <w:highlight w:val="none"/>
                    </w:rPr>
                    <w:t>固态</w:t>
                  </w:r>
                </w:p>
              </w:tc>
              <w:tc>
                <w:tcPr>
                  <w:tcW w:w="876" w:type="pct"/>
                  <w:vAlign w:val="center"/>
                </w:tcPr>
                <w:p w14:paraId="2A0E1CDA">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0</w:t>
                  </w:r>
                </w:p>
              </w:tc>
              <w:tc>
                <w:tcPr>
                  <w:tcW w:w="1071" w:type="pct"/>
                  <w:vAlign w:val="center"/>
                </w:tcPr>
                <w:p w14:paraId="21654B8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Cs w:val="21"/>
                      <w:highlight w:val="none"/>
                    </w:rPr>
                  </w:pPr>
                  <w:r>
                    <w:rPr>
                      <w:rFonts w:hint="eastAsia" w:cs="Times New Roman"/>
                      <w:color w:val="auto"/>
                      <w:sz w:val="21"/>
                      <w:szCs w:val="21"/>
                      <w:highlight w:val="none"/>
                      <w:lang w:val="en-US" w:eastAsia="zh-CN"/>
                    </w:rPr>
                    <w:t>2830.5</w:t>
                  </w:r>
                </w:p>
              </w:tc>
              <w:tc>
                <w:tcPr>
                  <w:tcW w:w="963" w:type="pct"/>
                  <w:shd w:val="clear" w:color="auto" w:fill="auto"/>
                  <w:vAlign w:val="center"/>
                </w:tcPr>
                <w:p w14:paraId="3E1A91A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+2830.5</w:t>
                  </w:r>
                </w:p>
              </w:tc>
            </w:tr>
            <w:tr w14:paraId="2534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72B2B18D">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rPr>
                    <w:t>7</w:t>
                  </w:r>
                </w:p>
              </w:tc>
              <w:tc>
                <w:tcPr>
                  <w:tcW w:w="834" w:type="pct"/>
                  <w:shd w:val="clear" w:color="auto" w:fill="auto"/>
                  <w:vAlign w:val="center"/>
                </w:tcPr>
                <w:p w14:paraId="6602802F">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微生物菌剂</w:t>
                  </w:r>
                </w:p>
              </w:tc>
              <w:tc>
                <w:tcPr>
                  <w:tcW w:w="574" w:type="pct"/>
                  <w:vAlign w:val="center"/>
                </w:tcPr>
                <w:p w14:paraId="0575ADDE">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rPr>
                    <w:t>外购</w:t>
                  </w:r>
                </w:p>
              </w:tc>
              <w:tc>
                <w:tcPr>
                  <w:tcW w:w="432" w:type="pct"/>
                  <w:vAlign w:val="center"/>
                </w:tcPr>
                <w:p w14:paraId="2A8CF3C0">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bCs/>
                      <w:color w:val="auto"/>
                      <w:szCs w:val="21"/>
                      <w:highlight w:val="none"/>
                    </w:rPr>
                    <w:t>固态</w:t>
                  </w:r>
                </w:p>
              </w:tc>
              <w:tc>
                <w:tcPr>
                  <w:tcW w:w="876" w:type="pct"/>
                  <w:vAlign w:val="center"/>
                </w:tcPr>
                <w:p w14:paraId="031C3B26">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0</w:t>
                  </w:r>
                </w:p>
              </w:tc>
              <w:tc>
                <w:tcPr>
                  <w:tcW w:w="1071" w:type="pct"/>
                  <w:vAlign w:val="center"/>
                </w:tcPr>
                <w:p w14:paraId="68CA6BB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Cs w:val="21"/>
                      <w:highlight w:val="none"/>
                    </w:rPr>
                  </w:pPr>
                  <w:r>
                    <w:rPr>
                      <w:rFonts w:hint="eastAsia" w:cs="Times New Roman"/>
                      <w:color w:val="auto"/>
                      <w:sz w:val="21"/>
                      <w:szCs w:val="21"/>
                      <w:highlight w:val="none"/>
                      <w:lang w:val="en-US" w:eastAsia="zh-CN"/>
                    </w:rPr>
                    <w:t>2664</w:t>
                  </w:r>
                </w:p>
              </w:tc>
              <w:tc>
                <w:tcPr>
                  <w:tcW w:w="963" w:type="pct"/>
                  <w:shd w:val="clear" w:color="auto" w:fill="auto"/>
                  <w:vAlign w:val="center"/>
                </w:tcPr>
                <w:p w14:paraId="0431CC0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+2664</w:t>
                  </w:r>
                </w:p>
              </w:tc>
            </w:tr>
            <w:tr w14:paraId="668E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082A0F56">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rPr>
                    <w:t>8</w:t>
                  </w:r>
                </w:p>
              </w:tc>
              <w:tc>
                <w:tcPr>
                  <w:tcW w:w="834" w:type="pct"/>
                  <w:shd w:val="clear" w:color="auto" w:fill="auto"/>
                  <w:vAlign w:val="center"/>
                </w:tcPr>
                <w:p w14:paraId="4343AAC7">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color w:val="auto"/>
                      <w:highlight w:val="none"/>
                    </w:rPr>
                    <w:t>多元素矿物</w:t>
                  </w:r>
                </w:p>
              </w:tc>
              <w:tc>
                <w:tcPr>
                  <w:tcW w:w="574" w:type="pct"/>
                  <w:vAlign w:val="center"/>
                </w:tcPr>
                <w:p w14:paraId="13273DD3">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color w:val="auto"/>
                      <w:szCs w:val="21"/>
                      <w:highlight w:val="none"/>
                    </w:rPr>
                  </w:pPr>
                  <w:r>
                    <w:rPr>
                      <w:rFonts w:hint="eastAsia"/>
                      <w:color w:val="auto"/>
                      <w:szCs w:val="21"/>
                      <w:highlight w:val="none"/>
                    </w:rPr>
                    <w:t>外购</w:t>
                  </w:r>
                </w:p>
              </w:tc>
              <w:tc>
                <w:tcPr>
                  <w:tcW w:w="432" w:type="pct"/>
                  <w:shd w:val="clear" w:color="auto" w:fill="auto"/>
                  <w:vAlign w:val="center"/>
                </w:tcPr>
                <w:p w14:paraId="65209F1C">
                  <w:pPr>
                    <w:keepNext w:val="0"/>
                    <w:keepLines w:val="0"/>
                    <w:pageBreakBefore w:val="0"/>
                    <w:kinsoku/>
                    <w:wordWrap/>
                    <w:overflowPunct/>
                    <w:topLinePunct w:val="0"/>
                    <w:autoSpaceDE/>
                    <w:autoSpaceDN/>
                    <w:bidi w:val="0"/>
                    <w:adjustRightInd/>
                    <w:snapToGrid/>
                    <w:spacing w:line="320" w:lineRule="exact"/>
                    <w:jc w:val="center"/>
                    <w:rPr>
                      <w:color w:val="auto"/>
                      <w:szCs w:val="21"/>
                      <w:highlight w:val="none"/>
                    </w:rPr>
                  </w:pPr>
                  <w:r>
                    <w:rPr>
                      <w:rFonts w:hint="eastAsia"/>
                      <w:bCs/>
                      <w:color w:val="auto"/>
                      <w:szCs w:val="21"/>
                      <w:highlight w:val="none"/>
                    </w:rPr>
                    <w:t>固态</w:t>
                  </w:r>
                </w:p>
              </w:tc>
              <w:tc>
                <w:tcPr>
                  <w:tcW w:w="876" w:type="pct"/>
                  <w:shd w:val="clear" w:color="auto" w:fill="auto"/>
                  <w:vAlign w:val="center"/>
                </w:tcPr>
                <w:p w14:paraId="6CAD6104">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0</w:t>
                  </w:r>
                </w:p>
              </w:tc>
              <w:tc>
                <w:tcPr>
                  <w:tcW w:w="1071" w:type="pct"/>
                  <w:vAlign w:val="center"/>
                </w:tcPr>
                <w:p w14:paraId="2217D93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Cs w:val="21"/>
                      <w:highlight w:val="none"/>
                    </w:rPr>
                  </w:pPr>
                  <w:r>
                    <w:rPr>
                      <w:rFonts w:hint="eastAsia" w:cs="Times New Roman"/>
                      <w:color w:val="auto"/>
                      <w:sz w:val="21"/>
                      <w:szCs w:val="21"/>
                      <w:highlight w:val="none"/>
                      <w:lang w:val="en-US" w:eastAsia="zh-CN"/>
                    </w:rPr>
                    <w:t>8308.55</w:t>
                  </w:r>
                </w:p>
              </w:tc>
              <w:tc>
                <w:tcPr>
                  <w:tcW w:w="963" w:type="pct"/>
                  <w:shd w:val="clear" w:color="auto" w:fill="auto"/>
                  <w:vAlign w:val="center"/>
                </w:tcPr>
                <w:p w14:paraId="29B02D8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+8308.55</w:t>
                  </w:r>
                </w:p>
              </w:tc>
            </w:tr>
            <w:tr w14:paraId="4304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2CE81283">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default" w:eastAsia="宋体"/>
                      <w:color w:val="auto"/>
                      <w:szCs w:val="21"/>
                      <w:highlight w:val="none"/>
                      <w:lang w:val="en-US" w:eastAsia="zh-CN"/>
                    </w:rPr>
                  </w:pPr>
                  <w:r>
                    <w:rPr>
                      <w:rFonts w:hint="eastAsia"/>
                      <w:color w:val="auto"/>
                      <w:szCs w:val="21"/>
                      <w:highlight w:val="none"/>
                      <w:lang w:val="en-US" w:eastAsia="zh-CN"/>
                    </w:rPr>
                    <w:t>9</w:t>
                  </w:r>
                </w:p>
              </w:tc>
              <w:tc>
                <w:tcPr>
                  <w:tcW w:w="834" w:type="pct"/>
                  <w:shd w:val="clear" w:color="auto" w:fill="auto"/>
                  <w:vAlign w:val="center"/>
                </w:tcPr>
                <w:p w14:paraId="1049D7B2">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草木灰</w:t>
                  </w:r>
                </w:p>
              </w:tc>
              <w:tc>
                <w:tcPr>
                  <w:tcW w:w="574" w:type="pct"/>
                  <w:vAlign w:val="center"/>
                </w:tcPr>
                <w:p w14:paraId="7CF07EC1">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color w:val="auto"/>
                      <w:szCs w:val="21"/>
                      <w:highlight w:val="none"/>
                    </w:rPr>
                  </w:pPr>
                  <w:r>
                    <w:rPr>
                      <w:rFonts w:hint="eastAsia"/>
                      <w:color w:val="auto"/>
                      <w:szCs w:val="21"/>
                      <w:highlight w:val="none"/>
                    </w:rPr>
                    <w:t>外购</w:t>
                  </w:r>
                </w:p>
              </w:tc>
              <w:tc>
                <w:tcPr>
                  <w:tcW w:w="432" w:type="pct"/>
                  <w:shd w:val="clear" w:color="auto" w:fill="auto"/>
                  <w:vAlign w:val="center"/>
                </w:tcPr>
                <w:p w14:paraId="40FC35CB">
                  <w:pPr>
                    <w:keepNext w:val="0"/>
                    <w:keepLines w:val="0"/>
                    <w:pageBreakBefore w:val="0"/>
                    <w:kinsoku/>
                    <w:wordWrap/>
                    <w:overflowPunct/>
                    <w:topLinePunct w:val="0"/>
                    <w:autoSpaceDE/>
                    <w:autoSpaceDN/>
                    <w:bidi w:val="0"/>
                    <w:adjustRightInd/>
                    <w:snapToGrid/>
                    <w:spacing w:line="320" w:lineRule="exact"/>
                    <w:jc w:val="center"/>
                    <w:rPr>
                      <w:rFonts w:hint="eastAsia"/>
                      <w:bCs/>
                      <w:color w:val="auto"/>
                      <w:szCs w:val="21"/>
                      <w:highlight w:val="none"/>
                    </w:rPr>
                  </w:pPr>
                  <w:r>
                    <w:rPr>
                      <w:rFonts w:hint="eastAsia"/>
                      <w:bCs/>
                      <w:color w:val="auto"/>
                      <w:szCs w:val="21"/>
                      <w:highlight w:val="none"/>
                    </w:rPr>
                    <w:t>固态</w:t>
                  </w:r>
                </w:p>
              </w:tc>
              <w:tc>
                <w:tcPr>
                  <w:tcW w:w="876" w:type="pct"/>
                  <w:shd w:val="clear" w:color="auto" w:fill="auto"/>
                  <w:vAlign w:val="center"/>
                </w:tcPr>
                <w:p w14:paraId="0351FF7A">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0</w:t>
                  </w:r>
                </w:p>
              </w:tc>
              <w:tc>
                <w:tcPr>
                  <w:tcW w:w="1071" w:type="pct"/>
                  <w:vAlign w:val="center"/>
                </w:tcPr>
                <w:p w14:paraId="3908748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color w:val="auto"/>
                      <w:szCs w:val="21"/>
                      <w:highlight w:val="none"/>
                    </w:rPr>
                  </w:pPr>
                  <w:r>
                    <w:rPr>
                      <w:rFonts w:hint="eastAsia" w:cs="Times New Roman"/>
                      <w:color w:val="auto"/>
                      <w:sz w:val="21"/>
                      <w:szCs w:val="21"/>
                      <w:highlight w:val="none"/>
                      <w:lang w:val="en-US" w:eastAsia="zh-CN"/>
                    </w:rPr>
                    <w:t>1272.06</w:t>
                  </w:r>
                </w:p>
              </w:tc>
              <w:tc>
                <w:tcPr>
                  <w:tcW w:w="963" w:type="pct"/>
                  <w:shd w:val="clear" w:color="auto" w:fill="auto"/>
                  <w:vAlign w:val="center"/>
                </w:tcPr>
                <w:p w14:paraId="5E95BD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+1272.06</w:t>
                  </w:r>
                </w:p>
              </w:tc>
            </w:tr>
            <w:tr w14:paraId="42D2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vAlign w:val="center"/>
                </w:tcPr>
                <w:p w14:paraId="5D28AB30">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default"/>
                      <w:color w:val="auto"/>
                      <w:szCs w:val="21"/>
                      <w:highlight w:val="none"/>
                      <w:lang w:val="en-US" w:eastAsia="zh-CN"/>
                    </w:rPr>
                  </w:pPr>
                  <w:r>
                    <w:rPr>
                      <w:rFonts w:hint="eastAsia"/>
                      <w:color w:val="auto"/>
                      <w:szCs w:val="21"/>
                      <w:highlight w:val="none"/>
                      <w:lang w:val="en-US" w:eastAsia="zh-CN"/>
                    </w:rPr>
                    <w:t>10</w:t>
                  </w:r>
                </w:p>
              </w:tc>
              <w:tc>
                <w:tcPr>
                  <w:tcW w:w="834" w:type="pct"/>
                  <w:shd w:val="clear" w:color="auto" w:fill="auto"/>
                  <w:vAlign w:val="center"/>
                </w:tcPr>
                <w:p w14:paraId="080CD5B1">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eastAsia="宋体"/>
                      <w:color w:val="auto"/>
                      <w:highlight w:val="none"/>
                      <w:lang w:val="en-US" w:eastAsia="zh-CN"/>
                    </w:rPr>
                  </w:pPr>
                  <w:r>
                    <w:rPr>
                      <w:rFonts w:hint="eastAsia"/>
                      <w:color w:val="auto"/>
                      <w:highlight w:val="none"/>
                      <w:lang w:val="en-US" w:eastAsia="zh-CN"/>
                    </w:rPr>
                    <w:t>包装袋</w:t>
                  </w:r>
                </w:p>
              </w:tc>
              <w:tc>
                <w:tcPr>
                  <w:tcW w:w="574" w:type="pct"/>
                  <w:vAlign w:val="center"/>
                </w:tcPr>
                <w:p w14:paraId="6B632737">
                  <w:pPr>
                    <w:pStyle w:val="25"/>
                    <w:keepNext w:val="0"/>
                    <w:keepLines w:val="0"/>
                    <w:pageBreakBefore w:val="0"/>
                    <w:kinsoku/>
                    <w:wordWrap/>
                    <w:overflowPunct/>
                    <w:topLinePunct w:val="0"/>
                    <w:autoSpaceDE/>
                    <w:autoSpaceDN/>
                    <w:bidi w:val="0"/>
                    <w:adjustRightInd/>
                    <w:snapToGrid/>
                    <w:spacing w:after="0" w:line="320" w:lineRule="exact"/>
                    <w:ind w:left="0" w:leftChars="0" w:firstLine="0" w:firstLineChars="0"/>
                    <w:jc w:val="center"/>
                    <w:rPr>
                      <w:rFonts w:hint="eastAsia"/>
                      <w:color w:val="auto"/>
                      <w:szCs w:val="21"/>
                      <w:highlight w:val="none"/>
                    </w:rPr>
                  </w:pPr>
                  <w:r>
                    <w:rPr>
                      <w:rFonts w:hint="eastAsia"/>
                      <w:color w:val="auto"/>
                      <w:szCs w:val="21"/>
                      <w:highlight w:val="none"/>
                    </w:rPr>
                    <w:t>外购</w:t>
                  </w:r>
                </w:p>
              </w:tc>
              <w:tc>
                <w:tcPr>
                  <w:tcW w:w="432" w:type="pct"/>
                  <w:shd w:val="clear" w:color="auto" w:fill="auto"/>
                  <w:vAlign w:val="center"/>
                </w:tcPr>
                <w:p w14:paraId="7D386F98">
                  <w:pPr>
                    <w:keepNext w:val="0"/>
                    <w:keepLines w:val="0"/>
                    <w:pageBreakBefore w:val="0"/>
                    <w:kinsoku/>
                    <w:wordWrap/>
                    <w:overflowPunct/>
                    <w:topLinePunct w:val="0"/>
                    <w:autoSpaceDE/>
                    <w:autoSpaceDN/>
                    <w:bidi w:val="0"/>
                    <w:adjustRightInd/>
                    <w:snapToGrid/>
                    <w:spacing w:line="320" w:lineRule="exact"/>
                    <w:jc w:val="center"/>
                    <w:rPr>
                      <w:rFonts w:hint="eastAsia"/>
                      <w:bCs/>
                      <w:color w:val="auto"/>
                      <w:szCs w:val="21"/>
                      <w:highlight w:val="none"/>
                    </w:rPr>
                  </w:pPr>
                  <w:r>
                    <w:rPr>
                      <w:rFonts w:hint="eastAsia"/>
                      <w:bCs/>
                      <w:color w:val="auto"/>
                      <w:szCs w:val="21"/>
                      <w:highlight w:val="none"/>
                    </w:rPr>
                    <w:t>固态</w:t>
                  </w:r>
                </w:p>
              </w:tc>
              <w:tc>
                <w:tcPr>
                  <w:tcW w:w="876" w:type="pct"/>
                  <w:shd w:val="clear" w:color="auto" w:fill="auto"/>
                  <w:vAlign w:val="center"/>
                </w:tcPr>
                <w:p w14:paraId="68417EB4">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0</w:t>
                  </w:r>
                </w:p>
              </w:tc>
              <w:tc>
                <w:tcPr>
                  <w:tcW w:w="1071" w:type="pct"/>
                  <w:vAlign w:val="center"/>
                </w:tcPr>
                <w:p w14:paraId="6752FC3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86万（个）</w:t>
                  </w:r>
                </w:p>
              </w:tc>
              <w:tc>
                <w:tcPr>
                  <w:tcW w:w="963" w:type="pct"/>
                  <w:shd w:val="clear" w:color="auto" w:fill="auto"/>
                  <w:vAlign w:val="center"/>
                </w:tcPr>
                <w:p w14:paraId="2A20394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+86万（个）</w:t>
                  </w:r>
                </w:p>
              </w:tc>
            </w:tr>
          </w:tbl>
          <w:p w14:paraId="6F7116C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b/>
                <w:bCs/>
                <w:color w:val="auto"/>
                <w:kern w:val="0"/>
                <w:szCs w:val="21"/>
                <w:highlight w:val="none"/>
              </w:rPr>
            </w:pPr>
            <w:r>
              <w:rPr>
                <w:rFonts w:hint="eastAsia"/>
                <w:color w:val="auto"/>
                <w:kern w:val="0"/>
                <w:sz w:val="24"/>
                <w:highlight w:val="none"/>
              </w:rPr>
              <w:t>本次新增主要原辅材料理化性质见表2-6。</w:t>
            </w:r>
          </w:p>
          <w:p w14:paraId="16DCA8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Cs w:val="21"/>
                <w:highlight w:val="none"/>
              </w:rPr>
            </w:pPr>
            <w:r>
              <w:rPr>
                <w:rFonts w:hint="eastAsia"/>
                <w:b/>
                <w:bCs/>
                <w:color w:val="auto"/>
                <w:kern w:val="0"/>
                <w:szCs w:val="21"/>
                <w:highlight w:val="none"/>
              </w:rPr>
              <w:t>表2-6  项目主要原辅材料理化性质一览表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7"/>
              <w:gridCol w:w="7401"/>
            </w:tblGrid>
            <w:tr w14:paraId="768F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1" w:type="pct"/>
                  <w:vAlign w:val="center"/>
                </w:tcPr>
                <w:p w14:paraId="2CBB590C">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b/>
                      <w:bCs/>
                      <w:color w:val="auto"/>
                      <w:kern w:val="0"/>
                      <w:szCs w:val="21"/>
                      <w:highlight w:val="none"/>
                    </w:rPr>
                  </w:pPr>
                  <w:r>
                    <w:rPr>
                      <w:b/>
                      <w:bCs/>
                      <w:color w:val="auto"/>
                      <w:kern w:val="0"/>
                      <w:szCs w:val="21"/>
                      <w:highlight w:val="none"/>
                    </w:rPr>
                    <w:t>物料名称</w:t>
                  </w:r>
                </w:p>
              </w:tc>
              <w:tc>
                <w:tcPr>
                  <w:tcW w:w="4298" w:type="pct"/>
                  <w:vAlign w:val="center"/>
                </w:tcPr>
                <w:p w14:paraId="32951988">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b/>
                      <w:bCs/>
                      <w:color w:val="auto"/>
                      <w:kern w:val="0"/>
                      <w:szCs w:val="21"/>
                      <w:highlight w:val="none"/>
                    </w:rPr>
                  </w:pPr>
                  <w:r>
                    <w:rPr>
                      <w:b/>
                      <w:bCs/>
                      <w:color w:val="auto"/>
                      <w:kern w:val="0"/>
                      <w:szCs w:val="21"/>
                      <w:highlight w:val="none"/>
                    </w:rPr>
                    <w:t>理化性质</w:t>
                  </w:r>
                </w:p>
              </w:tc>
            </w:tr>
            <w:tr w14:paraId="3471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1" w:type="pct"/>
                  <w:vAlign w:val="center"/>
                </w:tcPr>
                <w:p w14:paraId="4AEF39F7">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0"/>
                      <w:szCs w:val="21"/>
                      <w:highlight w:val="none"/>
                    </w:rPr>
                  </w:pPr>
                  <w:r>
                    <w:rPr>
                      <w:rFonts w:hint="eastAsia"/>
                      <w:color w:val="auto"/>
                      <w:kern w:val="0"/>
                      <w:szCs w:val="21"/>
                      <w:highlight w:val="none"/>
                    </w:rPr>
                    <w:t>尾菜废水</w:t>
                  </w:r>
                </w:p>
              </w:tc>
              <w:tc>
                <w:tcPr>
                  <w:tcW w:w="4298" w:type="pct"/>
                  <w:vAlign w:val="center"/>
                </w:tcPr>
                <w:p w14:paraId="20FF678B">
                  <w:pPr>
                    <w:keepNext w:val="0"/>
                    <w:keepLines w:val="0"/>
                    <w:pageBreakBefore w:val="0"/>
                    <w:widowControl w:val="0"/>
                    <w:kinsoku/>
                    <w:wordWrap/>
                    <w:overflowPunct/>
                    <w:topLinePunct w:val="0"/>
                    <w:autoSpaceDE/>
                    <w:autoSpaceDN/>
                    <w:bidi w:val="0"/>
                    <w:adjustRightInd/>
                    <w:snapToGrid/>
                    <w:spacing w:beforeAutospacing="0" w:afterAutospacing="0" w:line="320" w:lineRule="exact"/>
                    <w:textAlignment w:val="auto"/>
                    <w:rPr>
                      <w:color w:val="auto"/>
                      <w:kern w:val="0"/>
                      <w:highlight w:val="none"/>
                    </w:rPr>
                  </w:pPr>
                  <w:r>
                    <w:rPr>
                      <w:color w:val="auto"/>
                      <w:highlight w:val="none"/>
                    </w:rPr>
                    <w:t>尾菜废水的核心理化特征是高有机物、高悬浮物、高氮磷及一定的酸性，属于典型的高浓度有机废水。</w:t>
                  </w:r>
                </w:p>
              </w:tc>
            </w:tr>
            <w:tr w14:paraId="2D4B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1" w:type="pct"/>
                  <w:vAlign w:val="center"/>
                </w:tcPr>
                <w:p w14:paraId="3D8294BD">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0"/>
                      <w:szCs w:val="21"/>
                      <w:highlight w:val="none"/>
                    </w:rPr>
                  </w:pPr>
                  <w:r>
                    <w:rPr>
                      <w:rFonts w:hint="eastAsia"/>
                      <w:color w:val="auto"/>
                      <w:kern w:val="0"/>
                      <w:szCs w:val="21"/>
                      <w:highlight w:val="none"/>
                    </w:rPr>
                    <w:t>糖蜜</w:t>
                  </w:r>
                </w:p>
              </w:tc>
              <w:tc>
                <w:tcPr>
                  <w:tcW w:w="4298" w:type="pct"/>
                  <w:vAlign w:val="center"/>
                </w:tcPr>
                <w:p w14:paraId="10FC7384">
                  <w:pPr>
                    <w:keepNext w:val="0"/>
                    <w:keepLines w:val="0"/>
                    <w:pageBreakBefore w:val="0"/>
                    <w:widowControl w:val="0"/>
                    <w:kinsoku/>
                    <w:wordWrap/>
                    <w:overflowPunct/>
                    <w:topLinePunct w:val="0"/>
                    <w:autoSpaceDE/>
                    <w:autoSpaceDN/>
                    <w:bidi w:val="0"/>
                    <w:adjustRightInd/>
                    <w:snapToGrid/>
                    <w:spacing w:beforeAutospacing="0" w:afterAutospacing="0" w:line="320" w:lineRule="exact"/>
                    <w:textAlignment w:val="auto"/>
                    <w:rPr>
                      <w:b/>
                      <w:bCs/>
                      <w:color w:val="auto"/>
                      <w:kern w:val="0"/>
                      <w:szCs w:val="21"/>
                      <w:highlight w:val="none"/>
                    </w:rPr>
                  </w:pPr>
                  <w:r>
                    <w:rPr>
                      <w:rFonts w:hint="eastAsia"/>
                      <w:color w:val="auto"/>
                      <w:kern w:val="0"/>
                      <w:highlight w:val="none"/>
                    </w:rPr>
                    <w:t>糖蜜亦称甜蜜素、环己基氨基磺酸钠，白色针状、片状结晶或结晶状粉末。无臭。味甜，其稀溶液的甜度约为蔗糖的30倍，是一种黏稠、黑褐色、呈半流动的物体，是制糖工业的副产品之一，依照制糖原料不同，形成的糖蜜副产品可分为甘蔗糖蜜、甜菜糖蜜和淀粉糖蜜。</w:t>
                  </w:r>
                </w:p>
              </w:tc>
            </w:tr>
            <w:tr w14:paraId="17B6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1" w:type="pct"/>
                  <w:vAlign w:val="center"/>
                </w:tcPr>
                <w:p w14:paraId="45B3ACA9">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0"/>
                      <w:szCs w:val="21"/>
                      <w:highlight w:val="none"/>
                    </w:rPr>
                  </w:pPr>
                  <w:r>
                    <w:rPr>
                      <w:rFonts w:hint="eastAsia"/>
                      <w:color w:val="auto"/>
                      <w:szCs w:val="21"/>
                      <w:highlight w:val="none"/>
                    </w:rPr>
                    <w:t>冰醋酸</w:t>
                  </w:r>
                </w:p>
              </w:tc>
              <w:tc>
                <w:tcPr>
                  <w:tcW w:w="4298" w:type="pct"/>
                  <w:vAlign w:val="center"/>
                </w:tcPr>
                <w:p w14:paraId="1FF9FAD6">
                  <w:pPr>
                    <w:keepNext w:val="0"/>
                    <w:keepLines w:val="0"/>
                    <w:pageBreakBefore w:val="0"/>
                    <w:widowControl w:val="0"/>
                    <w:kinsoku/>
                    <w:wordWrap/>
                    <w:overflowPunct/>
                    <w:topLinePunct w:val="0"/>
                    <w:autoSpaceDE/>
                    <w:autoSpaceDN/>
                    <w:bidi w:val="0"/>
                    <w:adjustRightInd/>
                    <w:snapToGrid/>
                    <w:spacing w:beforeAutospacing="0" w:afterAutospacing="0" w:line="320" w:lineRule="exact"/>
                    <w:textAlignment w:val="auto"/>
                    <w:rPr>
                      <w:color w:val="auto"/>
                      <w:kern w:val="0"/>
                      <w:highlight w:val="none"/>
                    </w:rPr>
                  </w:pPr>
                  <w:r>
                    <w:rPr>
                      <w:color w:val="auto"/>
                      <w:highlight w:val="none"/>
                    </w:rPr>
                    <w:t>冰醋酸为无色透明液体，具有强烈刺激性气味，低温（＜16.6℃）下凝固为冰状晶体（故名）。其熔点为16.6℃，沸点为117.9℃，密度为1.049 g/cm³（20℃）。易溶于水、乙醇、乙醚等极性溶剂，不溶于二硫化碳等非极性溶剂。化学性质上，冰醋酸具有弱酸性（pKa≈4.76），能与碱、活泼金属、金属氧化物及碳酸盐反应生成相应盐类；可与醇类发生酯化反应（可逆）；其羧基中的羟基可被取代，生成酰氯、酸酐、酰胺等衍生物；高温（＞440℃）下分解为甲烷和二氧化碳（或乙烯酮和水）。常温下稳定，不易被氧化或发生加成反应。</w:t>
                  </w:r>
                </w:p>
              </w:tc>
            </w:tr>
            <w:tr w14:paraId="49F2E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1" w:type="pct"/>
                  <w:vAlign w:val="center"/>
                </w:tcPr>
                <w:p w14:paraId="42986CEB">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szCs w:val="21"/>
                      <w:highlight w:val="none"/>
                    </w:rPr>
                  </w:pPr>
                  <w:r>
                    <w:rPr>
                      <w:rFonts w:hint="eastAsia"/>
                      <w:color w:val="auto"/>
                      <w:szCs w:val="21"/>
                      <w:highlight w:val="none"/>
                    </w:rPr>
                    <w:t>聚谷氨酸</w:t>
                  </w:r>
                </w:p>
              </w:tc>
              <w:tc>
                <w:tcPr>
                  <w:tcW w:w="4298" w:type="pct"/>
                  <w:vAlign w:val="center"/>
                </w:tcPr>
                <w:p w14:paraId="0A96A3C7">
                  <w:pPr>
                    <w:keepNext w:val="0"/>
                    <w:keepLines w:val="0"/>
                    <w:pageBreakBefore w:val="0"/>
                    <w:widowControl w:val="0"/>
                    <w:kinsoku/>
                    <w:wordWrap/>
                    <w:overflowPunct/>
                    <w:topLinePunct w:val="0"/>
                    <w:autoSpaceDE/>
                    <w:autoSpaceDN/>
                    <w:bidi w:val="0"/>
                    <w:adjustRightInd/>
                    <w:snapToGrid/>
                    <w:spacing w:beforeAutospacing="0" w:afterAutospacing="0" w:line="320" w:lineRule="exact"/>
                    <w:textAlignment w:val="auto"/>
                    <w:rPr>
                      <w:color w:val="auto"/>
                      <w:highlight w:val="none"/>
                    </w:rPr>
                  </w:pPr>
                  <w:r>
                    <w:rPr>
                      <w:rFonts w:hint="eastAsia"/>
                      <w:color w:val="auto"/>
                      <w:szCs w:val="21"/>
                      <w:highlight w:val="none"/>
                    </w:rPr>
                    <w:t xml:space="preserve">用作增效剂。聚谷氨酸（γ-PGA）是由谷氨酸单体通过γ-酰胺键聚合形成的水溶性高分子聚合物，通常采用微生物发酵工艺制备，外观呈白色或淡黄色粉末状，易溶于水形成高粘度胶体溶液。其分子结构中含有大量羧基官能团，具备优异的螯合性能、保水性及生物降解性，在本项目中主要作为肥料增效剂应用，可与硝酸钾、磷酸二氢钾等元素型营养盐协同作用，减少养分流失并提升植物对氮、磷、钾等元素的吸收效率。化学性质方面，聚谷氨酸在自然环境中可被土壤微生物逐步降解为谷氨酸单体，最终转化为二氧化碳和水，无残留污染风险；在弱酸或弱碱条件下可发生部分水解反应，但水解产物仍具有生物相容性。项目所用聚谷氨酸的纯度为95%以上，年消耗量约120吨，其发酵生产环节的主要副产物为菌体蛋白，经分离干燥后可作为饲料原料实现综合利用，符合循环经济要求。  </w:t>
                  </w:r>
                </w:p>
              </w:tc>
            </w:tr>
            <w:tr w14:paraId="6AD7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1" w:type="pct"/>
                  <w:vAlign w:val="center"/>
                </w:tcPr>
                <w:p w14:paraId="1A449973">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szCs w:val="21"/>
                      <w:highlight w:val="none"/>
                    </w:rPr>
                  </w:pPr>
                  <w:r>
                    <w:rPr>
                      <w:rFonts w:hint="eastAsia"/>
                      <w:color w:val="auto"/>
                      <w:szCs w:val="21"/>
                      <w:highlight w:val="none"/>
                    </w:rPr>
                    <w:t>多生菌脂</w:t>
                  </w:r>
                </w:p>
              </w:tc>
              <w:tc>
                <w:tcPr>
                  <w:tcW w:w="4298" w:type="pct"/>
                  <w:vAlign w:val="center"/>
                </w:tcPr>
                <w:p w14:paraId="03D80AB2">
                  <w:pPr>
                    <w:keepNext w:val="0"/>
                    <w:keepLines w:val="0"/>
                    <w:pageBreakBefore w:val="0"/>
                    <w:widowControl w:val="0"/>
                    <w:kinsoku/>
                    <w:wordWrap/>
                    <w:overflowPunct/>
                    <w:topLinePunct w:val="0"/>
                    <w:autoSpaceDE/>
                    <w:autoSpaceDN/>
                    <w:bidi w:val="0"/>
                    <w:adjustRightInd/>
                    <w:snapToGrid/>
                    <w:spacing w:beforeAutospacing="0" w:afterAutospacing="0" w:line="320" w:lineRule="exact"/>
                    <w:textAlignment w:val="auto"/>
                    <w:rPr>
                      <w:color w:val="auto"/>
                      <w:szCs w:val="21"/>
                      <w:highlight w:val="none"/>
                    </w:rPr>
                  </w:pPr>
                  <w:r>
                    <w:rPr>
                      <w:rFonts w:hint="eastAsia"/>
                      <w:color w:val="auto"/>
                      <w:highlight w:val="none"/>
                    </w:rPr>
                    <w:t>用作增效剂。</w:t>
                  </w:r>
                  <w:r>
                    <w:rPr>
                      <w:rFonts w:hint="eastAsia"/>
                      <w:color w:val="auto"/>
                      <w:szCs w:val="21"/>
                      <w:highlight w:val="none"/>
                    </w:rPr>
                    <w:t>是由特定微生物代谢产生的脂溶性生物活性物质，通常通过固态发酵工艺制备，外观呈浅褐色膏状或粉末状，具有良好的分散性与兼容性。其分子结构中含有酯键、羟基及活性肽段等官能团，具备突出的界面活性、养分缓释调控能力及抗逆诱导活性。在本项目中作为肥料增效剂，可与聚谷氨酸协同作用，进一步改善土壤团粒结构，增强根系对中微量元素（如钙、镁、锌等）的吸附与转运效率，同时能抑制部分土传病原菌的生长，提升作物抗逆性。环境行为方面，多生菌脂在土壤中可通过微生物酶解作用逐步分解为脂肪酸及小分子肽类，最终矿化为二氧化碳和水，无长期残留风险；在中性至微碱性环境下稳定性较好，遇强酸会发生酯键断裂，但降解产物仍可被土壤微生物利用。项目所用多生菌脂的纯度为90%以上，年消耗量约80吨，其发酵生产过程中的主要副产物为发酵残渣，经腐熟处理后可作为</w:t>
                  </w:r>
                  <w:r>
                    <w:rPr>
                      <w:rFonts w:hint="eastAsia"/>
                      <w:color w:val="auto"/>
                      <w:szCs w:val="21"/>
                      <w:highlight w:val="none"/>
                      <w:lang w:eastAsia="zh-CN"/>
                    </w:rPr>
                    <w:t>复合微生物肥</w:t>
                  </w:r>
                  <w:r>
                    <w:rPr>
                      <w:rFonts w:hint="eastAsia"/>
                      <w:color w:val="auto"/>
                      <w:szCs w:val="21"/>
                      <w:highlight w:val="none"/>
                    </w:rPr>
                    <w:t>料原料回用于农田，实现资源循环利用。</w:t>
                  </w:r>
                </w:p>
              </w:tc>
            </w:tr>
            <w:tr w14:paraId="3327B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1" w:type="pct"/>
                  <w:vAlign w:val="center"/>
                </w:tcPr>
                <w:p w14:paraId="444A4FB3">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szCs w:val="21"/>
                      <w:highlight w:val="none"/>
                    </w:rPr>
                  </w:pPr>
                  <w:r>
                    <w:rPr>
                      <w:rFonts w:hint="eastAsia"/>
                      <w:color w:val="auto"/>
                      <w:szCs w:val="21"/>
                      <w:highlight w:val="none"/>
                    </w:rPr>
                    <w:t>菜渣</w:t>
                  </w:r>
                </w:p>
              </w:tc>
              <w:tc>
                <w:tcPr>
                  <w:tcW w:w="4298" w:type="pct"/>
                  <w:vAlign w:val="center"/>
                </w:tcPr>
                <w:p w14:paraId="3D60C54E">
                  <w:pPr>
                    <w:keepNext w:val="0"/>
                    <w:keepLines w:val="0"/>
                    <w:pageBreakBefore w:val="0"/>
                    <w:widowControl w:val="0"/>
                    <w:kinsoku/>
                    <w:wordWrap/>
                    <w:overflowPunct/>
                    <w:topLinePunct w:val="0"/>
                    <w:autoSpaceDE/>
                    <w:autoSpaceDN/>
                    <w:bidi w:val="0"/>
                    <w:adjustRightInd/>
                    <w:snapToGrid/>
                    <w:spacing w:beforeAutospacing="0" w:afterAutospacing="0" w:line="320" w:lineRule="exact"/>
                    <w:textAlignment w:val="auto"/>
                    <w:rPr>
                      <w:color w:val="auto"/>
                      <w:highlight w:val="none"/>
                    </w:rPr>
                  </w:pPr>
                  <w:r>
                    <w:rPr>
                      <w:rFonts w:hint="eastAsia"/>
                      <w:color w:val="auto"/>
                      <w:highlight w:val="none"/>
                    </w:rPr>
                    <w:t>饲料生产线产出菜渣，含水率为</w:t>
                  </w:r>
                  <w:r>
                    <w:rPr>
                      <w:rFonts w:hint="eastAsia"/>
                      <w:color w:val="auto"/>
                      <w:highlight w:val="none"/>
                      <w:lang w:val="en-US" w:eastAsia="zh-CN"/>
                    </w:rPr>
                    <w:t>66.7</w:t>
                  </w:r>
                  <w:r>
                    <w:rPr>
                      <w:rFonts w:hint="eastAsia"/>
                      <w:color w:val="auto"/>
                      <w:highlight w:val="none"/>
                    </w:rPr>
                    <w:t>%</w:t>
                  </w:r>
                </w:p>
              </w:tc>
            </w:tr>
            <w:tr w14:paraId="22A7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1" w:type="pct"/>
                  <w:vAlign w:val="center"/>
                </w:tcPr>
                <w:p w14:paraId="01E0CC21">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硫酸铵</w:t>
                  </w:r>
                </w:p>
              </w:tc>
              <w:tc>
                <w:tcPr>
                  <w:tcW w:w="4298" w:type="pct"/>
                  <w:vAlign w:val="center"/>
                </w:tcPr>
                <w:p w14:paraId="423BF666">
                  <w:pPr>
                    <w:keepNext w:val="0"/>
                    <w:keepLines w:val="0"/>
                    <w:pageBreakBefore w:val="0"/>
                    <w:widowControl w:val="0"/>
                    <w:kinsoku/>
                    <w:wordWrap/>
                    <w:overflowPunct/>
                    <w:topLinePunct w:val="0"/>
                    <w:autoSpaceDE/>
                    <w:autoSpaceDN/>
                    <w:bidi w:val="0"/>
                    <w:adjustRightInd/>
                    <w:snapToGrid/>
                    <w:spacing w:beforeAutospacing="0" w:afterAutospacing="0" w:line="320" w:lineRule="exact"/>
                    <w:textAlignment w:val="auto"/>
                    <w:rPr>
                      <w:rFonts w:hint="eastAsia"/>
                      <w:color w:val="auto"/>
                      <w:highlight w:val="none"/>
                    </w:rPr>
                  </w:pPr>
                  <w:r>
                    <w:rPr>
                      <w:rFonts w:hint="eastAsia"/>
                      <w:color w:val="auto"/>
                      <w:highlight w:val="none"/>
                    </w:rPr>
                    <w:t>硫酸铵是一种无机物，化学式为(NH</w:t>
                  </w:r>
                  <w:r>
                    <w:rPr>
                      <w:rFonts w:hint="eastAsia"/>
                      <w:color w:val="auto"/>
                      <w:highlight w:val="none"/>
                      <w:vertAlign w:val="subscript"/>
                    </w:rPr>
                    <w:t>4</w:t>
                  </w:r>
                  <w:r>
                    <w:rPr>
                      <w:rFonts w:hint="eastAsia"/>
                      <w:color w:val="auto"/>
                      <w:highlight w:val="none"/>
                    </w:rPr>
                    <w:t>)</w:t>
                  </w:r>
                  <w:r>
                    <w:rPr>
                      <w:rFonts w:hint="eastAsia"/>
                      <w:color w:val="auto"/>
                      <w:highlight w:val="none"/>
                      <w:vertAlign w:val="subscript"/>
                    </w:rPr>
                    <w:t>2</w:t>
                  </w:r>
                  <w:r>
                    <w:rPr>
                      <w:rFonts w:hint="eastAsia"/>
                      <w:color w:val="auto"/>
                      <w:highlight w:val="none"/>
                    </w:rPr>
                    <w:t>SO</w:t>
                  </w:r>
                  <w:r>
                    <w:rPr>
                      <w:rFonts w:hint="eastAsia"/>
                      <w:color w:val="auto"/>
                      <w:highlight w:val="none"/>
                      <w:vertAlign w:val="subscript"/>
                    </w:rPr>
                    <w:t>4</w:t>
                  </w:r>
                  <w:r>
                    <w:rPr>
                      <w:rFonts w:hint="eastAsia"/>
                      <w:color w:val="auto"/>
                      <w:highlight w:val="none"/>
                    </w:rPr>
                    <w:t>，无色结晶或白色颗粒，无气味。280℃以上分解。水中溶解度：0℃时70.6g，100℃时103.8g。不溶于乙醇和丙酮。0.1mol/L水溶液的pH为5.5。相对密度1.77。折光率1.521。硫酸铵主要用作肥料，适用于各种土壤和作物。</w:t>
                  </w:r>
                </w:p>
              </w:tc>
            </w:tr>
            <w:tr w14:paraId="314C0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1" w:type="pct"/>
                  <w:vAlign w:val="center"/>
                </w:tcPr>
                <w:p w14:paraId="2DCFFE75">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color w:val="auto"/>
                      <w:szCs w:val="21"/>
                      <w:highlight w:val="none"/>
                    </w:rPr>
                  </w:pPr>
                  <w:r>
                    <w:rPr>
                      <w:rFonts w:hint="eastAsia"/>
                      <w:color w:val="auto"/>
                      <w:highlight w:val="none"/>
                    </w:rPr>
                    <w:t>磷酸一铵</w:t>
                  </w:r>
                </w:p>
              </w:tc>
              <w:tc>
                <w:tcPr>
                  <w:tcW w:w="4298" w:type="pct"/>
                  <w:vAlign w:val="center"/>
                </w:tcPr>
                <w:p w14:paraId="4D21EC11">
                  <w:pPr>
                    <w:keepNext w:val="0"/>
                    <w:keepLines w:val="0"/>
                    <w:pageBreakBefore w:val="0"/>
                    <w:widowControl w:val="0"/>
                    <w:kinsoku/>
                    <w:wordWrap/>
                    <w:overflowPunct/>
                    <w:topLinePunct w:val="0"/>
                    <w:autoSpaceDE/>
                    <w:autoSpaceDN/>
                    <w:bidi w:val="0"/>
                    <w:adjustRightInd/>
                    <w:snapToGrid/>
                    <w:spacing w:beforeAutospacing="0" w:afterAutospacing="0" w:line="320" w:lineRule="exact"/>
                    <w:textAlignment w:val="auto"/>
                    <w:rPr>
                      <w:rFonts w:hint="eastAsia"/>
                      <w:color w:val="auto"/>
                      <w:highlight w:val="none"/>
                    </w:rPr>
                  </w:pPr>
                  <w:r>
                    <w:rPr>
                      <w:rFonts w:hint="eastAsia"/>
                      <w:color w:val="auto"/>
                      <w:highlight w:val="none"/>
                    </w:rPr>
                    <w:t>是一种白色粉末，化学式为NH</w:t>
                  </w:r>
                  <w:r>
                    <w:rPr>
                      <w:rFonts w:hint="eastAsia"/>
                      <w:color w:val="auto"/>
                      <w:highlight w:val="none"/>
                      <w:vertAlign w:val="subscript"/>
                    </w:rPr>
                    <w:t>4</w:t>
                  </w:r>
                  <w:r>
                    <w:rPr>
                      <w:rFonts w:hint="eastAsia"/>
                      <w:color w:val="auto"/>
                      <w:highlight w:val="none"/>
                    </w:rPr>
                    <w:t>H</w:t>
                  </w:r>
                  <w:r>
                    <w:rPr>
                      <w:rFonts w:hint="eastAsia"/>
                      <w:color w:val="auto"/>
                      <w:highlight w:val="none"/>
                      <w:vertAlign w:val="subscript"/>
                    </w:rPr>
                    <w:t>2</w:t>
                  </w:r>
                  <w:r>
                    <w:rPr>
                      <w:rFonts w:hint="eastAsia"/>
                      <w:color w:val="auto"/>
                      <w:highlight w:val="none"/>
                    </w:rPr>
                    <w:t>PO</w:t>
                  </w:r>
                  <w:r>
                    <w:rPr>
                      <w:rFonts w:hint="eastAsia"/>
                      <w:color w:val="auto"/>
                      <w:highlight w:val="none"/>
                      <w:vertAlign w:val="subscript"/>
                    </w:rPr>
                    <w:t>4</w:t>
                  </w:r>
                  <w:r>
                    <w:rPr>
                      <w:rFonts w:hint="eastAsia"/>
                      <w:color w:val="auto"/>
                      <w:highlight w:val="none"/>
                    </w:rPr>
                    <w:t>，加热会分解成偏磷酸铵（NH</w:t>
                  </w:r>
                  <w:r>
                    <w:rPr>
                      <w:rFonts w:hint="eastAsia"/>
                      <w:color w:val="auto"/>
                      <w:highlight w:val="none"/>
                      <w:vertAlign w:val="subscript"/>
                    </w:rPr>
                    <w:t>4</w:t>
                  </w:r>
                  <w:r>
                    <w:rPr>
                      <w:rFonts w:hint="eastAsia"/>
                      <w:color w:val="auto"/>
                      <w:highlight w:val="none"/>
                    </w:rPr>
                    <w:t>PO</w:t>
                  </w:r>
                  <w:r>
                    <w:rPr>
                      <w:rFonts w:hint="eastAsia"/>
                      <w:color w:val="auto"/>
                      <w:highlight w:val="none"/>
                      <w:vertAlign w:val="subscript"/>
                    </w:rPr>
                    <w:t>3</w:t>
                  </w:r>
                  <w:r>
                    <w:rPr>
                      <w:rFonts w:hint="eastAsia"/>
                      <w:color w:val="auto"/>
                      <w:highlight w:val="none"/>
                    </w:rPr>
                    <w:t>），在空气中稳定。微溶于乙醇，不溶于丙酮。水溶液呈酸性，PH 值为4.3。常温下( 20℃)在水中的溶解度为37.4go相对密度1.80。熔点190C。折光率1.525。磷酸一铵在空气中稳定。无氧化还原性:遇高温、酸碱、氧化还原性物质不会燃烧、爆炸；温度高于熔点时分解失去氨和水，形成偏磷酸铵和磷酸和混合物。在100C时有小部分分解:其水溶液呈酸性。</w:t>
                  </w:r>
                </w:p>
              </w:tc>
            </w:tr>
            <w:tr w14:paraId="7EB82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1" w:type="pct"/>
                  <w:vAlign w:val="center"/>
                </w:tcPr>
                <w:p w14:paraId="464017B0">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color w:val="auto"/>
                      <w:highlight w:val="none"/>
                    </w:rPr>
                  </w:pPr>
                  <w:r>
                    <w:rPr>
                      <w:rFonts w:hint="eastAsia"/>
                      <w:color w:val="auto"/>
                      <w:highlight w:val="none"/>
                    </w:rPr>
                    <w:t>磷酸</w:t>
                  </w:r>
                </w:p>
                <w:p w14:paraId="4BA770CC">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color w:val="auto"/>
                      <w:szCs w:val="21"/>
                      <w:highlight w:val="none"/>
                    </w:rPr>
                  </w:pPr>
                  <w:r>
                    <w:rPr>
                      <w:rFonts w:hint="eastAsia"/>
                      <w:color w:val="auto"/>
                      <w:highlight w:val="none"/>
                    </w:rPr>
                    <w:t>二氢钾</w:t>
                  </w:r>
                </w:p>
              </w:tc>
              <w:tc>
                <w:tcPr>
                  <w:tcW w:w="4298" w:type="pct"/>
                  <w:vAlign w:val="center"/>
                </w:tcPr>
                <w:p w14:paraId="2756B15A">
                  <w:pPr>
                    <w:keepNext w:val="0"/>
                    <w:keepLines w:val="0"/>
                    <w:pageBreakBefore w:val="0"/>
                    <w:widowControl w:val="0"/>
                    <w:kinsoku/>
                    <w:wordWrap/>
                    <w:overflowPunct/>
                    <w:topLinePunct w:val="0"/>
                    <w:autoSpaceDE/>
                    <w:autoSpaceDN/>
                    <w:bidi w:val="0"/>
                    <w:adjustRightInd/>
                    <w:snapToGrid/>
                    <w:spacing w:beforeAutospacing="0" w:afterAutospacing="0" w:line="320" w:lineRule="exact"/>
                    <w:textAlignment w:val="auto"/>
                    <w:rPr>
                      <w:rFonts w:hint="eastAsia"/>
                      <w:color w:val="auto"/>
                      <w:highlight w:val="none"/>
                    </w:rPr>
                  </w:pPr>
                  <w:r>
                    <w:rPr>
                      <w:rFonts w:hint="eastAsia"/>
                      <w:color w:val="auto"/>
                      <w:highlight w:val="none"/>
                    </w:rPr>
                    <w:t>无色四方晶体或白色结晶性粉末，相对密度2.338，熔点252.6℃。易溶于水，90℃时，溶解度为83.5g/100ml水，水溶液呈酸性，1%磷酸二氢钾溶液的pH值为4.6。不溶于醇。有潮解性。加热至400℃时熔化而成透明的液体，冷却后固化为不透明的玻璃状偏磷酸钾。</w:t>
                  </w:r>
                </w:p>
              </w:tc>
            </w:tr>
            <w:tr w14:paraId="1C12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1" w:type="pct"/>
                  <w:vAlign w:val="center"/>
                </w:tcPr>
                <w:p w14:paraId="521C28D1">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color w:val="auto"/>
                      <w:highlight w:val="none"/>
                    </w:rPr>
                  </w:pPr>
                  <w:r>
                    <w:rPr>
                      <w:rFonts w:hint="eastAsia"/>
                      <w:color w:val="auto"/>
                      <w:highlight w:val="none"/>
                    </w:rPr>
                    <w:t>氢氧化钾</w:t>
                  </w:r>
                </w:p>
              </w:tc>
              <w:tc>
                <w:tcPr>
                  <w:tcW w:w="4298" w:type="pct"/>
                  <w:vAlign w:val="center"/>
                </w:tcPr>
                <w:p w14:paraId="0ACF647C">
                  <w:pPr>
                    <w:keepNext w:val="0"/>
                    <w:keepLines w:val="0"/>
                    <w:pageBreakBefore w:val="0"/>
                    <w:widowControl w:val="0"/>
                    <w:kinsoku/>
                    <w:wordWrap/>
                    <w:overflowPunct/>
                    <w:topLinePunct w:val="0"/>
                    <w:autoSpaceDE/>
                    <w:autoSpaceDN/>
                    <w:bidi w:val="0"/>
                    <w:adjustRightInd/>
                    <w:snapToGrid/>
                    <w:spacing w:beforeAutospacing="0" w:afterAutospacing="0" w:line="320" w:lineRule="exact"/>
                    <w:textAlignment w:val="auto"/>
                    <w:rPr>
                      <w:rFonts w:hint="eastAsia"/>
                      <w:color w:val="auto"/>
                      <w:highlight w:val="none"/>
                    </w:rPr>
                  </w:pPr>
                  <w:r>
                    <w:rPr>
                      <w:rFonts w:hint="eastAsia"/>
                      <w:color w:val="auto"/>
                      <w:highlight w:val="none"/>
                    </w:rPr>
                    <w:t>氢氧化钾又称“苛性钾”，化学式KOH。是一种常见的强碱性无机化合物，常为白色片状。很易溶于水、乙醇，溶解时强烈放热，极易吸收空气中的水分及二氧化碳。用作分析试剂，用于制皂、造纸、纺织、印染、制药、电镀等化学工业及有机合成</w:t>
                  </w:r>
                </w:p>
              </w:tc>
            </w:tr>
            <w:tr w14:paraId="0C90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1" w:type="pct"/>
                  <w:vAlign w:val="center"/>
                </w:tcPr>
                <w:p w14:paraId="339F4CD1">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color w:val="auto"/>
                      <w:highlight w:val="none"/>
                    </w:rPr>
                  </w:pPr>
                  <w:r>
                    <w:rPr>
                      <w:rFonts w:hint="eastAsia"/>
                      <w:color w:val="auto"/>
                      <w:highlight w:val="none"/>
                    </w:rPr>
                    <w:t>磷酸</w:t>
                  </w:r>
                </w:p>
                <w:p w14:paraId="3F4E9BF8">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color w:val="auto"/>
                      <w:szCs w:val="21"/>
                      <w:highlight w:val="none"/>
                    </w:rPr>
                  </w:pPr>
                  <w:r>
                    <w:rPr>
                      <w:rFonts w:hint="eastAsia"/>
                      <w:color w:val="auto"/>
                      <w:highlight w:val="none"/>
                    </w:rPr>
                    <w:t>氢二铵</w:t>
                  </w:r>
                </w:p>
              </w:tc>
              <w:tc>
                <w:tcPr>
                  <w:tcW w:w="4298" w:type="pct"/>
                  <w:vAlign w:val="center"/>
                </w:tcPr>
                <w:p w14:paraId="01B27189">
                  <w:pPr>
                    <w:keepNext w:val="0"/>
                    <w:keepLines w:val="0"/>
                    <w:pageBreakBefore w:val="0"/>
                    <w:widowControl w:val="0"/>
                    <w:kinsoku/>
                    <w:wordWrap/>
                    <w:overflowPunct/>
                    <w:topLinePunct w:val="0"/>
                    <w:autoSpaceDE/>
                    <w:autoSpaceDN/>
                    <w:bidi w:val="0"/>
                    <w:adjustRightInd/>
                    <w:snapToGrid/>
                    <w:spacing w:beforeAutospacing="0" w:afterAutospacing="0" w:line="320" w:lineRule="exact"/>
                    <w:textAlignment w:val="auto"/>
                    <w:rPr>
                      <w:rFonts w:hint="eastAsia"/>
                      <w:color w:val="auto"/>
                      <w:highlight w:val="none"/>
                    </w:rPr>
                  </w:pPr>
                  <w:r>
                    <w:rPr>
                      <w:rFonts w:hint="eastAsia"/>
                      <w:color w:val="auto"/>
                      <w:highlight w:val="none"/>
                    </w:rPr>
                    <w:t>磷酸氢二铵（Ammonium phosphate Dibasic），化学式为(NH</w:t>
                  </w:r>
                  <w:r>
                    <w:rPr>
                      <w:rFonts w:hint="eastAsia"/>
                      <w:color w:val="auto"/>
                      <w:highlight w:val="none"/>
                      <w:vertAlign w:val="subscript"/>
                    </w:rPr>
                    <w:t>4</w:t>
                  </w:r>
                  <w:r>
                    <w:rPr>
                      <w:rFonts w:hint="eastAsia"/>
                      <w:color w:val="auto"/>
                      <w:highlight w:val="none"/>
                    </w:rPr>
                    <w:t>)</w:t>
                  </w:r>
                  <w:r>
                    <w:rPr>
                      <w:rFonts w:hint="eastAsia"/>
                      <w:color w:val="auto"/>
                      <w:highlight w:val="none"/>
                      <w:vertAlign w:val="subscript"/>
                    </w:rPr>
                    <w:t>2</w:t>
                  </w:r>
                  <w:r>
                    <w:rPr>
                      <w:rFonts w:hint="eastAsia"/>
                      <w:color w:val="auto"/>
                      <w:highlight w:val="none"/>
                    </w:rPr>
                    <w:t>HPO</w:t>
                  </w:r>
                  <w:r>
                    <w:rPr>
                      <w:rFonts w:hint="eastAsia"/>
                      <w:color w:val="auto"/>
                      <w:highlight w:val="none"/>
                      <w:vertAlign w:val="subscript"/>
                    </w:rPr>
                    <w:t>4</w:t>
                  </w:r>
                  <w:r>
                    <w:rPr>
                      <w:rFonts w:hint="eastAsia"/>
                      <w:color w:val="auto"/>
                      <w:highlight w:val="none"/>
                    </w:rPr>
                    <w:t>，是一种无机盐，为无色透明单斜晶体或白色粉末，易溶于水，不溶于醇。碳酸氢钾在分析化学、食品加工、农牧业等领域有应用。</w:t>
                  </w:r>
                </w:p>
              </w:tc>
            </w:tr>
            <w:tr w14:paraId="554C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1" w:type="pct"/>
                  <w:vAlign w:val="center"/>
                </w:tcPr>
                <w:p w14:paraId="6871F25F">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szCs w:val="21"/>
                      <w:highlight w:val="none"/>
                    </w:rPr>
                  </w:pPr>
                  <w:r>
                    <w:rPr>
                      <w:color w:val="auto"/>
                      <w:highlight w:val="none"/>
                    </w:rPr>
                    <w:t>多元素矿物配料</w:t>
                  </w:r>
                  <w:r>
                    <w:rPr>
                      <w:rFonts w:hint="eastAsia"/>
                      <w:color w:val="auto"/>
                      <w:szCs w:val="21"/>
                      <w:highlight w:val="none"/>
                    </w:rPr>
                    <w:t>（硅钙钾镁肥）</w:t>
                  </w:r>
                </w:p>
              </w:tc>
              <w:tc>
                <w:tcPr>
                  <w:tcW w:w="4298" w:type="pct"/>
                  <w:vAlign w:val="center"/>
                </w:tcPr>
                <w:p w14:paraId="59420728">
                  <w:pPr>
                    <w:keepNext w:val="0"/>
                    <w:keepLines w:val="0"/>
                    <w:pageBreakBefore w:val="0"/>
                    <w:widowControl w:val="0"/>
                    <w:kinsoku/>
                    <w:wordWrap/>
                    <w:overflowPunct/>
                    <w:topLinePunct w:val="0"/>
                    <w:autoSpaceDE/>
                    <w:autoSpaceDN/>
                    <w:bidi w:val="0"/>
                    <w:adjustRightInd/>
                    <w:snapToGrid/>
                    <w:spacing w:beforeAutospacing="0" w:afterAutospacing="0" w:line="320" w:lineRule="exact"/>
                    <w:textAlignment w:val="auto"/>
                    <w:rPr>
                      <w:color w:val="auto"/>
                      <w:highlight w:val="none"/>
                    </w:rPr>
                  </w:pPr>
                  <w:r>
                    <w:rPr>
                      <w:color w:val="auto"/>
                      <w:highlight w:val="none"/>
                    </w:rPr>
                    <w:t>硅钙钾镁肥是固态肥生产中常用的多元素矿物配料，主要成分为二氧化硅（SiO₂）、氧化钙（CaO）、氧化钾（K₂O）、氧化镁（MgO），通常由钾长石、硅灰石、石灰石、白云石等矿石经高温煅烧（活化矿物）或研磨加工而成，呈颗粒或粉末状。其在固态肥中的作用包括：1. 提供硅、钙、钾、镁等中微量元素，补充作物生长必需的营养；2. 改善土壤结构，增加土壤透气性、保水性及阳离子交换量；3. 增强作物抗倒伏、抗病虫害（如稻瘟病、蚜虫）及抗逆性（干旱、盐碱、低温）；4. 与氮肥、磷肥等协同作用，减少养分固定，提高肥料利用率。此外，其固态形态易于与尿素、磷酸二铵、</w:t>
                  </w:r>
                  <w:r>
                    <w:rPr>
                      <w:rFonts w:hint="eastAsia"/>
                      <w:color w:val="auto"/>
                      <w:highlight w:val="none"/>
                      <w:lang w:eastAsia="zh-CN"/>
                    </w:rPr>
                    <w:t>复合微生物肥</w:t>
                  </w:r>
                  <w:r>
                    <w:rPr>
                      <w:color w:val="auto"/>
                      <w:highlight w:val="none"/>
                    </w:rPr>
                    <w:t>等其他固态肥原料混合均匀，不影响成品肥的物理性状（如颗粒强度、流动性），适合规模化生产。</w:t>
                  </w:r>
                </w:p>
              </w:tc>
            </w:tr>
          </w:tbl>
          <w:p w14:paraId="341529A9">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b/>
                <w:bCs/>
                <w:color w:val="auto"/>
                <w:sz w:val="21"/>
                <w:szCs w:val="21"/>
                <w:highlight w:val="none"/>
                <w:lang w:val="en-US" w:eastAsia="zh-CN"/>
              </w:rPr>
            </w:pPr>
            <w:r>
              <w:rPr>
                <w:rFonts w:hint="eastAsia"/>
                <w:b/>
                <w:bCs/>
                <w:color w:val="auto"/>
                <w:kern w:val="0"/>
                <w:sz w:val="24"/>
                <w:highlight w:val="none"/>
                <w:lang w:val="en-US" w:eastAsia="zh-CN"/>
              </w:rPr>
              <w:t>5</w:t>
            </w:r>
            <w:r>
              <w:rPr>
                <w:rFonts w:hint="eastAsia"/>
                <w:b/>
                <w:bCs/>
                <w:color w:val="auto"/>
                <w:kern w:val="0"/>
                <w:sz w:val="24"/>
                <w:highlight w:val="none"/>
              </w:rPr>
              <w:t>、</w:t>
            </w:r>
            <w:r>
              <w:rPr>
                <w:rFonts w:hint="eastAsia"/>
                <w:b/>
                <w:bCs/>
                <w:color w:val="auto"/>
                <w:kern w:val="0"/>
                <w:sz w:val="24"/>
                <w:highlight w:val="none"/>
                <w:lang w:val="en-US" w:eastAsia="zh-CN"/>
              </w:rPr>
              <w:t>物料平衡</w:t>
            </w:r>
          </w:p>
          <w:p w14:paraId="64EC5F3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表2-</w:t>
            </w:r>
            <w:r>
              <w:rPr>
                <w:rFonts w:hint="eastAsia" w:cs="Times New Roman"/>
                <w:b/>
                <w:bCs/>
                <w:color w:val="auto"/>
                <w:sz w:val="21"/>
                <w:szCs w:val="21"/>
                <w:highlight w:val="none"/>
                <w:lang w:val="en-US" w:eastAsia="zh-CN"/>
              </w:rPr>
              <w:t>7</w:t>
            </w:r>
            <w:r>
              <w:rPr>
                <w:rFonts w:hint="default" w:ascii="Times New Roman" w:hAnsi="Times New Roman" w:eastAsia="宋体" w:cs="Times New Roman"/>
                <w:b/>
                <w:bCs/>
                <w:color w:val="auto"/>
                <w:sz w:val="21"/>
                <w:szCs w:val="21"/>
                <w:highlight w:val="none"/>
              </w:rPr>
              <w:t xml:space="preserve">  </w:t>
            </w:r>
            <w:r>
              <w:rPr>
                <w:rFonts w:hint="eastAsia" w:ascii="Times New Roman" w:hAnsi="Times New Roman" w:eastAsia="宋体" w:cs="Times New Roman"/>
                <w:b/>
                <w:bCs/>
                <w:color w:val="auto"/>
                <w:sz w:val="21"/>
                <w:szCs w:val="21"/>
                <w:highlight w:val="none"/>
                <w:lang w:val="en-US" w:eastAsia="zh-CN"/>
              </w:rPr>
              <w:t>液体复合微生物肥</w:t>
            </w:r>
            <w:r>
              <w:rPr>
                <w:rFonts w:hint="default" w:ascii="Times New Roman" w:hAnsi="Times New Roman" w:eastAsia="宋体" w:cs="Times New Roman"/>
                <w:b/>
                <w:bCs/>
                <w:color w:val="auto"/>
                <w:sz w:val="21"/>
                <w:szCs w:val="21"/>
                <w:highlight w:val="none"/>
              </w:rPr>
              <w:t>物料平衡一览表</w:t>
            </w:r>
          </w:p>
          <w:tbl>
            <w:tblPr>
              <w:tblStyle w:val="26"/>
              <w:tblW w:w="8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1"/>
              <w:gridCol w:w="2268"/>
              <w:gridCol w:w="864"/>
              <w:gridCol w:w="2244"/>
              <w:gridCol w:w="1591"/>
            </w:tblGrid>
            <w:tr w14:paraId="2C75B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899" w:type="dxa"/>
                  <w:gridSpan w:val="2"/>
                  <w:tcBorders>
                    <w:tl2br w:val="nil"/>
                    <w:tr2bl w:val="nil"/>
                  </w:tcBorders>
                  <w:noWrap w:val="0"/>
                  <w:vAlign w:val="center"/>
                </w:tcPr>
                <w:p w14:paraId="77280A0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输入</w:t>
                  </w:r>
                  <w:r>
                    <w:rPr>
                      <w:rFonts w:hint="eastAsia" w:ascii="Times New Roman" w:hAnsi="Times New Roman" w:eastAsia="宋体" w:cs="Times New Roman"/>
                      <w:b/>
                      <w:bCs/>
                      <w:color w:val="auto"/>
                      <w:sz w:val="21"/>
                      <w:szCs w:val="21"/>
                      <w:highlight w:val="none"/>
                      <w:lang w:val="en-US" w:eastAsia="zh-CN"/>
                    </w:rPr>
                    <w:t>物料量</w:t>
                  </w:r>
                  <w:r>
                    <w:rPr>
                      <w:rFonts w:hint="default" w:ascii="Times New Roman" w:hAnsi="Times New Roman" w:eastAsia="宋体" w:cs="Times New Roman"/>
                      <w:b/>
                      <w:bCs/>
                      <w:color w:val="auto"/>
                      <w:sz w:val="21"/>
                      <w:szCs w:val="21"/>
                      <w:highlight w:val="none"/>
                    </w:rPr>
                    <w:t>（t/a）</w:t>
                  </w:r>
                </w:p>
              </w:tc>
              <w:tc>
                <w:tcPr>
                  <w:tcW w:w="4699" w:type="dxa"/>
                  <w:gridSpan w:val="3"/>
                  <w:tcBorders>
                    <w:tl2br w:val="nil"/>
                    <w:tr2bl w:val="nil"/>
                  </w:tcBorders>
                  <w:noWrap w:val="0"/>
                  <w:vAlign w:val="center"/>
                </w:tcPr>
                <w:p w14:paraId="38DBC92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输出物料量（t/a）</w:t>
                  </w:r>
                </w:p>
              </w:tc>
            </w:tr>
            <w:tr w14:paraId="665C0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1" w:type="dxa"/>
                  <w:tcBorders>
                    <w:tl2br w:val="nil"/>
                    <w:tr2bl w:val="nil"/>
                  </w:tcBorders>
                  <w:noWrap w:val="0"/>
                  <w:vAlign w:val="center"/>
                </w:tcPr>
                <w:p w14:paraId="71542A9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尾菜废水</w:t>
                  </w:r>
                </w:p>
              </w:tc>
              <w:tc>
                <w:tcPr>
                  <w:tcW w:w="2268" w:type="dxa"/>
                  <w:tcBorders>
                    <w:tl2br w:val="nil"/>
                    <w:tr2bl w:val="nil"/>
                  </w:tcBorders>
                  <w:noWrap w:val="0"/>
                  <w:vAlign w:val="center"/>
                </w:tcPr>
                <w:p w14:paraId="047CDC14">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14285.7</w:t>
                  </w:r>
                </w:p>
              </w:tc>
              <w:tc>
                <w:tcPr>
                  <w:tcW w:w="864" w:type="dxa"/>
                  <w:tcBorders>
                    <w:tl2br w:val="nil"/>
                    <w:tr2bl w:val="nil"/>
                  </w:tcBorders>
                  <w:noWrap w:val="0"/>
                  <w:vAlign w:val="center"/>
                </w:tcPr>
                <w:p w14:paraId="7114A17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产品</w:t>
                  </w:r>
                </w:p>
              </w:tc>
              <w:tc>
                <w:tcPr>
                  <w:tcW w:w="2244" w:type="dxa"/>
                  <w:tcBorders>
                    <w:tl2br w:val="nil"/>
                    <w:tr2bl w:val="nil"/>
                  </w:tcBorders>
                  <w:noWrap w:val="0"/>
                  <w:vAlign w:val="center"/>
                </w:tcPr>
                <w:p w14:paraId="7B0CE54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液体复合微生物肥</w:t>
                  </w:r>
                </w:p>
              </w:tc>
              <w:tc>
                <w:tcPr>
                  <w:tcW w:w="1591" w:type="dxa"/>
                  <w:tcBorders>
                    <w:tl2br w:val="nil"/>
                    <w:tr2bl w:val="nil"/>
                  </w:tcBorders>
                  <w:noWrap w:val="0"/>
                  <w:vAlign w:val="center"/>
                </w:tcPr>
                <w:p w14:paraId="756DDC1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16000</w:t>
                  </w:r>
                </w:p>
              </w:tc>
            </w:tr>
            <w:tr w14:paraId="1596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1" w:type="dxa"/>
                  <w:tcBorders>
                    <w:tl2br w:val="nil"/>
                    <w:tr2bl w:val="nil"/>
                  </w:tcBorders>
                  <w:noWrap w:val="0"/>
                  <w:vAlign w:val="center"/>
                </w:tcPr>
                <w:p w14:paraId="54EB064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糖蜜</w:t>
                  </w:r>
                </w:p>
              </w:tc>
              <w:tc>
                <w:tcPr>
                  <w:tcW w:w="2268" w:type="dxa"/>
                  <w:tcBorders>
                    <w:tl2br w:val="nil"/>
                    <w:tr2bl w:val="nil"/>
                  </w:tcBorders>
                  <w:noWrap w:val="0"/>
                  <w:vAlign w:val="center"/>
                </w:tcPr>
                <w:p w14:paraId="27ED5E7C">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342.7</w:t>
                  </w:r>
                </w:p>
              </w:tc>
              <w:tc>
                <w:tcPr>
                  <w:tcW w:w="864" w:type="dxa"/>
                  <w:vMerge w:val="restart"/>
                  <w:tcBorders>
                    <w:tl2br w:val="nil"/>
                    <w:tr2bl w:val="nil"/>
                  </w:tcBorders>
                  <w:noWrap w:val="0"/>
                  <w:vAlign w:val="center"/>
                </w:tcPr>
                <w:p w14:paraId="6D5E897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固废</w:t>
                  </w:r>
                </w:p>
              </w:tc>
              <w:tc>
                <w:tcPr>
                  <w:tcW w:w="2244" w:type="dxa"/>
                  <w:tcBorders>
                    <w:tl2br w:val="nil"/>
                    <w:tr2bl w:val="nil"/>
                  </w:tcBorders>
                  <w:noWrap w:val="0"/>
                  <w:vAlign w:val="center"/>
                </w:tcPr>
                <w:p w14:paraId="787D241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不合格品</w:t>
                  </w:r>
                </w:p>
              </w:tc>
              <w:tc>
                <w:tcPr>
                  <w:tcW w:w="1591" w:type="dxa"/>
                  <w:tcBorders>
                    <w:tl2br w:val="nil"/>
                    <w:tr2bl w:val="nil"/>
                  </w:tcBorders>
                  <w:noWrap w:val="0"/>
                  <w:vAlign w:val="center"/>
                </w:tcPr>
                <w:p w14:paraId="56F86F5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12.498</w:t>
                  </w:r>
                </w:p>
              </w:tc>
            </w:tr>
            <w:tr w14:paraId="2DBFC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1" w:type="dxa"/>
                  <w:tcBorders>
                    <w:tl2br w:val="nil"/>
                    <w:tr2bl w:val="nil"/>
                  </w:tcBorders>
                  <w:noWrap w:val="0"/>
                  <w:vAlign w:val="center"/>
                </w:tcPr>
                <w:p w14:paraId="7C3E1AD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冰醋酸</w:t>
                  </w:r>
                </w:p>
              </w:tc>
              <w:tc>
                <w:tcPr>
                  <w:tcW w:w="2268" w:type="dxa"/>
                  <w:tcBorders>
                    <w:tl2br w:val="nil"/>
                    <w:tr2bl w:val="nil"/>
                  </w:tcBorders>
                  <w:noWrap w:val="0"/>
                  <w:vAlign w:val="center"/>
                </w:tcPr>
                <w:p w14:paraId="58788994">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31.4</w:t>
                  </w:r>
                </w:p>
              </w:tc>
              <w:tc>
                <w:tcPr>
                  <w:tcW w:w="864" w:type="dxa"/>
                  <w:vMerge w:val="continue"/>
                  <w:tcBorders>
                    <w:tl2br w:val="nil"/>
                    <w:tr2bl w:val="nil"/>
                  </w:tcBorders>
                  <w:noWrap w:val="0"/>
                  <w:vAlign w:val="center"/>
                </w:tcPr>
                <w:p w14:paraId="0F3EFF4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p>
              </w:tc>
              <w:tc>
                <w:tcPr>
                  <w:tcW w:w="2244" w:type="dxa"/>
                  <w:tcBorders>
                    <w:tl2br w:val="nil"/>
                    <w:tr2bl w:val="nil"/>
                  </w:tcBorders>
                  <w:noWrap w:val="0"/>
                  <w:vAlign w:val="center"/>
                </w:tcPr>
                <w:p w14:paraId="53A38E5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降尘</w:t>
                  </w:r>
                </w:p>
              </w:tc>
              <w:tc>
                <w:tcPr>
                  <w:tcW w:w="1591" w:type="dxa"/>
                  <w:tcBorders>
                    <w:tl2br w:val="nil"/>
                    <w:tr2bl w:val="nil"/>
                  </w:tcBorders>
                  <w:noWrap w:val="0"/>
                  <w:vAlign w:val="center"/>
                </w:tcPr>
                <w:p w14:paraId="6BEA3F1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5.695</w:t>
                  </w:r>
                </w:p>
              </w:tc>
            </w:tr>
            <w:tr w14:paraId="0F526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1" w:type="dxa"/>
                  <w:tcBorders>
                    <w:tl2br w:val="nil"/>
                    <w:tr2bl w:val="nil"/>
                  </w:tcBorders>
                  <w:noWrap w:val="0"/>
                  <w:vAlign w:val="center"/>
                </w:tcPr>
                <w:p w14:paraId="6DEC2A6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磷酸二氢钾</w:t>
                  </w:r>
                </w:p>
              </w:tc>
              <w:tc>
                <w:tcPr>
                  <w:tcW w:w="2268" w:type="dxa"/>
                  <w:tcBorders>
                    <w:tl2br w:val="nil"/>
                    <w:tr2bl w:val="nil"/>
                  </w:tcBorders>
                  <w:noWrap w:val="0"/>
                  <w:vAlign w:val="center"/>
                </w:tcPr>
                <w:p w14:paraId="6C6641C2">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71.4</w:t>
                  </w:r>
                </w:p>
              </w:tc>
              <w:tc>
                <w:tcPr>
                  <w:tcW w:w="864" w:type="dxa"/>
                  <w:tcBorders>
                    <w:tl2br w:val="nil"/>
                    <w:tr2bl w:val="nil"/>
                  </w:tcBorders>
                  <w:shd w:val="clear" w:color="auto" w:fill="auto"/>
                  <w:noWrap w:val="0"/>
                  <w:vAlign w:val="center"/>
                </w:tcPr>
                <w:p w14:paraId="5EC84F9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废气</w:t>
                  </w:r>
                </w:p>
              </w:tc>
              <w:tc>
                <w:tcPr>
                  <w:tcW w:w="2244" w:type="dxa"/>
                  <w:tcBorders>
                    <w:tl2br w:val="nil"/>
                    <w:tr2bl w:val="nil"/>
                  </w:tcBorders>
                  <w:shd w:val="clear" w:color="auto" w:fill="auto"/>
                  <w:noWrap w:val="0"/>
                  <w:vAlign w:val="center"/>
                </w:tcPr>
                <w:p w14:paraId="2B2902A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无组织排放</w:t>
                  </w:r>
                </w:p>
              </w:tc>
              <w:tc>
                <w:tcPr>
                  <w:tcW w:w="1591" w:type="dxa"/>
                  <w:tcBorders>
                    <w:tl2br w:val="nil"/>
                    <w:tr2bl w:val="nil"/>
                  </w:tcBorders>
                  <w:shd w:val="clear" w:color="auto" w:fill="auto"/>
                  <w:noWrap w:val="0"/>
                  <w:vAlign w:val="center"/>
                </w:tcPr>
                <w:p w14:paraId="0D8CA3E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0.225</w:t>
                  </w:r>
                </w:p>
              </w:tc>
            </w:tr>
            <w:tr w14:paraId="23FE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1" w:type="dxa"/>
                  <w:tcBorders>
                    <w:tl2br w:val="nil"/>
                    <w:tr2bl w:val="nil"/>
                  </w:tcBorders>
                  <w:noWrap w:val="0"/>
                  <w:vAlign w:val="center"/>
                </w:tcPr>
                <w:p w14:paraId="22ED92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磷酸一铵</w:t>
                  </w:r>
                </w:p>
              </w:tc>
              <w:tc>
                <w:tcPr>
                  <w:tcW w:w="2268" w:type="dxa"/>
                  <w:tcBorders>
                    <w:tl2br w:val="nil"/>
                    <w:tr2bl w:val="nil"/>
                  </w:tcBorders>
                  <w:noWrap w:val="0"/>
                  <w:vAlign w:val="center"/>
                </w:tcPr>
                <w:p w14:paraId="775FF16F">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71.4</w:t>
                  </w:r>
                </w:p>
              </w:tc>
              <w:tc>
                <w:tcPr>
                  <w:tcW w:w="864" w:type="dxa"/>
                  <w:tcBorders>
                    <w:tl2br w:val="nil"/>
                    <w:tr2bl w:val="nil"/>
                  </w:tcBorders>
                  <w:noWrap w:val="0"/>
                  <w:vAlign w:val="center"/>
                </w:tcPr>
                <w:p w14:paraId="7B364F1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244" w:type="dxa"/>
                  <w:tcBorders>
                    <w:tl2br w:val="nil"/>
                    <w:tr2bl w:val="nil"/>
                  </w:tcBorders>
                  <w:noWrap w:val="0"/>
                  <w:vAlign w:val="center"/>
                </w:tcPr>
                <w:p w14:paraId="496BB69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591" w:type="dxa"/>
                  <w:tcBorders>
                    <w:tl2br w:val="nil"/>
                    <w:tr2bl w:val="nil"/>
                  </w:tcBorders>
                  <w:noWrap w:val="0"/>
                  <w:vAlign w:val="center"/>
                </w:tcPr>
                <w:p w14:paraId="129FB3D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6134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1" w:type="dxa"/>
                  <w:tcBorders>
                    <w:tl2br w:val="nil"/>
                    <w:tr2bl w:val="nil"/>
                  </w:tcBorders>
                  <w:noWrap w:val="0"/>
                  <w:vAlign w:val="center"/>
                </w:tcPr>
                <w:p w14:paraId="7FD53B1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磷酸二铵</w:t>
                  </w:r>
                </w:p>
              </w:tc>
              <w:tc>
                <w:tcPr>
                  <w:tcW w:w="2268" w:type="dxa"/>
                  <w:tcBorders>
                    <w:tl2br w:val="nil"/>
                    <w:tr2bl w:val="nil"/>
                  </w:tcBorders>
                  <w:noWrap w:val="0"/>
                  <w:vAlign w:val="center"/>
                </w:tcPr>
                <w:p w14:paraId="0062D585">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40.</w:t>
                  </w:r>
                  <w:r>
                    <w:rPr>
                      <w:rFonts w:hint="eastAsia" w:cs="Times New Roman"/>
                      <w:i w:val="0"/>
                      <w:iCs w:val="0"/>
                      <w:color w:val="auto"/>
                      <w:kern w:val="0"/>
                      <w:sz w:val="21"/>
                      <w:szCs w:val="21"/>
                      <w:highlight w:val="none"/>
                      <w:u w:val="none"/>
                      <w:lang w:val="en-US" w:eastAsia="zh-CN" w:bidi="ar"/>
                    </w:rPr>
                    <w:t>118</w:t>
                  </w:r>
                </w:p>
              </w:tc>
              <w:tc>
                <w:tcPr>
                  <w:tcW w:w="864" w:type="dxa"/>
                  <w:tcBorders>
                    <w:tl2br w:val="nil"/>
                    <w:tr2bl w:val="nil"/>
                  </w:tcBorders>
                  <w:noWrap w:val="0"/>
                  <w:vAlign w:val="center"/>
                </w:tcPr>
                <w:p w14:paraId="5D425C7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244" w:type="dxa"/>
                  <w:tcBorders>
                    <w:tl2br w:val="nil"/>
                    <w:tr2bl w:val="nil"/>
                  </w:tcBorders>
                  <w:noWrap w:val="0"/>
                  <w:vAlign w:val="center"/>
                </w:tcPr>
                <w:p w14:paraId="20DE6C9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c>
                <w:tcPr>
                  <w:tcW w:w="1591" w:type="dxa"/>
                  <w:tcBorders>
                    <w:tl2br w:val="nil"/>
                    <w:tr2bl w:val="nil"/>
                  </w:tcBorders>
                  <w:noWrap w:val="0"/>
                  <w:vAlign w:val="center"/>
                </w:tcPr>
                <w:p w14:paraId="25FE283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r>
            <w:tr w14:paraId="5063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1" w:type="dxa"/>
                  <w:tcBorders>
                    <w:tl2br w:val="nil"/>
                    <w:tr2bl w:val="nil"/>
                  </w:tcBorders>
                  <w:noWrap w:val="0"/>
                  <w:vAlign w:val="center"/>
                </w:tcPr>
                <w:p w14:paraId="76678E2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硫酸铵</w:t>
                  </w:r>
                </w:p>
              </w:tc>
              <w:tc>
                <w:tcPr>
                  <w:tcW w:w="2268" w:type="dxa"/>
                  <w:tcBorders>
                    <w:tl2br w:val="nil"/>
                    <w:tr2bl w:val="nil"/>
                  </w:tcBorders>
                  <w:noWrap w:val="0"/>
                  <w:vAlign w:val="center"/>
                </w:tcPr>
                <w:p w14:paraId="79DB82D3">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785.2</w:t>
                  </w:r>
                </w:p>
              </w:tc>
              <w:tc>
                <w:tcPr>
                  <w:tcW w:w="864" w:type="dxa"/>
                  <w:tcBorders>
                    <w:tl2br w:val="nil"/>
                    <w:tr2bl w:val="nil"/>
                  </w:tcBorders>
                  <w:noWrap w:val="0"/>
                  <w:vAlign w:val="center"/>
                </w:tcPr>
                <w:p w14:paraId="6A5B652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244" w:type="dxa"/>
                  <w:tcBorders>
                    <w:tl2br w:val="nil"/>
                    <w:tr2bl w:val="nil"/>
                  </w:tcBorders>
                  <w:noWrap w:val="0"/>
                  <w:vAlign w:val="center"/>
                </w:tcPr>
                <w:p w14:paraId="7779E18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z w:val="21"/>
                      <w:szCs w:val="21"/>
                      <w:highlight w:val="none"/>
                    </w:rPr>
                  </w:pPr>
                  <w:r>
                    <w:rPr>
                      <w:rFonts w:hint="eastAsia" w:cs="Times New Roman"/>
                      <w:color w:val="auto"/>
                      <w:sz w:val="21"/>
                      <w:szCs w:val="21"/>
                      <w:highlight w:val="none"/>
                      <w:lang w:val="en-US" w:eastAsia="zh-CN"/>
                    </w:rPr>
                    <w:t>/</w:t>
                  </w:r>
                </w:p>
              </w:tc>
              <w:tc>
                <w:tcPr>
                  <w:tcW w:w="1591" w:type="dxa"/>
                  <w:tcBorders>
                    <w:tl2br w:val="nil"/>
                    <w:tr2bl w:val="nil"/>
                  </w:tcBorders>
                  <w:noWrap w:val="0"/>
                  <w:vAlign w:val="center"/>
                </w:tcPr>
                <w:p w14:paraId="608E9D2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r>
            <w:tr w14:paraId="6BD3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1" w:type="dxa"/>
                  <w:tcBorders>
                    <w:tl2br w:val="nil"/>
                    <w:tr2bl w:val="nil"/>
                  </w:tcBorders>
                  <w:noWrap w:val="0"/>
                  <w:vAlign w:val="center"/>
                </w:tcPr>
                <w:p w14:paraId="68187DD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氢氧化钾</w:t>
                  </w:r>
                </w:p>
              </w:tc>
              <w:tc>
                <w:tcPr>
                  <w:tcW w:w="2268" w:type="dxa"/>
                  <w:tcBorders>
                    <w:tl2br w:val="nil"/>
                    <w:tr2bl w:val="nil"/>
                  </w:tcBorders>
                  <w:noWrap w:val="0"/>
                  <w:vAlign w:val="center"/>
                </w:tcPr>
                <w:p w14:paraId="78DA5BFA">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40</w:t>
                  </w: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864" w:type="dxa"/>
                  <w:tcBorders>
                    <w:tl2br w:val="nil"/>
                    <w:tr2bl w:val="nil"/>
                  </w:tcBorders>
                  <w:noWrap w:val="0"/>
                  <w:vAlign w:val="center"/>
                </w:tcPr>
                <w:p w14:paraId="41AC7DF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244" w:type="dxa"/>
                  <w:tcBorders>
                    <w:tl2br w:val="nil"/>
                    <w:tr2bl w:val="nil"/>
                  </w:tcBorders>
                  <w:noWrap w:val="0"/>
                  <w:vAlign w:val="center"/>
                </w:tcPr>
                <w:p w14:paraId="1E7DC3B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z w:val="21"/>
                      <w:szCs w:val="21"/>
                      <w:highlight w:val="none"/>
                    </w:rPr>
                  </w:pPr>
                  <w:r>
                    <w:rPr>
                      <w:rFonts w:hint="eastAsia" w:cs="Times New Roman"/>
                      <w:color w:val="auto"/>
                      <w:sz w:val="21"/>
                      <w:szCs w:val="21"/>
                      <w:highlight w:val="none"/>
                      <w:lang w:val="en-US" w:eastAsia="zh-CN"/>
                    </w:rPr>
                    <w:t>/</w:t>
                  </w:r>
                </w:p>
              </w:tc>
              <w:tc>
                <w:tcPr>
                  <w:tcW w:w="1591" w:type="dxa"/>
                  <w:tcBorders>
                    <w:tl2br w:val="nil"/>
                    <w:tr2bl w:val="nil"/>
                  </w:tcBorders>
                  <w:noWrap w:val="0"/>
                  <w:vAlign w:val="center"/>
                </w:tcPr>
                <w:p w14:paraId="3ED69BB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r>
            <w:tr w14:paraId="2D90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1" w:type="dxa"/>
                  <w:tcBorders>
                    <w:tl2br w:val="nil"/>
                    <w:tr2bl w:val="nil"/>
                  </w:tcBorders>
                  <w:noWrap w:val="0"/>
                  <w:vAlign w:val="center"/>
                </w:tcPr>
                <w:p w14:paraId="5E1C1DC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乳酸菌</w:t>
                  </w:r>
                </w:p>
              </w:tc>
              <w:tc>
                <w:tcPr>
                  <w:tcW w:w="2268" w:type="dxa"/>
                  <w:tcBorders>
                    <w:tl2br w:val="nil"/>
                    <w:tr2bl w:val="nil"/>
                  </w:tcBorders>
                  <w:noWrap w:val="0"/>
                  <w:vAlign w:val="center"/>
                </w:tcPr>
                <w:p w14:paraId="4366CF30">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35.8</w:t>
                  </w:r>
                </w:p>
              </w:tc>
              <w:tc>
                <w:tcPr>
                  <w:tcW w:w="864" w:type="dxa"/>
                  <w:tcBorders>
                    <w:tl2br w:val="nil"/>
                    <w:tr2bl w:val="nil"/>
                  </w:tcBorders>
                  <w:noWrap w:val="0"/>
                  <w:vAlign w:val="center"/>
                </w:tcPr>
                <w:p w14:paraId="425F67E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244" w:type="dxa"/>
                  <w:tcBorders>
                    <w:tl2br w:val="nil"/>
                    <w:tr2bl w:val="nil"/>
                  </w:tcBorders>
                  <w:noWrap w:val="0"/>
                  <w:vAlign w:val="center"/>
                </w:tcPr>
                <w:p w14:paraId="074A738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z w:val="21"/>
                      <w:szCs w:val="21"/>
                      <w:highlight w:val="none"/>
                    </w:rPr>
                  </w:pPr>
                  <w:r>
                    <w:rPr>
                      <w:rFonts w:hint="eastAsia" w:cs="Times New Roman"/>
                      <w:color w:val="auto"/>
                      <w:sz w:val="21"/>
                      <w:szCs w:val="21"/>
                      <w:highlight w:val="none"/>
                      <w:lang w:val="en-US" w:eastAsia="zh-CN"/>
                    </w:rPr>
                    <w:t>/</w:t>
                  </w:r>
                </w:p>
              </w:tc>
              <w:tc>
                <w:tcPr>
                  <w:tcW w:w="1591" w:type="dxa"/>
                  <w:tcBorders>
                    <w:tl2br w:val="nil"/>
                    <w:tr2bl w:val="nil"/>
                  </w:tcBorders>
                  <w:noWrap w:val="0"/>
                  <w:vAlign w:val="center"/>
                </w:tcPr>
                <w:p w14:paraId="2A23567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r>
            <w:tr w14:paraId="5C9CF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1" w:type="dxa"/>
                  <w:tcBorders>
                    <w:tl2br w:val="nil"/>
                    <w:tr2bl w:val="nil"/>
                  </w:tcBorders>
                  <w:noWrap w:val="0"/>
                  <w:vAlign w:val="center"/>
                </w:tcPr>
                <w:p w14:paraId="321574D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cs="Times New Roman"/>
                      <w:color w:val="auto"/>
                      <w:sz w:val="21"/>
                      <w:szCs w:val="21"/>
                      <w:highlight w:val="none"/>
                      <w:lang w:val="en-US" w:eastAsia="zh-CN"/>
                    </w:rPr>
                  </w:pPr>
                  <w:r>
                    <w:rPr>
                      <w:rFonts w:hint="eastAsia"/>
                      <w:color w:val="auto"/>
                      <w:szCs w:val="21"/>
                      <w:highlight w:val="none"/>
                    </w:rPr>
                    <w:t>聚谷氨酸</w:t>
                  </w:r>
                </w:p>
              </w:tc>
              <w:tc>
                <w:tcPr>
                  <w:tcW w:w="2268" w:type="dxa"/>
                  <w:tcBorders>
                    <w:tl2br w:val="nil"/>
                    <w:tr2bl w:val="nil"/>
                  </w:tcBorders>
                  <w:noWrap w:val="0"/>
                  <w:vAlign w:val="center"/>
                </w:tcPr>
                <w:p w14:paraId="09CD0ACE">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24.2</w:t>
                  </w:r>
                </w:p>
              </w:tc>
              <w:tc>
                <w:tcPr>
                  <w:tcW w:w="864" w:type="dxa"/>
                  <w:tcBorders>
                    <w:tl2br w:val="nil"/>
                    <w:tr2bl w:val="nil"/>
                  </w:tcBorders>
                  <w:noWrap w:val="0"/>
                  <w:vAlign w:val="center"/>
                </w:tcPr>
                <w:p w14:paraId="0527757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cs="Times New Roman"/>
                      <w:color w:val="auto"/>
                      <w:sz w:val="21"/>
                      <w:szCs w:val="21"/>
                      <w:highlight w:val="none"/>
                      <w:lang w:val="en-US" w:eastAsia="zh-CN"/>
                    </w:rPr>
                  </w:pPr>
                </w:p>
              </w:tc>
              <w:tc>
                <w:tcPr>
                  <w:tcW w:w="2244" w:type="dxa"/>
                  <w:tcBorders>
                    <w:tl2br w:val="nil"/>
                    <w:tr2bl w:val="nil"/>
                  </w:tcBorders>
                  <w:noWrap w:val="0"/>
                  <w:vAlign w:val="center"/>
                </w:tcPr>
                <w:p w14:paraId="3807AD8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cs="Times New Roman"/>
                      <w:color w:val="auto"/>
                      <w:sz w:val="21"/>
                      <w:szCs w:val="21"/>
                      <w:highlight w:val="none"/>
                      <w:lang w:val="en-US" w:eastAsia="zh-CN"/>
                    </w:rPr>
                  </w:pPr>
                </w:p>
              </w:tc>
              <w:tc>
                <w:tcPr>
                  <w:tcW w:w="1591" w:type="dxa"/>
                  <w:tcBorders>
                    <w:tl2br w:val="nil"/>
                    <w:tr2bl w:val="nil"/>
                  </w:tcBorders>
                  <w:noWrap w:val="0"/>
                  <w:vAlign w:val="center"/>
                </w:tcPr>
                <w:p w14:paraId="4142C80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cs="Times New Roman"/>
                      <w:color w:val="auto"/>
                      <w:sz w:val="21"/>
                      <w:szCs w:val="21"/>
                      <w:highlight w:val="none"/>
                      <w:lang w:val="en-US" w:eastAsia="zh-CN"/>
                    </w:rPr>
                  </w:pPr>
                </w:p>
              </w:tc>
            </w:tr>
            <w:tr w14:paraId="353D6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1" w:type="dxa"/>
                  <w:tcBorders>
                    <w:tl2br w:val="nil"/>
                    <w:tr2bl w:val="nil"/>
                  </w:tcBorders>
                  <w:noWrap w:val="0"/>
                  <w:vAlign w:val="center"/>
                </w:tcPr>
                <w:p w14:paraId="0FD67A9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多元菌脂</w:t>
                  </w:r>
                </w:p>
              </w:tc>
              <w:tc>
                <w:tcPr>
                  <w:tcW w:w="2268" w:type="dxa"/>
                  <w:tcBorders>
                    <w:tl2br w:val="nil"/>
                    <w:tr2bl w:val="nil"/>
                  </w:tcBorders>
                  <w:noWrap w:val="0"/>
                  <w:vAlign w:val="center"/>
                </w:tcPr>
                <w:p w14:paraId="55E376E9">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6</w:t>
                  </w: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864" w:type="dxa"/>
                  <w:tcBorders>
                    <w:tl2br w:val="nil"/>
                    <w:tr2bl w:val="nil"/>
                  </w:tcBorders>
                  <w:noWrap w:val="0"/>
                  <w:vAlign w:val="center"/>
                </w:tcPr>
                <w:p w14:paraId="7D391DF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244" w:type="dxa"/>
                  <w:tcBorders>
                    <w:tl2br w:val="nil"/>
                    <w:tr2bl w:val="nil"/>
                  </w:tcBorders>
                  <w:noWrap w:val="0"/>
                  <w:vAlign w:val="center"/>
                </w:tcPr>
                <w:p w14:paraId="36366DB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z w:val="21"/>
                      <w:szCs w:val="21"/>
                      <w:highlight w:val="none"/>
                    </w:rPr>
                  </w:pPr>
                  <w:r>
                    <w:rPr>
                      <w:rFonts w:hint="eastAsia" w:cs="Times New Roman"/>
                      <w:color w:val="auto"/>
                      <w:sz w:val="21"/>
                      <w:szCs w:val="21"/>
                      <w:highlight w:val="none"/>
                      <w:lang w:val="en-US" w:eastAsia="zh-CN"/>
                    </w:rPr>
                    <w:t>/</w:t>
                  </w:r>
                </w:p>
              </w:tc>
              <w:tc>
                <w:tcPr>
                  <w:tcW w:w="1591" w:type="dxa"/>
                  <w:tcBorders>
                    <w:tl2br w:val="nil"/>
                    <w:tr2bl w:val="nil"/>
                  </w:tcBorders>
                  <w:noWrap w:val="0"/>
                  <w:vAlign w:val="center"/>
                </w:tcPr>
                <w:p w14:paraId="31B0743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r>
            <w:tr w14:paraId="35C1C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1" w:type="dxa"/>
                  <w:tcBorders>
                    <w:tl2br w:val="nil"/>
                    <w:tr2bl w:val="nil"/>
                  </w:tcBorders>
                  <w:noWrap w:val="0"/>
                  <w:vAlign w:val="center"/>
                </w:tcPr>
                <w:p w14:paraId="355296A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枯草芽孢</w:t>
                  </w:r>
                </w:p>
              </w:tc>
              <w:tc>
                <w:tcPr>
                  <w:tcW w:w="2268" w:type="dxa"/>
                  <w:tcBorders>
                    <w:tl2br w:val="nil"/>
                    <w:tr2bl w:val="nil"/>
                  </w:tcBorders>
                  <w:noWrap w:val="0"/>
                  <w:vAlign w:val="center"/>
                </w:tcPr>
                <w:p w14:paraId="17B2B9F1">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28.6</w:t>
                  </w:r>
                </w:p>
              </w:tc>
              <w:tc>
                <w:tcPr>
                  <w:tcW w:w="864" w:type="dxa"/>
                  <w:tcBorders>
                    <w:tl2br w:val="nil"/>
                    <w:tr2bl w:val="nil"/>
                  </w:tcBorders>
                  <w:noWrap w:val="0"/>
                  <w:vAlign w:val="center"/>
                </w:tcPr>
                <w:p w14:paraId="69F3E8B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244" w:type="dxa"/>
                  <w:tcBorders>
                    <w:tl2br w:val="nil"/>
                    <w:tr2bl w:val="nil"/>
                  </w:tcBorders>
                  <w:noWrap w:val="0"/>
                  <w:vAlign w:val="center"/>
                </w:tcPr>
                <w:p w14:paraId="28F185F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z w:val="21"/>
                      <w:szCs w:val="21"/>
                      <w:highlight w:val="none"/>
                    </w:rPr>
                  </w:pPr>
                  <w:r>
                    <w:rPr>
                      <w:rFonts w:hint="eastAsia" w:cs="Times New Roman"/>
                      <w:color w:val="auto"/>
                      <w:sz w:val="21"/>
                      <w:szCs w:val="21"/>
                      <w:highlight w:val="none"/>
                      <w:lang w:val="en-US" w:eastAsia="zh-CN"/>
                    </w:rPr>
                    <w:t>/</w:t>
                  </w:r>
                </w:p>
              </w:tc>
              <w:tc>
                <w:tcPr>
                  <w:tcW w:w="1591" w:type="dxa"/>
                  <w:tcBorders>
                    <w:tl2br w:val="nil"/>
                    <w:tr2bl w:val="nil"/>
                  </w:tcBorders>
                  <w:noWrap w:val="0"/>
                  <w:vAlign w:val="center"/>
                </w:tcPr>
                <w:p w14:paraId="2786FDE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r>
            <w:tr w14:paraId="226E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1" w:type="dxa"/>
                  <w:tcBorders>
                    <w:tl2br w:val="nil"/>
                    <w:tr2bl w:val="nil"/>
                  </w:tcBorders>
                  <w:noWrap w:val="0"/>
                  <w:vAlign w:val="center"/>
                </w:tcPr>
                <w:p w14:paraId="70BD497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贝莱斯芽孢</w:t>
                  </w:r>
                </w:p>
              </w:tc>
              <w:tc>
                <w:tcPr>
                  <w:tcW w:w="2268" w:type="dxa"/>
                  <w:tcBorders>
                    <w:tl2br w:val="nil"/>
                    <w:tr2bl w:val="nil"/>
                  </w:tcBorders>
                  <w:noWrap w:val="0"/>
                  <w:vAlign w:val="center"/>
                </w:tcPr>
                <w:p w14:paraId="1A02F5D3">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6</w:t>
                  </w: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864" w:type="dxa"/>
                  <w:tcBorders>
                    <w:tl2br w:val="nil"/>
                    <w:tr2bl w:val="nil"/>
                  </w:tcBorders>
                  <w:noWrap w:val="0"/>
                  <w:vAlign w:val="center"/>
                </w:tcPr>
                <w:p w14:paraId="6BE810B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244" w:type="dxa"/>
                  <w:tcBorders>
                    <w:tl2br w:val="nil"/>
                    <w:tr2bl w:val="nil"/>
                  </w:tcBorders>
                  <w:noWrap w:val="0"/>
                  <w:vAlign w:val="center"/>
                </w:tcPr>
                <w:p w14:paraId="2C4C827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z w:val="21"/>
                      <w:szCs w:val="21"/>
                      <w:highlight w:val="none"/>
                    </w:rPr>
                  </w:pPr>
                  <w:r>
                    <w:rPr>
                      <w:rFonts w:hint="eastAsia" w:cs="Times New Roman"/>
                      <w:color w:val="auto"/>
                      <w:sz w:val="21"/>
                      <w:szCs w:val="21"/>
                      <w:highlight w:val="none"/>
                      <w:lang w:val="en-US" w:eastAsia="zh-CN"/>
                    </w:rPr>
                    <w:t>/</w:t>
                  </w:r>
                </w:p>
              </w:tc>
              <w:tc>
                <w:tcPr>
                  <w:tcW w:w="1591" w:type="dxa"/>
                  <w:tcBorders>
                    <w:tl2br w:val="nil"/>
                    <w:tr2bl w:val="nil"/>
                  </w:tcBorders>
                  <w:noWrap w:val="0"/>
                  <w:vAlign w:val="center"/>
                </w:tcPr>
                <w:p w14:paraId="2B0206C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r>
            <w:tr w14:paraId="589B5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1" w:type="dxa"/>
                  <w:tcBorders>
                    <w:tl2br w:val="nil"/>
                    <w:tr2bl w:val="nil"/>
                  </w:tcBorders>
                  <w:noWrap w:val="0"/>
                  <w:vAlign w:val="center"/>
                </w:tcPr>
                <w:p w14:paraId="27AB94E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搅冻样芽孢</w:t>
                  </w:r>
                </w:p>
              </w:tc>
              <w:tc>
                <w:tcPr>
                  <w:tcW w:w="2268" w:type="dxa"/>
                  <w:tcBorders>
                    <w:tl2br w:val="nil"/>
                    <w:tr2bl w:val="nil"/>
                  </w:tcBorders>
                  <w:noWrap w:val="0"/>
                  <w:vAlign w:val="center"/>
                </w:tcPr>
                <w:p w14:paraId="4FCFF253">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28.6</w:t>
                  </w:r>
                </w:p>
              </w:tc>
              <w:tc>
                <w:tcPr>
                  <w:tcW w:w="864" w:type="dxa"/>
                  <w:tcBorders>
                    <w:tl2br w:val="nil"/>
                    <w:tr2bl w:val="nil"/>
                  </w:tcBorders>
                  <w:noWrap w:val="0"/>
                  <w:vAlign w:val="center"/>
                </w:tcPr>
                <w:p w14:paraId="724A610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244" w:type="dxa"/>
                  <w:tcBorders>
                    <w:tl2br w:val="nil"/>
                    <w:tr2bl w:val="nil"/>
                  </w:tcBorders>
                  <w:noWrap w:val="0"/>
                  <w:vAlign w:val="center"/>
                </w:tcPr>
                <w:p w14:paraId="3ADAECA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z w:val="21"/>
                      <w:szCs w:val="21"/>
                      <w:highlight w:val="none"/>
                    </w:rPr>
                  </w:pPr>
                  <w:r>
                    <w:rPr>
                      <w:rFonts w:hint="eastAsia" w:cs="Times New Roman"/>
                      <w:color w:val="auto"/>
                      <w:sz w:val="21"/>
                      <w:szCs w:val="21"/>
                      <w:highlight w:val="none"/>
                      <w:lang w:val="en-US" w:eastAsia="zh-CN"/>
                    </w:rPr>
                    <w:t>/</w:t>
                  </w:r>
                </w:p>
              </w:tc>
              <w:tc>
                <w:tcPr>
                  <w:tcW w:w="1591" w:type="dxa"/>
                  <w:tcBorders>
                    <w:tl2br w:val="nil"/>
                    <w:tr2bl w:val="nil"/>
                  </w:tcBorders>
                  <w:noWrap w:val="0"/>
                  <w:vAlign w:val="center"/>
                </w:tcPr>
                <w:p w14:paraId="28CFB5D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r>
            <w:tr w14:paraId="56A1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31" w:type="dxa"/>
                  <w:tcBorders>
                    <w:tl2br w:val="nil"/>
                    <w:tr2bl w:val="nil"/>
                  </w:tcBorders>
                  <w:noWrap w:val="0"/>
                  <w:vAlign w:val="center"/>
                </w:tcPr>
                <w:p w14:paraId="7AFD054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合计</w:t>
                  </w:r>
                </w:p>
              </w:tc>
              <w:tc>
                <w:tcPr>
                  <w:tcW w:w="2268" w:type="dxa"/>
                  <w:tcBorders>
                    <w:tl2br w:val="nil"/>
                    <w:tr2bl w:val="nil"/>
                  </w:tcBorders>
                  <w:noWrap w:val="0"/>
                  <w:vAlign w:val="center"/>
                </w:tcPr>
                <w:p w14:paraId="279CC92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16018.418</w:t>
                  </w:r>
                </w:p>
              </w:tc>
              <w:tc>
                <w:tcPr>
                  <w:tcW w:w="3108" w:type="dxa"/>
                  <w:gridSpan w:val="2"/>
                  <w:tcBorders>
                    <w:tl2br w:val="nil"/>
                    <w:tr2bl w:val="nil"/>
                  </w:tcBorders>
                  <w:noWrap w:val="0"/>
                  <w:vAlign w:val="center"/>
                </w:tcPr>
                <w:p w14:paraId="060E0ED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合计</w:t>
                  </w:r>
                </w:p>
              </w:tc>
              <w:tc>
                <w:tcPr>
                  <w:tcW w:w="1591" w:type="dxa"/>
                  <w:tcBorders>
                    <w:tl2br w:val="nil"/>
                    <w:tr2bl w:val="nil"/>
                  </w:tcBorders>
                  <w:noWrap w:val="0"/>
                  <w:vAlign w:val="center"/>
                </w:tcPr>
                <w:p w14:paraId="0FF1064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16018.418</w:t>
                  </w:r>
                </w:p>
              </w:tc>
            </w:tr>
          </w:tbl>
          <w:p w14:paraId="351DB1FE">
            <w:pPr>
              <w:keepNext w:val="0"/>
              <w:keepLines w:val="0"/>
              <w:pageBreakBefore w:val="0"/>
              <w:widowControl w:val="0"/>
              <w:kinsoku/>
              <w:wordWrap/>
              <w:overflowPunct/>
              <w:topLinePunct w:val="0"/>
              <w:autoSpaceDE/>
              <w:autoSpaceDN/>
              <w:bidi w:val="0"/>
              <w:adjustRightInd w:val="0"/>
              <w:snapToGrid w:val="0"/>
              <w:spacing w:before="157" w:beforeLines="50" w:line="32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表2-</w:t>
            </w:r>
            <w:r>
              <w:rPr>
                <w:rFonts w:hint="eastAsia" w:ascii="Times New Roman" w:hAnsi="Times New Roman" w:eastAsia="宋体" w:cs="Times New Roman"/>
                <w:b/>
                <w:bCs/>
                <w:color w:val="auto"/>
                <w:sz w:val="21"/>
                <w:szCs w:val="21"/>
                <w:highlight w:val="none"/>
                <w:lang w:val="en-US" w:eastAsia="zh-CN"/>
              </w:rPr>
              <w:t>8</w:t>
            </w:r>
            <w:r>
              <w:rPr>
                <w:rFonts w:hint="default" w:ascii="Times New Roman" w:hAnsi="Times New Roman" w:eastAsia="宋体" w:cs="Times New Roman"/>
                <w:b/>
                <w:bCs/>
                <w:color w:val="auto"/>
                <w:sz w:val="21"/>
                <w:szCs w:val="21"/>
                <w:highlight w:val="none"/>
              </w:rPr>
              <w:t xml:space="preserve">  </w:t>
            </w:r>
            <w:r>
              <w:rPr>
                <w:rFonts w:hint="eastAsia" w:ascii="Times New Roman" w:hAnsi="Times New Roman" w:eastAsia="宋体" w:cs="Times New Roman"/>
                <w:b/>
                <w:bCs/>
                <w:color w:val="auto"/>
                <w:sz w:val="21"/>
                <w:szCs w:val="21"/>
                <w:highlight w:val="none"/>
                <w:lang w:val="en-US" w:eastAsia="zh-CN"/>
              </w:rPr>
              <w:t>固体复合微生物肥</w:t>
            </w:r>
            <w:r>
              <w:rPr>
                <w:rFonts w:hint="default" w:ascii="Times New Roman" w:hAnsi="Times New Roman" w:eastAsia="宋体" w:cs="Times New Roman"/>
                <w:b/>
                <w:bCs/>
                <w:color w:val="auto"/>
                <w:sz w:val="21"/>
                <w:szCs w:val="21"/>
                <w:highlight w:val="none"/>
              </w:rPr>
              <w:t>物料平衡一览表</w:t>
            </w:r>
          </w:p>
          <w:tbl>
            <w:tblPr>
              <w:tblStyle w:val="26"/>
              <w:tblW w:w="85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4"/>
              <w:gridCol w:w="1476"/>
              <w:gridCol w:w="710"/>
              <w:gridCol w:w="1272"/>
              <w:gridCol w:w="1246"/>
              <w:gridCol w:w="1619"/>
            </w:tblGrid>
            <w:tr w14:paraId="5999F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34" w:type="dxa"/>
                  <w:tcBorders>
                    <w:tl2br w:val="nil"/>
                    <w:tr2bl w:val="nil"/>
                  </w:tcBorders>
                  <w:noWrap w:val="0"/>
                  <w:vAlign w:val="center"/>
                </w:tcPr>
                <w:p w14:paraId="5FF8134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输入</w:t>
                  </w:r>
                </w:p>
              </w:tc>
              <w:tc>
                <w:tcPr>
                  <w:tcW w:w="1476" w:type="dxa"/>
                  <w:tcBorders>
                    <w:tl2br w:val="nil"/>
                    <w:tr2bl w:val="nil"/>
                  </w:tcBorders>
                  <w:noWrap w:val="0"/>
                  <w:vAlign w:val="center"/>
                </w:tcPr>
                <w:p w14:paraId="7BA516E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总耗量（t/a）</w:t>
                  </w:r>
                </w:p>
              </w:tc>
              <w:tc>
                <w:tcPr>
                  <w:tcW w:w="3228" w:type="dxa"/>
                  <w:gridSpan w:val="3"/>
                  <w:tcBorders>
                    <w:tl2br w:val="nil"/>
                    <w:tr2bl w:val="nil"/>
                  </w:tcBorders>
                  <w:noWrap w:val="0"/>
                  <w:vAlign w:val="center"/>
                </w:tcPr>
                <w:p w14:paraId="755E7D6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输出</w:t>
                  </w:r>
                </w:p>
              </w:tc>
              <w:tc>
                <w:tcPr>
                  <w:tcW w:w="1619" w:type="dxa"/>
                  <w:tcBorders>
                    <w:tl2br w:val="nil"/>
                    <w:tr2bl w:val="nil"/>
                  </w:tcBorders>
                  <w:noWrap w:val="0"/>
                  <w:vAlign w:val="center"/>
                </w:tcPr>
                <w:p w14:paraId="3FE8656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物料量（t/a）</w:t>
                  </w:r>
                </w:p>
              </w:tc>
            </w:tr>
            <w:tr w14:paraId="742D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34" w:type="dxa"/>
                  <w:tcBorders>
                    <w:tl2br w:val="nil"/>
                    <w:tr2bl w:val="nil"/>
                  </w:tcBorders>
                  <w:noWrap w:val="0"/>
                  <w:vAlign w:val="center"/>
                </w:tcPr>
                <w:p w14:paraId="7B2B7B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果蔬渣</w:t>
                  </w:r>
                  <w:r>
                    <w:rPr>
                      <w:rFonts w:hint="eastAsia" w:cs="Times New Roman"/>
                      <w:color w:val="auto"/>
                      <w:sz w:val="21"/>
                      <w:szCs w:val="21"/>
                      <w:highlight w:val="none"/>
                      <w:lang w:val="en-US" w:eastAsia="zh-CN"/>
                    </w:rPr>
                    <w:t>（水分66.7%）</w:t>
                  </w:r>
                </w:p>
              </w:tc>
              <w:tc>
                <w:tcPr>
                  <w:tcW w:w="1476" w:type="dxa"/>
                  <w:tcBorders>
                    <w:tl2br w:val="nil"/>
                    <w:tr2bl w:val="nil"/>
                  </w:tcBorders>
                  <w:noWrap w:val="0"/>
                  <w:vAlign w:val="center"/>
                </w:tcPr>
                <w:p w14:paraId="11FB6FF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89910</w:t>
                  </w:r>
                </w:p>
              </w:tc>
              <w:tc>
                <w:tcPr>
                  <w:tcW w:w="710" w:type="dxa"/>
                  <w:tcBorders>
                    <w:tl2br w:val="nil"/>
                    <w:tr2bl w:val="nil"/>
                  </w:tcBorders>
                  <w:noWrap w:val="0"/>
                  <w:vAlign w:val="center"/>
                </w:tcPr>
                <w:p w14:paraId="2F4050F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产品</w:t>
                  </w:r>
                </w:p>
              </w:tc>
              <w:tc>
                <w:tcPr>
                  <w:tcW w:w="2518" w:type="dxa"/>
                  <w:gridSpan w:val="2"/>
                  <w:tcBorders>
                    <w:tl2br w:val="nil"/>
                    <w:tr2bl w:val="nil"/>
                  </w:tcBorders>
                  <w:noWrap w:val="0"/>
                  <w:vAlign w:val="center"/>
                </w:tcPr>
                <w:p w14:paraId="06F34CE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固体复合微生物肥</w:t>
                  </w:r>
                </w:p>
              </w:tc>
              <w:tc>
                <w:tcPr>
                  <w:tcW w:w="1619" w:type="dxa"/>
                  <w:tcBorders>
                    <w:tl2br w:val="nil"/>
                    <w:tr2bl w:val="nil"/>
                  </w:tcBorders>
                  <w:noWrap w:val="0"/>
                  <w:vAlign w:val="center"/>
                </w:tcPr>
                <w:p w14:paraId="2CAABCB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86000</w:t>
                  </w:r>
                </w:p>
              </w:tc>
            </w:tr>
            <w:tr w14:paraId="447CF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34" w:type="dxa"/>
                  <w:vMerge w:val="restart"/>
                  <w:tcBorders>
                    <w:tl2br w:val="nil"/>
                    <w:tr2bl w:val="nil"/>
                  </w:tcBorders>
                  <w:noWrap w:val="0"/>
                  <w:vAlign w:val="center"/>
                </w:tcPr>
                <w:p w14:paraId="53D92D90">
                  <w:pPr>
                    <w:pStyle w:val="25"/>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甘蔗叶子</w:t>
                  </w:r>
                  <w:r>
                    <w:rPr>
                      <w:rFonts w:hint="eastAsia"/>
                      <w:color w:val="auto"/>
                      <w:szCs w:val="21"/>
                      <w:highlight w:val="none"/>
                      <w:lang w:eastAsia="zh-CN"/>
                    </w:rPr>
                    <w:t>（</w:t>
                  </w:r>
                  <w:r>
                    <w:rPr>
                      <w:rFonts w:hint="eastAsia"/>
                      <w:color w:val="auto"/>
                      <w:szCs w:val="21"/>
                      <w:highlight w:val="none"/>
                      <w:lang w:val="en-US" w:eastAsia="zh-CN"/>
                    </w:rPr>
                    <w:t>水分10%</w:t>
                  </w:r>
                  <w:r>
                    <w:rPr>
                      <w:rFonts w:hint="eastAsia"/>
                      <w:color w:val="auto"/>
                      <w:szCs w:val="21"/>
                      <w:highlight w:val="none"/>
                      <w:lang w:eastAsia="zh-CN"/>
                    </w:rPr>
                    <w:t>）</w:t>
                  </w:r>
                </w:p>
              </w:tc>
              <w:tc>
                <w:tcPr>
                  <w:tcW w:w="1476" w:type="dxa"/>
                  <w:vMerge w:val="restart"/>
                  <w:tcBorders>
                    <w:tl2br w:val="nil"/>
                    <w:tr2bl w:val="nil"/>
                  </w:tcBorders>
                  <w:noWrap w:val="0"/>
                  <w:vAlign w:val="center"/>
                </w:tcPr>
                <w:p w14:paraId="1CB7C68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2830.5</w:t>
                  </w:r>
                </w:p>
              </w:tc>
              <w:tc>
                <w:tcPr>
                  <w:tcW w:w="710" w:type="dxa"/>
                  <w:vMerge w:val="restart"/>
                  <w:tcBorders>
                    <w:tl2br w:val="nil"/>
                    <w:tr2bl w:val="nil"/>
                  </w:tcBorders>
                  <w:noWrap w:val="0"/>
                  <w:vAlign w:val="center"/>
                </w:tcPr>
                <w:p w14:paraId="70163FA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废气带走</w:t>
                  </w:r>
                </w:p>
              </w:tc>
              <w:tc>
                <w:tcPr>
                  <w:tcW w:w="1272" w:type="dxa"/>
                  <w:tcBorders>
                    <w:tl2br w:val="nil"/>
                    <w:tr2bl w:val="nil"/>
                  </w:tcBorders>
                  <w:noWrap w:val="0"/>
                  <w:vAlign w:val="center"/>
                </w:tcPr>
                <w:p w14:paraId="7A3F9A7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有组织排放</w:t>
                  </w:r>
                </w:p>
              </w:tc>
              <w:tc>
                <w:tcPr>
                  <w:tcW w:w="1246" w:type="dxa"/>
                  <w:tcBorders>
                    <w:tl2br w:val="nil"/>
                    <w:tr2bl w:val="nil"/>
                  </w:tcBorders>
                  <w:noWrap w:val="0"/>
                  <w:vAlign w:val="center"/>
                </w:tcPr>
                <w:p w14:paraId="1E9F153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颗粒物</w:t>
                  </w:r>
                </w:p>
              </w:tc>
              <w:tc>
                <w:tcPr>
                  <w:tcW w:w="1619" w:type="dxa"/>
                  <w:tcBorders>
                    <w:tl2br w:val="nil"/>
                    <w:tr2bl w:val="nil"/>
                  </w:tcBorders>
                  <w:noWrap w:val="0"/>
                  <w:vAlign w:val="center"/>
                </w:tcPr>
                <w:p w14:paraId="105B315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0.509</w:t>
                  </w:r>
                </w:p>
              </w:tc>
            </w:tr>
            <w:tr w14:paraId="0AE1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34" w:type="dxa"/>
                  <w:vMerge w:val="continue"/>
                  <w:tcBorders>
                    <w:tl2br w:val="nil"/>
                    <w:tr2bl w:val="nil"/>
                  </w:tcBorders>
                  <w:noWrap w:val="0"/>
                  <w:vAlign w:val="center"/>
                </w:tcPr>
                <w:p w14:paraId="018862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highlight w:val="none"/>
                    </w:rPr>
                  </w:pPr>
                </w:p>
              </w:tc>
              <w:tc>
                <w:tcPr>
                  <w:tcW w:w="1476" w:type="dxa"/>
                  <w:vMerge w:val="continue"/>
                  <w:tcBorders>
                    <w:tl2br w:val="nil"/>
                    <w:tr2bl w:val="nil"/>
                  </w:tcBorders>
                  <w:noWrap w:val="0"/>
                  <w:vAlign w:val="center"/>
                </w:tcPr>
                <w:p w14:paraId="544CB6C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highlight w:val="none"/>
                    </w:rPr>
                  </w:pPr>
                </w:p>
              </w:tc>
              <w:tc>
                <w:tcPr>
                  <w:tcW w:w="710" w:type="dxa"/>
                  <w:vMerge w:val="continue"/>
                  <w:tcBorders>
                    <w:tl2br w:val="nil"/>
                    <w:tr2bl w:val="nil"/>
                  </w:tcBorders>
                  <w:noWrap w:val="0"/>
                  <w:vAlign w:val="center"/>
                </w:tcPr>
                <w:p w14:paraId="4900F3E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highlight w:val="none"/>
                    </w:rPr>
                  </w:pPr>
                </w:p>
              </w:tc>
              <w:tc>
                <w:tcPr>
                  <w:tcW w:w="1272" w:type="dxa"/>
                  <w:tcBorders>
                    <w:tl2br w:val="nil"/>
                    <w:tr2bl w:val="nil"/>
                  </w:tcBorders>
                  <w:noWrap w:val="0"/>
                  <w:vAlign w:val="center"/>
                </w:tcPr>
                <w:p w14:paraId="68A751B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无组织排放</w:t>
                  </w:r>
                </w:p>
              </w:tc>
              <w:tc>
                <w:tcPr>
                  <w:tcW w:w="1246" w:type="dxa"/>
                  <w:tcBorders>
                    <w:tl2br w:val="nil"/>
                    <w:tr2bl w:val="nil"/>
                  </w:tcBorders>
                  <w:noWrap w:val="0"/>
                  <w:vAlign w:val="center"/>
                </w:tcPr>
                <w:p w14:paraId="5CCFF6A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颗粒物</w:t>
                  </w:r>
                </w:p>
              </w:tc>
              <w:tc>
                <w:tcPr>
                  <w:tcW w:w="1619" w:type="dxa"/>
                  <w:tcBorders>
                    <w:tl2br w:val="nil"/>
                    <w:tr2bl w:val="nil"/>
                  </w:tcBorders>
                  <w:noWrap w:val="0"/>
                  <w:vAlign w:val="center"/>
                </w:tcPr>
                <w:p w14:paraId="2929BB7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1.272</w:t>
                  </w:r>
                </w:p>
              </w:tc>
            </w:tr>
            <w:tr w14:paraId="2D8B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34" w:type="dxa"/>
                  <w:tcBorders>
                    <w:tl2br w:val="nil"/>
                    <w:tr2bl w:val="nil"/>
                  </w:tcBorders>
                  <w:noWrap w:val="0"/>
                  <w:vAlign w:val="center"/>
                </w:tcPr>
                <w:p w14:paraId="7D33B2DA">
                  <w:pPr>
                    <w:pStyle w:val="25"/>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玉米秸秆</w:t>
                  </w:r>
                  <w:r>
                    <w:rPr>
                      <w:rFonts w:hint="eastAsia"/>
                      <w:color w:val="auto"/>
                      <w:szCs w:val="21"/>
                      <w:highlight w:val="none"/>
                      <w:lang w:eastAsia="zh-CN"/>
                    </w:rPr>
                    <w:t>（</w:t>
                  </w:r>
                  <w:r>
                    <w:rPr>
                      <w:rFonts w:hint="eastAsia"/>
                      <w:color w:val="auto"/>
                      <w:szCs w:val="21"/>
                      <w:highlight w:val="none"/>
                      <w:lang w:val="en-US" w:eastAsia="zh-CN"/>
                    </w:rPr>
                    <w:t>水分10%</w:t>
                  </w:r>
                  <w:r>
                    <w:rPr>
                      <w:rFonts w:hint="eastAsia"/>
                      <w:color w:val="auto"/>
                      <w:szCs w:val="21"/>
                      <w:highlight w:val="none"/>
                      <w:lang w:eastAsia="zh-CN"/>
                    </w:rPr>
                    <w:t>）</w:t>
                  </w:r>
                </w:p>
              </w:tc>
              <w:tc>
                <w:tcPr>
                  <w:tcW w:w="1476" w:type="dxa"/>
                  <w:tcBorders>
                    <w:tl2br w:val="nil"/>
                    <w:tr2bl w:val="nil"/>
                  </w:tcBorders>
                  <w:noWrap w:val="0"/>
                  <w:vAlign w:val="center"/>
                </w:tcPr>
                <w:p w14:paraId="1BE9EE8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2830.5</w:t>
                  </w:r>
                </w:p>
              </w:tc>
              <w:tc>
                <w:tcPr>
                  <w:tcW w:w="710" w:type="dxa"/>
                  <w:vMerge w:val="continue"/>
                  <w:tcBorders>
                    <w:tl2br w:val="nil"/>
                    <w:tr2bl w:val="nil"/>
                  </w:tcBorders>
                  <w:noWrap w:val="0"/>
                  <w:vAlign w:val="center"/>
                </w:tcPr>
                <w:p w14:paraId="535249E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rPr>
                  </w:pPr>
                </w:p>
              </w:tc>
              <w:tc>
                <w:tcPr>
                  <w:tcW w:w="2518" w:type="dxa"/>
                  <w:gridSpan w:val="2"/>
                  <w:tcBorders>
                    <w:tl2br w:val="nil"/>
                    <w:tr2bl w:val="nil"/>
                  </w:tcBorders>
                  <w:shd w:val="clear" w:color="auto" w:fill="auto"/>
                  <w:noWrap w:val="0"/>
                  <w:vAlign w:val="center"/>
                </w:tcPr>
                <w:p w14:paraId="0FDB40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水分</w:t>
                  </w:r>
                </w:p>
              </w:tc>
              <w:tc>
                <w:tcPr>
                  <w:tcW w:w="1619" w:type="dxa"/>
                  <w:tcBorders>
                    <w:tl2br w:val="nil"/>
                    <w:tr2bl w:val="nil"/>
                  </w:tcBorders>
                  <w:shd w:val="clear" w:color="auto" w:fill="auto"/>
                  <w:noWrap w:val="0"/>
                  <w:vAlign w:val="center"/>
                </w:tcPr>
                <w:p w14:paraId="2D813B9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20942.37</w:t>
                  </w:r>
                </w:p>
              </w:tc>
            </w:tr>
            <w:tr w14:paraId="5688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34" w:type="dxa"/>
                  <w:tcBorders>
                    <w:tl2br w:val="nil"/>
                    <w:tr2bl w:val="nil"/>
                  </w:tcBorders>
                  <w:noWrap w:val="0"/>
                  <w:vAlign w:val="center"/>
                </w:tcPr>
                <w:p w14:paraId="3EDA3C5A">
                  <w:pPr>
                    <w:pStyle w:val="25"/>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菊花渣</w:t>
                  </w:r>
                  <w:r>
                    <w:rPr>
                      <w:rFonts w:hint="eastAsia"/>
                      <w:color w:val="auto"/>
                      <w:szCs w:val="21"/>
                      <w:highlight w:val="none"/>
                      <w:lang w:eastAsia="zh-CN"/>
                    </w:rPr>
                    <w:t>（</w:t>
                  </w:r>
                  <w:r>
                    <w:rPr>
                      <w:rFonts w:hint="eastAsia"/>
                      <w:color w:val="auto"/>
                      <w:szCs w:val="21"/>
                      <w:highlight w:val="none"/>
                      <w:lang w:val="en-US" w:eastAsia="zh-CN"/>
                    </w:rPr>
                    <w:t>水分10%</w:t>
                  </w:r>
                  <w:r>
                    <w:rPr>
                      <w:rFonts w:hint="eastAsia"/>
                      <w:color w:val="auto"/>
                      <w:szCs w:val="21"/>
                      <w:highlight w:val="none"/>
                      <w:lang w:eastAsia="zh-CN"/>
                    </w:rPr>
                    <w:t>）</w:t>
                  </w:r>
                </w:p>
              </w:tc>
              <w:tc>
                <w:tcPr>
                  <w:tcW w:w="1476" w:type="dxa"/>
                  <w:tcBorders>
                    <w:tl2br w:val="nil"/>
                    <w:tr2bl w:val="nil"/>
                  </w:tcBorders>
                  <w:noWrap w:val="0"/>
                  <w:vAlign w:val="center"/>
                </w:tcPr>
                <w:p w14:paraId="3D3F776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2830.5</w:t>
                  </w:r>
                </w:p>
              </w:tc>
              <w:tc>
                <w:tcPr>
                  <w:tcW w:w="710" w:type="dxa"/>
                  <w:vMerge w:val="restart"/>
                  <w:tcBorders>
                    <w:tl2br w:val="nil"/>
                    <w:tr2bl w:val="nil"/>
                  </w:tcBorders>
                  <w:noWrap w:val="0"/>
                  <w:vAlign w:val="center"/>
                </w:tcPr>
                <w:p w14:paraId="35F141A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固废</w:t>
                  </w:r>
                </w:p>
              </w:tc>
              <w:tc>
                <w:tcPr>
                  <w:tcW w:w="2518" w:type="dxa"/>
                  <w:gridSpan w:val="2"/>
                  <w:tcBorders>
                    <w:tl2br w:val="nil"/>
                    <w:tr2bl w:val="nil"/>
                  </w:tcBorders>
                  <w:shd w:val="clear" w:color="auto" w:fill="auto"/>
                  <w:noWrap w:val="0"/>
                  <w:vAlign w:val="center"/>
                </w:tcPr>
                <w:p w14:paraId="17D36F8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不合格品</w:t>
                  </w:r>
                </w:p>
              </w:tc>
              <w:tc>
                <w:tcPr>
                  <w:tcW w:w="1619" w:type="dxa"/>
                  <w:tcBorders>
                    <w:tl2br w:val="nil"/>
                    <w:tr2bl w:val="nil"/>
                  </w:tcBorders>
                  <w:shd w:val="clear" w:color="auto" w:fill="auto"/>
                  <w:noWrap w:val="0"/>
                  <w:vAlign w:val="center"/>
                </w:tcPr>
                <w:p w14:paraId="2CA57F4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428.5</w:t>
                  </w:r>
                </w:p>
              </w:tc>
            </w:tr>
            <w:tr w14:paraId="4252A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34" w:type="dxa"/>
                  <w:tcBorders>
                    <w:tl2br w:val="nil"/>
                    <w:tr2bl w:val="nil"/>
                  </w:tcBorders>
                  <w:noWrap w:val="0"/>
                  <w:vAlign w:val="center"/>
                </w:tcPr>
                <w:p w14:paraId="3D42BEA2">
                  <w:pPr>
                    <w:pStyle w:val="25"/>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olor w:val="auto"/>
                      <w:szCs w:val="21"/>
                      <w:highlight w:val="none"/>
                    </w:rPr>
                    <w:t>椰糠</w:t>
                  </w:r>
                  <w:r>
                    <w:rPr>
                      <w:rFonts w:hint="eastAsia"/>
                      <w:color w:val="auto"/>
                      <w:szCs w:val="21"/>
                      <w:highlight w:val="none"/>
                      <w:lang w:eastAsia="zh-CN"/>
                    </w:rPr>
                    <w:t>（</w:t>
                  </w:r>
                  <w:r>
                    <w:rPr>
                      <w:rFonts w:hint="eastAsia"/>
                      <w:color w:val="auto"/>
                      <w:szCs w:val="21"/>
                      <w:highlight w:val="none"/>
                      <w:lang w:val="en-US" w:eastAsia="zh-CN"/>
                    </w:rPr>
                    <w:t>水分10%</w:t>
                  </w:r>
                  <w:r>
                    <w:rPr>
                      <w:rFonts w:hint="eastAsia"/>
                      <w:color w:val="auto"/>
                      <w:szCs w:val="21"/>
                      <w:highlight w:val="none"/>
                      <w:lang w:eastAsia="zh-CN"/>
                    </w:rPr>
                    <w:t>）</w:t>
                  </w:r>
                </w:p>
              </w:tc>
              <w:tc>
                <w:tcPr>
                  <w:tcW w:w="1476" w:type="dxa"/>
                  <w:tcBorders>
                    <w:tl2br w:val="nil"/>
                    <w:tr2bl w:val="nil"/>
                  </w:tcBorders>
                  <w:noWrap w:val="0"/>
                  <w:vAlign w:val="center"/>
                </w:tcPr>
                <w:p w14:paraId="75C11C8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2830.5</w:t>
                  </w:r>
                </w:p>
              </w:tc>
              <w:tc>
                <w:tcPr>
                  <w:tcW w:w="710" w:type="dxa"/>
                  <w:vMerge w:val="continue"/>
                  <w:tcBorders>
                    <w:tl2br w:val="nil"/>
                    <w:tr2bl w:val="nil"/>
                  </w:tcBorders>
                  <w:noWrap w:val="0"/>
                  <w:vAlign w:val="center"/>
                </w:tcPr>
                <w:p w14:paraId="1EB57FC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p>
              </w:tc>
              <w:tc>
                <w:tcPr>
                  <w:tcW w:w="2518" w:type="dxa"/>
                  <w:gridSpan w:val="2"/>
                  <w:tcBorders>
                    <w:tl2br w:val="nil"/>
                    <w:tr2bl w:val="nil"/>
                  </w:tcBorders>
                  <w:shd w:val="clear" w:color="auto" w:fill="auto"/>
                  <w:noWrap w:val="0"/>
                  <w:vAlign w:val="center"/>
                </w:tcPr>
                <w:p w14:paraId="77D8450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布袋集尘</w:t>
                  </w:r>
                  <w:r>
                    <w:rPr>
                      <w:rFonts w:hint="eastAsia" w:cs="Times New Roman"/>
                      <w:bCs/>
                      <w:color w:val="auto"/>
                      <w:kern w:val="2"/>
                      <w:sz w:val="21"/>
                      <w:szCs w:val="21"/>
                      <w:highlight w:val="none"/>
                      <w:lang w:val="en-US" w:eastAsia="zh-CN" w:bidi="ar-SA"/>
                    </w:rPr>
                    <w:t>及厂房降尘</w:t>
                  </w:r>
                </w:p>
              </w:tc>
              <w:tc>
                <w:tcPr>
                  <w:tcW w:w="1619" w:type="dxa"/>
                  <w:tcBorders>
                    <w:tl2br w:val="nil"/>
                    <w:tr2bl w:val="nil"/>
                  </w:tcBorders>
                  <w:shd w:val="clear" w:color="auto" w:fill="auto"/>
                  <w:noWrap w:val="0"/>
                  <w:vAlign w:val="center"/>
                </w:tcPr>
                <w:p w14:paraId="0439681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30.039</w:t>
                  </w:r>
                </w:p>
              </w:tc>
            </w:tr>
            <w:tr w14:paraId="63BFC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34" w:type="dxa"/>
                  <w:tcBorders>
                    <w:tl2br w:val="nil"/>
                    <w:tr2bl w:val="nil"/>
                  </w:tcBorders>
                  <w:noWrap w:val="0"/>
                  <w:vAlign w:val="center"/>
                </w:tcPr>
                <w:p w14:paraId="45F57936">
                  <w:pPr>
                    <w:pStyle w:val="25"/>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olor w:val="auto"/>
                      <w:szCs w:val="21"/>
                      <w:highlight w:val="none"/>
                    </w:rPr>
                    <w:t>微生物菌剂</w:t>
                  </w:r>
                </w:p>
              </w:tc>
              <w:tc>
                <w:tcPr>
                  <w:tcW w:w="1476" w:type="dxa"/>
                  <w:tcBorders>
                    <w:tl2br w:val="nil"/>
                    <w:tr2bl w:val="nil"/>
                  </w:tcBorders>
                  <w:noWrap w:val="0"/>
                  <w:vAlign w:val="center"/>
                </w:tcPr>
                <w:p w14:paraId="6A1B02E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2664</w:t>
                  </w:r>
                </w:p>
              </w:tc>
              <w:tc>
                <w:tcPr>
                  <w:tcW w:w="710" w:type="dxa"/>
                  <w:tcBorders>
                    <w:tl2br w:val="nil"/>
                    <w:tr2bl w:val="nil"/>
                  </w:tcBorders>
                  <w:shd w:val="clear" w:color="auto" w:fill="auto"/>
                  <w:noWrap w:val="0"/>
                  <w:vAlign w:val="center"/>
                </w:tcPr>
                <w:p w14:paraId="7BD0331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废水</w:t>
                  </w:r>
                </w:p>
              </w:tc>
              <w:tc>
                <w:tcPr>
                  <w:tcW w:w="2518" w:type="dxa"/>
                  <w:gridSpan w:val="2"/>
                  <w:tcBorders>
                    <w:tl2br w:val="nil"/>
                    <w:tr2bl w:val="nil"/>
                  </w:tcBorders>
                  <w:shd w:val="clear" w:color="auto" w:fill="auto"/>
                  <w:noWrap w:val="0"/>
                  <w:vAlign w:val="center"/>
                </w:tcPr>
                <w:p w14:paraId="69BCB54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渗滤液</w:t>
                  </w:r>
                </w:p>
              </w:tc>
              <w:tc>
                <w:tcPr>
                  <w:tcW w:w="1619" w:type="dxa"/>
                  <w:tcBorders>
                    <w:tl2br w:val="nil"/>
                    <w:tr2bl w:val="nil"/>
                  </w:tcBorders>
                  <w:shd w:val="clear" w:color="auto" w:fill="auto"/>
                  <w:noWrap w:val="0"/>
                  <w:vAlign w:val="center"/>
                </w:tcPr>
                <w:p w14:paraId="673BD3F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6073.92</w:t>
                  </w:r>
                </w:p>
              </w:tc>
            </w:tr>
            <w:tr w14:paraId="1417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34" w:type="dxa"/>
                  <w:tcBorders>
                    <w:tl2br w:val="nil"/>
                    <w:tr2bl w:val="nil"/>
                  </w:tcBorders>
                  <w:noWrap w:val="0"/>
                  <w:vAlign w:val="center"/>
                </w:tcPr>
                <w:p w14:paraId="1BB389D7">
                  <w:pPr>
                    <w:pStyle w:val="25"/>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color w:val="auto"/>
                      <w:highlight w:val="none"/>
                    </w:rPr>
                    <w:t>多元素矿物配料</w:t>
                  </w:r>
                </w:p>
              </w:tc>
              <w:tc>
                <w:tcPr>
                  <w:tcW w:w="1476" w:type="dxa"/>
                  <w:tcBorders>
                    <w:tl2br w:val="nil"/>
                    <w:tr2bl w:val="nil"/>
                  </w:tcBorders>
                  <w:noWrap w:val="0"/>
                  <w:vAlign w:val="center"/>
                </w:tcPr>
                <w:p w14:paraId="7F11F9A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8308.55</w:t>
                  </w:r>
                </w:p>
              </w:tc>
              <w:tc>
                <w:tcPr>
                  <w:tcW w:w="710" w:type="dxa"/>
                  <w:tcBorders>
                    <w:tl2br w:val="nil"/>
                    <w:tr2bl w:val="nil"/>
                  </w:tcBorders>
                  <w:noWrap w:val="0"/>
                  <w:vAlign w:val="center"/>
                </w:tcPr>
                <w:p w14:paraId="74B97C2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2518" w:type="dxa"/>
                  <w:gridSpan w:val="2"/>
                  <w:tcBorders>
                    <w:tl2br w:val="nil"/>
                    <w:tr2bl w:val="nil"/>
                  </w:tcBorders>
                  <w:noWrap w:val="0"/>
                  <w:vAlign w:val="center"/>
                </w:tcPr>
                <w:p w14:paraId="6CC6B60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1619" w:type="dxa"/>
                  <w:tcBorders>
                    <w:tl2br w:val="nil"/>
                    <w:tr2bl w:val="nil"/>
                  </w:tcBorders>
                  <w:noWrap w:val="0"/>
                  <w:vAlign w:val="center"/>
                </w:tcPr>
                <w:p w14:paraId="53C31B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r>
            <w:tr w14:paraId="15DC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34" w:type="dxa"/>
                  <w:tcBorders>
                    <w:tl2br w:val="nil"/>
                    <w:tr2bl w:val="nil"/>
                  </w:tcBorders>
                  <w:noWrap w:val="0"/>
                  <w:vAlign w:val="center"/>
                </w:tcPr>
                <w:p w14:paraId="75C93C92">
                  <w:pPr>
                    <w:pStyle w:val="25"/>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olor w:val="auto"/>
                      <w:highlight w:val="none"/>
                    </w:rPr>
                    <w:t>草木灰</w:t>
                  </w:r>
                </w:p>
              </w:tc>
              <w:tc>
                <w:tcPr>
                  <w:tcW w:w="1476" w:type="dxa"/>
                  <w:tcBorders>
                    <w:tl2br w:val="nil"/>
                    <w:tr2bl w:val="nil"/>
                  </w:tcBorders>
                  <w:noWrap w:val="0"/>
                  <w:vAlign w:val="center"/>
                </w:tcPr>
                <w:p w14:paraId="43EA56D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1272.06</w:t>
                  </w:r>
                </w:p>
              </w:tc>
              <w:tc>
                <w:tcPr>
                  <w:tcW w:w="710" w:type="dxa"/>
                  <w:tcBorders>
                    <w:tl2br w:val="nil"/>
                    <w:tr2bl w:val="nil"/>
                  </w:tcBorders>
                  <w:noWrap w:val="0"/>
                  <w:vAlign w:val="center"/>
                </w:tcPr>
                <w:p w14:paraId="2A96FCF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2518" w:type="dxa"/>
                  <w:gridSpan w:val="2"/>
                  <w:tcBorders>
                    <w:tl2br w:val="nil"/>
                    <w:tr2bl w:val="nil"/>
                  </w:tcBorders>
                  <w:noWrap w:val="0"/>
                  <w:vAlign w:val="center"/>
                </w:tcPr>
                <w:p w14:paraId="4211ED4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1619" w:type="dxa"/>
                  <w:tcBorders>
                    <w:tl2br w:val="nil"/>
                    <w:tr2bl w:val="nil"/>
                  </w:tcBorders>
                  <w:noWrap w:val="0"/>
                  <w:vAlign w:val="center"/>
                </w:tcPr>
                <w:p w14:paraId="3B3A218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r>
            <w:tr w14:paraId="23F5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34" w:type="dxa"/>
                  <w:tcBorders>
                    <w:tl2br w:val="nil"/>
                    <w:tr2bl w:val="nil"/>
                  </w:tcBorders>
                  <w:noWrap w:val="0"/>
                  <w:vAlign w:val="center"/>
                </w:tcPr>
                <w:p w14:paraId="52E3CAC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合计</w:t>
                  </w:r>
                </w:p>
              </w:tc>
              <w:tc>
                <w:tcPr>
                  <w:tcW w:w="1476" w:type="dxa"/>
                  <w:tcBorders>
                    <w:tl2br w:val="nil"/>
                    <w:tr2bl w:val="nil"/>
                  </w:tcBorders>
                  <w:noWrap w:val="0"/>
                  <w:vAlign w:val="center"/>
                </w:tcPr>
                <w:p w14:paraId="3331D2C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113476.61</w:t>
                  </w:r>
                </w:p>
              </w:tc>
              <w:tc>
                <w:tcPr>
                  <w:tcW w:w="3228" w:type="dxa"/>
                  <w:gridSpan w:val="3"/>
                  <w:tcBorders>
                    <w:tl2br w:val="nil"/>
                    <w:tr2bl w:val="nil"/>
                  </w:tcBorders>
                  <w:noWrap w:val="0"/>
                  <w:vAlign w:val="center"/>
                </w:tcPr>
                <w:p w14:paraId="060F605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合计</w:t>
                  </w:r>
                </w:p>
              </w:tc>
              <w:tc>
                <w:tcPr>
                  <w:tcW w:w="1619" w:type="dxa"/>
                  <w:tcBorders>
                    <w:tl2br w:val="nil"/>
                    <w:tr2bl w:val="nil"/>
                  </w:tcBorders>
                  <w:noWrap w:val="0"/>
                  <w:vAlign w:val="center"/>
                </w:tcPr>
                <w:p w14:paraId="74BB497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113476.61</w:t>
                  </w:r>
                </w:p>
              </w:tc>
            </w:tr>
          </w:tbl>
          <w:p w14:paraId="7503902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b/>
                <w:bCs/>
                <w:color w:val="auto"/>
                <w:kern w:val="0"/>
                <w:sz w:val="24"/>
                <w:highlight w:val="none"/>
                <w:lang w:val="en-US" w:eastAsia="zh-CN"/>
              </w:rPr>
            </w:pPr>
            <w:bookmarkStart w:id="30" w:name="表2-3__本项目原辅材料及燃料消耗情况"/>
            <w:bookmarkEnd w:id="30"/>
          </w:p>
          <w:p w14:paraId="47ED1B66">
            <w:pPr>
              <w:keepNext w:val="0"/>
              <w:keepLines w:val="0"/>
              <w:pageBreakBefore w:val="0"/>
              <w:widowControl w:val="0"/>
              <w:kinsoku/>
              <w:wordWrap/>
              <w:overflowPunct/>
              <w:topLinePunct w:val="0"/>
              <w:autoSpaceDE/>
              <w:autoSpaceDN/>
              <w:bidi w:val="0"/>
              <w:adjustRightInd/>
              <w:snapToGrid/>
              <w:spacing w:line="440" w:lineRule="exact"/>
              <w:textAlignment w:val="auto"/>
              <w:rPr>
                <w:b/>
                <w:bCs/>
                <w:color w:val="auto"/>
                <w:kern w:val="0"/>
                <w:sz w:val="24"/>
                <w:highlight w:val="none"/>
              </w:rPr>
            </w:pPr>
            <w:r>
              <w:rPr>
                <w:rFonts w:hint="eastAsia"/>
                <w:b/>
                <w:bCs/>
                <w:color w:val="auto"/>
                <w:kern w:val="0"/>
                <w:sz w:val="24"/>
                <w:highlight w:val="none"/>
                <w:lang w:val="en-US" w:eastAsia="zh-CN"/>
              </w:rPr>
              <w:t>6</w:t>
            </w:r>
            <w:r>
              <w:rPr>
                <w:b/>
                <w:bCs/>
                <w:color w:val="auto"/>
                <w:kern w:val="0"/>
                <w:sz w:val="24"/>
                <w:highlight w:val="none"/>
              </w:rPr>
              <w:t>、劳动定员及工作制度</w:t>
            </w:r>
          </w:p>
          <w:p w14:paraId="3477F13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highlight w:val="none"/>
                <w:lang w:eastAsia="zh-CN"/>
              </w:rPr>
            </w:pPr>
            <w:r>
              <w:rPr>
                <w:rFonts w:hint="eastAsia"/>
                <w:color w:val="auto"/>
                <w:kern w:val="0"/>
                <w:sz w:val="24"/>
                <w:highlight w:val="none"/>
                <w:lang w:val="en-US" w:eastAsia="zh-CN"/>
              </w:rPr>
              <w:t>本次扩建项目不新增劳动定员，人员由现有项目烘干生产线调控，工作制度为</w:t>
            </w:r>
            <w:r>
              <w:rPr>
                <w:color w:val="auto"/>
                <w:kern w:val="0"/>
                <w:sz w:val="24"/>
                <w:highlight w:val="none"/>
              </w:rPr>
              <w:t>年工作日</w:t>
            </w:r>
            <w:r>
              <w:rPr>
                <w:rFonts w:hint="eastAsia"/>
                <w:color w:val="auto"/>
                <w:kern w:val="0"/>
                <w:sz w:val="24"/>
                <w:highlight w:val="none"/>
              </w:rPr>
              <w:t>333</w:t>
            </w:r>
            <w:r>
              <w:rPr>
                <w:color w:val="auto"/>
                <w:kern w:val="0"/>
                <w:sz w:val="24"/>
                <w:highlight w:val="none"/>
              </w:rPr>
              <w:t>天</w:t>
            </w:r>
            <w:r>
              <w:rPr>
                <w:rFonts w:hint="eastAsia"/>
                <w:color w:val="auto"/>
                <w:kern w:val="0"/>
                <w:sz w:val="24"/>
                <w:highlight w:val="none"/>
                <w:lang w:val="en-US" w:eastAsia="zh-CN"/>
              </w:rPr>
              <w:t>，</w:t>
            </w:r>
            <w:r>
              <w:rPr>
                <w:rFonts w:hint="eastAsia"/>
                <w:color w:val="auto"/>
                <w:kern w:val="0"/>
                <w:sz w:val="24"/>
                <w:highlight w:val="none"/>
              </w:rPr>
              <w:t>劳动制度为1班制，</w:t>
            </w:r>
            <w:r>
              <w:rPr>
                <w:color w:val="auto"/>
                <w:kern w:val="0"/>
                <w:sz w:val="24"/>
                <w:highlight w:val="none"/>
              </w:rPr>
              <w:t>每班</w:t>
            </w:r>
            <w:r>
              <w:rPr>
                <w:rFonts w:hint="eastAsia"/>
                <w:color w:val="auto"/>
                <w:kern w:val="0"/>
                <w:sz w:val="24"/>
                <w:highlight w:val="none"/>
              </w:rPr>
              <w:t>生产8</w:t>
            </w:r>
            <w:r>
              <w:rPr>
                <w:color w:val="auto"/>
                <w:kern w:val="0"/>
                <w:sz w:val="24"/>
                <w:highlight w:val="none"/>
              </w:rPr>
              <w:t>小时</w:t>
            </w:r>
            <w:r>
              <w:rPr>
                <w:rFonts w:hint="eastAsia"/>
                <w:color w:val="auto"/>
                <w:kern w:val="0"/>
                <w:sz w:val="24"/>
                <w:highlight w:val="none"/>
                <w:lang w:eastAsia="zh-CN"/>
              </w:rPr>
              <w:t>。</w:t>
            </w:r>
          </w:p>
          <w:p w14:paraId="4845068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color w:val="auto"/>
                <w:kern w:val="0"/>
                <w:sz w:val="24"/>
                <w:highlight w:val="none"/>
                <w:lang w:val="en-US" w:eastAsia="zh-CN"/>
              </w:rPr>
            </w:pPr>
            <w:r>
              <w:rPr>
                <w:rFonts w:hint="eastAsia"/>
                <w:color w:val="auto"/>
                <w:kern w:val="0"/>
                <w:sz w:val="24"/>
                <w:highlight w:val="none"/>
                <w:lang w:val="en-US" w:eastAsia="zh-CN"/>
              </w:rPr>
              <w:t>本次扩建完成后全厂果蔬废弃物卸料系统、破碎压榨生产线工作制度不变，其和固体/液体复合微生物肥生产线工作制度一致为8h/d，年工作333d；尾渣一次烘干生产线每天20个小时，年工作时间由333天减至111天；生产废水处理站每天运行24个小时，为处理污水处理站产生的沼气二次烘干热风炉运行时间为24h/d，年运行333d；厂区住宿的人数5人，在厂区就餐人数中餐38人，晚餐10人。</w:t>
            </w:r>
          </w:p>
          <w:p w14:paraId="786D2EA8">
            <w:pPr>
              <w:keepNext w:val="0"/>
              <w:keepLines w:val="0"/>
              <w:pageBreakBefore w:val="0"/>
              <w:widowControl w:val="0"/>
              <w:kinsoku/>
              <w:wordWrap/>
              <w:overflowPunct/>
              <w:topLinePunct w:val="0"/>
              <w:autoSpaceDE/>
              <w:autoSpaceDN/>
              <w:bidi w:val="0"/>
              <w:adjustRightInd/>
              <w:snapToGrid/>
              <w:spacing w:line="440" w:lineRule="exact"/>
              <w:textAlignment w:val="auto"/>
              <w:rPr>
                <w:b/>
                <w:bCs/>
                <w:color w:val="auto"/>
                <w:kern w:val="0"/>
                <w:sz w:val="24"/>
                <w:highlight w:val="none"/>
              </w:rPr>
            </w:pPr>
            <w:r>
              <w:rPr>
                <w:rFonts w:hint="eastAsia"/>
                <w:b/>
                <w:bCs/>
                <w:color w:val="auto"/>
                <w:kern w:val="0"/>
                <w:sz w:val="24"/>
                <w:highlight w:val="none"/>
              </w:rPr>
              <w:t>7、施工计划</w:t>
            </w:r>
          </w:p>
          <w:p w14:paraId="0FA3C9E9">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color w:val="auto"/>
                <w:kern w:val="0"/>
                <w:sz w:val="24"/>
                <w:highlight w:val="none"/>
              </w:rPr>
            </w:pPr>
            <w:r>
              <w:rPr>
                <w:rFonts w:hint="eastAsia"/>
                <w:color w:val="auto"/>
                <w:kern w:val="0"/>
                <w:sz w:val="24"/>
                <w:highlight w:val="none"/>
              </w:rPr>
              <w:t>项目目前三通一平已完毕，其余尚未建设。拟2026年</w:t>
            </w:r>
            <w:r>
              <w:rPr>
                <w:rFonts w:hint="eastAsia"/>
                <w:color w:val="auto"/>
                <w:kern w:val="0"/>
                <w:sz w:val="24"/>
                <w:highlight w:val="none"/>
                <w:lang w:val="en-US" w:eastAsia="zh-CN"/>
              </w:rPr>
              <w:t>9</w:t>
            </w:r>
            <w:r>
              <w:rPr>
                <w:rFonts w:hint="eastAsia"/>
                <w:color w:val="auto"/>
                <w:kern w:val="0"/>
                <w:sz w:val="24"/>
                <w:highlight w:val="none"/>
              </w:rPr>
              <w:t>月开工建设，2027年</w:t>
            </w:r>
            <w:r>
              <w:rPr>
                <w:rFonts w:hint="eastAsia"/>
                <w:color w:val="auto"/>
                <w:kern w:val="0"/>
                <w:sz w:val="24"/>
                <w:highlight w:val="none"/>
                <w:lang w:val="en-US" w:eastAsia="zh-CN"/>
              </w:rPr>
              <w:t>3</w:t>
            </w:r>
            <w:r>
              <w:rPr>
                <w:rFonts w:hint="eastAsia"/>
                <w:color w:val="auto"/>
                <w:kern w:val="0"/>
                <w:sz w:val="24"/>
                <w:highlight w:val="none"/>
              </w:rPr>
              <w:t>月施工结束，施工期共计6个月。</w:t>
            </w:r>
          </w:p>
          <w:p w14:paraId="1985B242">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8、水量平衡</w:t>
            </w:r>
          </w:p>
          <w:p w14:paraId="4ACEA53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val="0"/>
                <w:color w:val="auto"/>
                <w:sz w:val="24"/>
                <w:highlight w:val="none"/>
              </w:rPr>
            </w:pPr>
            <w:r>
              <w:rPr>
                <w:rFonts w:hint="default" w:ascii="Times New Roman" w:hAnsi="Times New Roman" w:eastAsia="宋体" w:cs="Times New Roman"/>
                <w:b/>
                <w:bCs w:val="0"/>
                <w:color w:val="auto"/>
                <w:sz w:val="24"/>
                <w:highlight w:val="none"/>
              </w:rPr>
              <w:t>（1）用水量</w:t>
            </w:r>
          </w:p>
          <w:p w14:paraId="231AD76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本项目</w:t>
            </w:r>
            <w:r>
              <w:rPr>
                <w:rFonts w:hint="eastAsia" w:ascii="Times New Roman" w:hAnsi="Times New Roman" w:eastAsia="宋体" w:cs="Times New Roman"/>
                <w:b w:val="0"/>
                <w:bCs/>
                <w:color w:val="auto"/>
                <w:sz w:val="24"/>
                <w:highlight w:val="none"/>
                <w:lang w:val="en-US" w:eastAsia="zh-CN"/>
              </w:rPr>
              <w:t>不新增员工，无新增生活用水；根据工艺流程分析，本项目</w:t>
            </w:r>
            <w:r>
              <w:rPr>
                <w:rFonts w:hint="default" w:ascii="Times New Roman" w:hAnsi="Times New Roman" w:eastAsia="宋体" w:cs="Times New Roman"/>
                <w:b w:val="0"/>
                <w:bCs/>
                <w:color w:val="auto"/>
                <w:sz w:val="24"/>
                <w:highlight w:val="none"/>
              </w:rPr>
              <w:t>用水主要为</w:t>
            </w:r>
            <w:r>
              <w:rPr>
                <w:rFonts w:hint="eastAsia" w:ascii="Times New Roman" w:hAnsi="Times New Roman" w:eastAsia="宋体" w:cs="Times New Roman"/>
                <w:b w:val="0"/>
                <w:bCs/>
                <w:color w:val="auto"/>
                <w:sz w:val="24"/>
                <w:highlight w:val="none"/>
                <w:lang w:val="en-US" w:eastAsia="zh-CN"/>
              </w:rPr>
              <w:t>液体复合微生物肥生产设备清洗用水、固体复合微生物发酵区地面冲洗用水、发酵用水、实验室用水和生物过滤除臭系统喷淋用水。</w:t>
            </w:r>
          </w:p>
          <w:p w14:paraId="391453C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color w:val="auto"/>
                <w:sz w:val="24"/>
                <w:highlight w:val="none"/>
                <w:lang w:val="en-US"/>
              </w:rPr>
            </w:pPr>
            <w:r>
              <w:rPr>
                <w:rFonts w:hint="default" w:ascii="Times New Roman" w:hAnsi="Times New Roman" w:eastAsia="宋体" w:cs="Times New Roman"/>
                <w:b/>
                <w:color w:val="auto"/>
                <w:sz w:val="24"/>
                <w:highlight w:val="none"/>
                <w:lang w:val="en-US" w:eastAsia="zh-CN"/>
              </w:rPr>
              <w:t>1）</w:t>
            </w:r>
            <w:r>
              <w:rPr>
                <w:rFonts w:hint="eastAsia" w:ascii="Times New Roman" w:hAnsi="Times New Roman" w:eastAsia="宋体" w:cs="Times New Roman"/>
                <w:b/>
                <w:color w:val="auto"/>
                <w:sz w:val="24"/>
                <w:highlight w:val="none"/>
                <w:lang w:val="en-US" w:eastAsia="zh-CN"/>
              </w:rPr>
              <w:t>发酵用水</w:t>
            </w:r>
          </w:p>
          <w:p w14:paraId="00A187C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根据调查，现有项目脱水环节产生的尾菜</w:t>
            </w:r>
            <w:r>
              <w:rPr>
                <w:rFonts w:hint="default" w:ascii="Times New Roman" w:hAnsi="Times New Roman" w:eastAsia="宋体" w:cs="Times New Roman"/>
                <w:color w:val="auto"/>
                <w:sz w:val="24"/>
                <w:highlight w:val="none"/>
              </w:rPr>
              <w:t>废水产生量为700</w:t>
            </w:r>
            <w:r>
              <w:rPr>
                <w:rFonts w:hint="eastAsia"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rPr>
              <w:t>/d</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本项目拟利用其中42.9m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/d（14285.7m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/a）作为发酵液使用，其进入产品全部消耗</w:t>
            </w:r>
            <w:r>
              <w:rPr>
                <w:rFonts w:hint="default" w:ascii="Times New Roman" w:hAnsi="Times New Roman" w:eastAsia="宋体" w:cs="Times New Roman"/>
                <w:color w:val="auto"/>
                <w:sz w:val="24"/>
                <w:highlight w:val="none"/>
              </w:rPr>
              <w:t>。</w:t>
            </w:r>
          </w:p>
          <w:p w14:paraId="5E3FCE4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kern w:val="2"/>
                <w:sz w:val="24"/>
                <w:szCs w:val="24"/>
                <w:highlight w:val="none"/>
                <w:lang w:val="en-US" w:eastAsia="zh-CN" w:bidi="ar-SA"/>
              </w:rPr>
              <w:t>2）</w:t>
            </w:r>
            <w:r>
              <w:rPr>
                <w:rFonts w:hint="default" w:ascii="Times New Roman" w:hAnsi="Times New Roman" w:eastAsia="宋体" w:cs="Times New Roman"/>
                <w:b/>
                <w:color w:val="auto"/>
                <w:sz w:val="24"/>
                <w:highlight w:val="none"/>
              </w:rPr>
              <w:t>液体复合微生物肥</w:t>
            </w:r>
            <w:r>
              <w:rPr>
                <w:rFonts w:hint="eastAsia" w:ascii="Times New Roman" w:hAnsi="Times New Roman" w:eastAsia="宋体" w:cs="Times New Roman"/>
                <w:b/>
                <w:color w:val="auto"/>
                <w:sz w:val="24"/>
                <w:highlight w:val="none"/>
                <w:lang w:val="en-US" w:eastAsia="zh-CN"/>
              </w:rPr>
              <w:t>生产设备</w:t>
            </w:r>
            <w:r>
              <w:rPr>
                <w:rFonts w:hint="default" w:ascii="Times New Roman" w:hAnsi="Times New Roman" w:eastAsia="宋体" w:cs="Times New Roman"/>
                <w:b/>
                <w:color w:val="auto"/>
                <w:sz w:val="24"/>
                <w:highlight w:val="none"/>
              </w:rPr>
              <w:t>清洗用水</w:t>
            </w:r>
          </w:p>
          <w:p w14:paraId="3A4DD99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发酵罐</w:t>
            </w:r>
            <w:r>
              <w:rPr>
                <w:rFonts w:hint="eastAsia" w:ascii="Times New Roman" w:hAnsi="Times New Roman" w:eastAsia="宋体" w:cs="Times New Roman"/>
                <w:color w:val="auto"/>
                <w:sz w:val="24"/>
                <w:highlight w:val="none"/>
                <w:lang w:val="en-US" w:eastAsia="zh-CN"/>
              </w:rPr>
              <w:t>和灌装机</w:t>
            </w:r>
            <w:r>
              <w:rPr>
                <w:rFonts w:hint="default" w:ascii="Times New Roman" w:hAnsi="Times New Roman" w:eastAsia="宋体" w:cs="Times New Roman"/>
                <w:color w:val="auto"/>
                <w:sz w:val="24"/>
                <w:highlight w:val="none"/>
              </w:rPr>
              <w:t>为项目液体复合微生物肥生产设备，其在停止生产时必须冲洗干净。</w:t>
            </w:r>
          </w:p>
          <w:p w14:paraId="713DA61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cs="Times New Roman"/>
                <w:color w:val="auto"/>
                <w:sz w:val="24"/>
                <w:highlight w:val="none"/>
                <w:lang w:val="en-US" w:eastAsia="zh-CN"/>
              </w:rPr>
            </w:pPr>
            <w:r>
              <w:rPr>
                <w:rFonts w:hint="default" w:ascii="Times New Roman" w:hAnsi="Times New Roman" w:eastAsia="宋体" w:cs="Times New Roman"/>
                <w:color w:val="auto"/>
                <w:sz w:val="24"/>
                <w:highlight w:val="none"/>
              </w:rPr>
              <w:t>本项目生产线配备</w:t>
            </w:r>
            <w:r>
              <w:rPr>
                <w:rFonts w:hint="eastAsia" w:ascii="Times New Roman" w:hAnsi="Times New Roman" w:eastAsia="宋体" w:cs="Times New Roman"/>
                <w:color w:val="auto"/>
                <w:sz w:val="24"/>
                <w:highlight w:val="none"/>
                <w:lang w:val="en-US" w:eastAsia="zh-CN"/>
              </w:rPr>
              <w:t>18</w:t>
            </w:r>
            <w:r>
              <w:rPr>
                <w:rFonts w:hint="default" w:ascii="Times New Roman" w:hAnsi="Times New Roman" w:eastAsia="宋体" w:cs="Times New Roman"/>
                <w:color w:val="auto"/>
                <w:sz w:val="24"/>
                <w:highlight w:val="none"/>
              </w:rPr>
              <w:t>个发酵罐，</w:t>
            </w:r>
            <w:r>
              <w:rPr>
                <w:rFonts w:hint="eastAsia" w:cs="Times New Roman"/>
                <w:color w:val="auto"/>
                <w:sz w:val="24"/>
                <w:highlight w:val="none"/>
                <w:lang w:val="en-US" w:eastAsia="zh-CN"/>
              </w:rPr>
              <w:t>发酵时间为2d，</w:t>
            </w:r>
            <w:r>
              <w:rPr>
                <w:rFonts w:hint="eastAsia" w:ascii="Times New Roman" w:hAnsi="Times New Roman" w:eastAsia="宋体" w:cs="Times New Roman"/>
                <w:color w:val="auto"/>
                <w:sz w:val="24"/>
                <w:highlight w:val="none"/>
                <w:lang w:val="en-US" w:eastAsia="zh-CN"/>
              </w:rPr>
              <w:t>每9个1批，</w:t>
            </w:r>
            <w:r>
              <w:rPr>
                <w:rFonts w:hint="default" w:ascii="Times New Roman" w:hAnsi="Times New Roman" w:eastAsia="宋体" w:cs="Times New Roman"/>
                <w:color w:val="auto"/>
                <w:sz w:val="24"/>
                <w:highlight w:val="none"/>
              </w:rPr>
              <w:t>平均每天</w:t>
            </w:r>
            <w:r>
              <w:rPr>
                <w:rFonts w:hint="eastAsia" w:ascii="Times New Roman" w:hAnsi="Times New Roman" w:eastAsia="宋体" w:cs="Times New Roman"/>
                <w:color w:val="auto"/>
                <w:sz w:val="24"/>
                <w:highlight w:val="none"/>
                <w:lang w:val="en-US" w:eastAsia="zh-CN"/>
              </w:rPr>
              <w:t>有9</w:t>
            </w:r>
            <w:r>
              <w:rPr>
                <w:rFonts w:hint="default" w:ascii="Times New Roman" w:hAnsi="Times New Roman" w:eastAsia="宋体" w:cs="Times New Roman"/>
                <w:color w:val="auto"/>
                <w:sz w:val="24"/>
                <w:highlight w:val="none"/>
              </w:rPr>
              <w:t>个发酵罐冲洗1次，</w:t>
            </w:r>
            <w:r>
              <w:rPr>
                <w:rFonts w:hint="eastAsia" w:ascii="Times New Roman" w:hAnsi="Times New Roman" w:eastAsia="宋体" w:cs="Times New Roman"/>
                <w:color w:val="auto"/>
                <w:sz w:val="24"/>
                <w:highlight w:val="none"/>
                <w:lang w:val="en-US" w:eastAsia="zh-CN"/>
              </w:rPr>
              <w:t>根据业主提供资料，发酵罐每个</w:t>
            </w:r>
            <w:r>
              <w:rPr>
                <w:rFonts w:hint="default" w:ascii="Times New Roman" w:hAnsi="Times New Roman" w:eastAsia="宋体" w:cs="Times New Roman"/>
                <w:color w:val="auto"/>
                <w:sz w:val="24"/>
                <w:highlight w:val="none"/>
              </w:rPr>
              <w:t>每次冲洗耗水0.</w:t>
            </w:r>
            <w:r>
              <w:rPr>
                <w:rFonts w:hint="eastAsia" w:ascii="Times New Roman" w:hAnsi="Times New Roman" w:eastAsia="宋体" w:cs="Times New Roman"/>
                <w:color w:val="auto"/>
                <w:sz w:val="24"/>
                <w:highlight w:val="none"/>
                <w:lang w:val="en-US" w:eastAsia="zh-CN"/>
              </w:rPr>
              <w:t>05</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eastAsia" w:ascii="Times New Roman" w:hAnsi="Times New Roman" w:eastAsia="宋体" w:cs="Times New Roman"/>
                <w:color w:val="auto"/>
                <w:sz w:val="24"/>
                <w:highlight w:val="none"/>
                <w:vertAlign w:val="baseline"/>
                <w:lang w:eastAsia="zh-CN"/>
              </w:rPr>
              <w:t>，</w:t>
            </w:r>
            <w:r>
              <w:rPr>
                <w:rFonts w:hint="eastAsia" w:ascii="Times New Roman" w:hAnsi="Times New Roman" w:eastAsia="宋体" w:cs="Times New Roman"/>
                <w:color w:val="auto"/>
                <w:sz w:val="24"/>
                <w:highlight w:val="none"/>
                <w:vertAlign w:val="baseline"/>
                <w:lang w:val="en-US" w:eastAsia="zh-CN"/>
              </w:rPr>
              <w:t>即清洗用水量为</w:t>
            </w:r>
            <w:r>
              <w:rPr>
                <w:rFonts w:hint="eastAsia" w:ascii="Times New Roman" w:hAnsi="Times New Roman" w:eastAsia="宋体" w:cs="Times New Roman"/>
                <w:color w:val="auto"/>
                <w:sz w:val="24"/>
                <w:highlight w:val="none"/>
                <w:lang w:val="en-US" w:eastAsia="zh-CN"/>
              </w:rPr>
              <w:t>0.45</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d（149.85m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/a）</w:t>
            </w:r>
            <w:r>
              <w:rPr>
                <w:rFonts w:hint="eastAsia" w:cs="Times New Roman"/>
                <w:color w:val="auto"/>
                <w:sz w:val="24"/>
                <w:highlight w:val="none"/>
                <w:lang w:val="en-US" w:eastAsia="zh-CN"/>
              </w:rPr>
              <w:t>。</w:t>
            </w:r>
          </w:p>
          <w:p w14:paraId="215C0AD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项目配备液态肥灌装设备1套，每日生产结束后进行1次全面拆解清洗（含管道冲洗、罐体浸泡清洗），单次用水量约0.8m³；此外，每完成8批次液态肥灌装（每批次灌装量3吨）需进行1次在线冲洗，每日平均完成16批次灌装，故在线冲洗次数为2次，单次在线冲洗用水量约0.2m³。则灌装设备清洗用水合计为1.0m³/d（333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/a）。</w:t>
            </w:r>
          </w:p>
          <w:p w14:paraId="043E5AD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合计</w:t>
            </w:r>
            <w:r>
              <w:rPr>
                <w:rFonts w:hint="default" w:ascii="Times New Roman" w:hAnsi="Times New Roman" w:eastAsia="宋体" w:cs="Times New Roman"/>
                <w:b w:val="0"/>
                <w:bCs w:val="0"/>
                <w:color w:val="auto"/>
                <w:sz w:val="24"/>
                <w:highlight w:val="none"/>
              </w:rPr>
              <w:t>液体复合微生物肥</w:t>
            </w:r>
            <w:r>
              <w:rPr>
                <w:rFonts w:hint="eastAsia" w:ascii="Times New Roman" w:hAnsi="Times New Roman" w:eastAsia="宋体" w:cs="Times New Roman"/>
                <w:b w:val="0"/>
                <w:bCs w:val="0"/>
                <w:color w:val="auto"/>
                <w:sz w:val="24"/>
                <w:highlight w:val="none"/>
                <w:lang w:val="en-US" w:eastAsia="zh-CN"/>
              </w:rPr>
              <w:t>生产设备</w:t>
            </w:r>
            <w:r>
              <w:rPr>
                <w:rFonts w:hint="default" w:ascii="Times New Roman" w:hAnsi="Times New Roman" w:eastAsia="宋体" w:cs="Times New Roman"/>
                <w:b w:val="0"/>
                <w:bCs w:val="0"/>
                <w:color w:val="auto"/>
                <w:sz w:val="24"/>
                <w:highlight w:val="none"/>
              </w:rPr>
              <w:t>清洗用水</w:t>
            </w:r>
            <w:r>
              <w:rPr>
                <w:rFonts w:hint="eastAsia" w:ascii="Times New Roman" w:hAnsi="Times New Roman" w:eastAsia="宋体" w:cs="Times New Roman"/>
                <w:b w:val="0"/>
                <w:bCs w:val="0"/>
                <w:color w:val="auto"/>
                <w:sz w:val="24"/>
                <w:highlight w:val="none"/>
                <w:lang w:val="en-US" w:eastAsia="zh-CN"/>
              </w:rPr>
              <w:t>量为1.45m</w:t>
            </w:r>
            <w:r>
              <w:rPr>
                <w:rFonts w:hint="eastAsia" w:ascii="Times New Roman" w:hAnsi="Times New Roman" w:eastAsia="宋体" w:cs="Times New Roman"/>
                <w:b w:val="0"/>
                <w:bCs w:val="0"/>
                <w:color w:val="auto"/>
                <w:sz w:val="24"/>
                <w:highlight w:val="none"/>
                <w:vertAlign w:val="superscript"/>
                <w:lang w:val="en-US" w:eastAsia="zh-CN"/>
              </w:rPr>
              <w:t>3</w:t>
            </w:r>
            <w:r>
              <w:rPr>
                <w:rFonts w:hint="eastAsia" w:ascii="Times New Roman" w:hAnsi="Times New Roman" w:eastAsia="宋体" w:cs="Times New Roman"/>
                <w:b w:val="0"/>
                <w:bCs w:val="0"/>
                <w:color w:val="auto"/>
                <w:sz w:val="24"/>
                <w:highlight w:val="none"/>
                <w:lang w:val="en-US" w:eastAsia="zh-CN"/>
              </w:rPr>
              <w:t>/d（482.85m</w:t>
            </w:r>
            <w:r>
              <w:rPr>
                <w:rFonts w:hint="eastAsia" w:ascii="Times New Roman" w:hAnsi="Times New Roman" w:eastAsia="宋体" w:cs="Times New Roman"/>
                <w:b w:val="0"/>
                <w:bCs w:val="0"/>
                <w:color w:val="auto"/>
                <w:sz w:val="24"/>
                <w:highlight w:val="none"/>
                <w:vertAlign w:val="superscript"/>
                <w:lang w:val="en-US" w:eastAsia="zh-CN"/>
              </w:rPr>
              <w:t>3</w:t>
            </w:r>
            <w:r>
              <w:rPr>
                <w:rFonts w:hint="eastAsia" w:ascii="Times New Roman" w:hAnsi="Times New Roman" w:eastAsia="宋体" w:cs="Times New Roman"/>
                <w:b w:val="0"/>
                <w:bCs w:val="0"/>
                <w:color w:val="auto"/>
                <w:sz w:val="24"/>
                <w:highlight w:val="none"/>
                <w:lang w:val="en-US" w:eastAsia="zh-CN"/>
              </w:rPr>
              <w:t>/d）。</w:t>
            </w:r>
          </w:p>
          <w:p w14:paraId="0AF58736">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rPr>
              <w:t>3）固体复合微生物发酵区地面冲洗</w:t>
            </w:r>
            <w:r>
              <w:rPr>
                <w:rFonts w:hint="eastAsia" w:ascii="Times New Roman" w:hAnsi="Times New Roman" w:eastAsia="宋体" w:cs="Times New Roman"/>
                <w:b/>
                <w:bCs/>
                <w:color w:val="auto"/>
                <w:sz w:val="24"/>
                <w:highlight w:val="none"/>
                <w:lang w:val="en-US" w:eastAsia="zh-CN"/>
              </w:rPr>
              <w:t>用水</w:t>
            </w:r>
          </w:p>
          <w:p w14:paraId="40BB764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扩建车间新增的需要清洁的面积约</w:t>
            </w:r>
            <w:r>
              <w:rPr>
                <w:rFonts w:hint="eastAsia" w:ascii="Times New Roman" w:hAnsi="Times New Roman" w:eastAsia="宋体" w:cs="Times New Roman"/>
                <w:color w:val="auto"/>
                <w:sz w:val="24"/>
                <w:highlight w:val="none"/>
                <w:lang w:val="en-US" w:eastAsia="zh-CN"/>
              </w:rPr>
              <w:t>50</w:t>
            </w:r>
            <w:r>
              <w:rPr>
                <w:rFonts w:hint="default" w:ascii="Times New Roman" w:hAnsi="Times New Roman" w:eastAsia="宋体" w:cs="Times New Roman"/>
                <w:color w:val="auto"/>
                <w:sz w:val="24"/>
                <w:highlight w:val="none"/>
              </w:rPr>
              <w:t>0m</w:t>
            </w:r>
            <w:r>
              <w:rPr>
                <w:rFonts w:hint="default" w:ascii="Times New Roman" w:hAnsi="Times New Roman" w:eastAsia="宋体" w:cs="Times New Roman"/>
                <w:color w:val="auto"/>
                <w:sz w:val="24"/>
                <w:highlight w:val="none"/>
                <w:vertAlign w:val="superscript"/>
              </w:rPr>
              <w:t>2</w:t>
            </w:r>
            <w:r>
              <w:rPr>
                <w:rFonts w:hint="default"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项目共设置10个发酵槽，每2个发酵槽（50m</w:t>
            </w:r>
            <w:r>
              <w:rPr>
                <w:rFonts w:hint="eastAsia" w:ascii="Times New Roman" w:hAnsi="Times New Roman" w:eastAsia="宋体" w:cs="Times New Roman"/>
                <w:color w:val="auto"/>
                <w:sz w:val="24"/>
                <w:highlight w:val="none"/>
                <w:vertAlign w:val="superscript"/>
                <w:lang w:val="en-US" w:eastAsia="zh-CN"/>
              </w:rPr>
              <w:t>2</w:t>
            </w:r>
            <w:r>
              <w:rPr>
                <w:rFonts w:hint="eastAsia" w:ascii="Times New Roman" w:hAnsi="Times New Roman" w:eastAsia="宋体" w:cs="Times New Roman"/>
                <w:color w:val="auto"/>
                <w:sz w:val="24"/>
                <w:highlight w:val="none"/>
                <w:lang w:val="en-US" w:eastAsia="zh-CN"/>
              </w:rPr>
              <w:t>/个）为1批，发酵时间15天，则项目每3天对发酵区冲洗1次，</w:t>
            </w:r>
            <w:r>
              <w:rPr>
                <w:rFonts w:hint="default" w:ascii="Times New Roman" w:hAnsi="Times New Roman" w:eastAsia="宋体" w:cs="Times New Roman"/>
                <w:color w:val="auto"/>
                <w:sz w:val="24"/>
                <w:highlight w:val="none"/>
              </w:rPr>
              <w:t>根据建设单位提供资料</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车间清洁用水约2L/（m</w:t>
            </w:r>
            <w:r>
              <w:rPr>
                <w:rFonts w:hint="default" w:ascii="Times New Roman" w:hAnsi="Times New Roman" w:eastAsia="宋体" w:cs="Times New Roman"/>
                <w:color w:val="auto"/>
                <w:sz w:val="24"/>
                <w:highlight w:val="none"/>
                <w:vertAlign w:val="superscript"/>
              </w:rPr>
              <w:t>2</w:t>
            </w:r>
            <w:r>
              <w:rPr>
                <w:rFonts w:hint="default" w:ascii="Times New Roman" w:hAnsi="Times New Roman" w:eastAsia="宋体" w:cs="Times New Roman"/>
                <w:color w:val="auto"/>
                <w:sz w:val="24"/>
                <w:highlight w:val="none"/>
              </w:rPr>
              <w:t>•d），</w:t>
            </w:r>
            <w:r>
              <w:rPr>
                <w:rFonts w:hint="eastAsia" w:ascii="Times New Roman" w:hAnsi="Times New Roman" w:eastAsia="宋体" w:cs="Times New Roman"/>
                <w:color w:val="auto"/>
                <w:sz w:val="24"/>
                <w:highlight w:val="none"/>
                <w:lang w:val="en-US" w:eastAsia="zh-CN"/>
              </w:rPr>
              <w:t>则本项目每3天需对2个发酵槽（合计100m</w:t>
            </w:r>
            <w:r>
              <w:rPr>
                <w:rFonts w:hint="eastAsia" w:ascii="Times New Roman" w:hAnsi="Times New Roman" w:eastAsia="宋体" w:cs="Times New Roman"/>
                <w:color w:val="auto"/>
                <w:sz w:val="24"/>
                <w:highlight w:val="none"/>
                <w:vertAlign w:val="superscript"/>
                <w:lang w:val="en-US" w:eastAsia="zh-CN"/>
              </w:rPr>
              <w:t>2</w:t>
            </w:r>
            <w:r>
              <w:rPr>
                <w:rFonts w:hint="eastAsia" w:ascii="Times New Roman" w:hAnsi="Times New Roman" w:eastAsia="宋体" w:cs="Times New Roman"/>
                <w:color w:val="auto"/>
                <w:sz w:val="24"/>
                <w:highlight w:val="none"/>
                <w:lang w:val="en-US" w:eastAsia="zh-CN"/>
              </w:rPr>
              <w:t>）清洗，则每次清洗废水产生量为0.2m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/次（0.067m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/d，22.2m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/a）。</w:t>
            </w:r>
          </w:p>
          <w:p w14:paraId="15E4EC03">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color w:val="auto"/>
                <w:sz w:val="24"/>
                <w:highlight w:val="none"/>
                <w:lang w:val="en-US"/>
              </w:rPr>
            </w:pPr>
            <w:r>
              <w:rPr>
                <w:rFonts w:hint="eastAsia" w:ascii="Times New Roman" w:hAnsi="Times New Roman" w:eastAsia="宋体" w:cs="Times New Roman"/>
                <w:b/>
                <w:bCs/>
                <w:color w:val="auto"/>
                <w:sz w:val="24"/>
                <w:highlight w:val="none"/>
                <w:lang w:val="en-US" w:eastAsia="zh-CN"/>
              </w:rPr>
              <w:t>4</w:t>
            </w:r>
            <w:r>
              <w:rPr>
                <w:rFonts w:hint="default" w:ascii="Times New Roman" w:hAnsi="Times New Roman" w:eastAsia="宋体" w:cs="Times New Roman"/>
                <w:b/>
                <w:bCs/>
                <w:color w:val="auto"/>
                <w:sz w:val="24"/>
                <w:highlight w:val="none"/>
                <w:lang w:eastAsia="zh-CN"/>
              </w:rPr>
              <w:t>）</w:t>
            </w:r>
            <w:r>
              <w:rPr>
                <w:rFonts w:hint="eastAsia" w:ascii="Times New Roman" w:hAnsi="Times New Roman" w:eastAsia="宋体" w:cs="Times New Roman"/>
                <w:b/>
                <w:bCs/>
                <w:color w:val="auto"/>
                <w:sz w:val="24"/>
                <w:highlight w:val="none"/>
                <w:lang w:val="en-US" w:eastAsia="zh-CN"/>
              </w:rPr>
              <w:t>实验室纯水制备</w:t>
            </w:r>
          </w:p>
          <w:p w14:paraId="428902F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本项目实验室采取传统蒸馏水器‌（电热式）。根据调查本项目实验室用水量为50L/d，‌初馏分弃液‌（通常丢弃前10%馏分以去除挥发性杂质）5L/d，则每日制水量为55L/d，循环水冷系统补水可忽略，则实验室纯水制备设备耗水（蒸发损耗）比可降至‌1:1.5至1:3‌，本次取1:3，则实验室纯水制备用水量为0.165m</w:t>
            </w:r>
            <w:r>
              <w:rPr>
                <w:rFonts w:hint="eastAsia" w:ascii="Times New Roman" w:hAnsi="Times New Roman" w:eastAsia="宋体" w:cs="Times New Roman"/>
                <w:b w:val="0"/>
                <w:bCs w:val="0"/>
                <w:color w:val="auto"/>
                <w:sz w:val="24"/>
                <w:highlight w:val="none"/>
                <w:vertAlign w:val="superscript"/>
                <w:lang w:val="en-US" w:eastAsia="zh-CN"/>
              </w:rPr>
              <w:t>3</w:t>
            </w:r>
            <w:r>
              <w:rPr>
                <w:rFonts w:hint="eastAsia" w:ascii="Times New Roman" w:hAnsi="Times New Roman" w:eastAsia="宋体" w:cs="Times New Roman"/>
                <w:b w:val="0"/>
                <w:bCs w:val="0"/>
                <w:color w:val="auto"/>
                <w:sz w:val="24"/>
                <w:highlight w:val="none"/>
                <w:lang w:val="en-US" w:eastAsia="zh-CN"/>
              </w:rPr>
              <w:t>/d。</w:t>
            </w:r>
          </w:p>
          <w:p w14:paraId="0A3EF11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5）</w:t>
            </w:r>
            <w:r>
              <w:rPr>
                <w:rFonts w:hint="default" w:ascii="Times New Roman" w:hAnsi="Times New Roman" w:eastAsia="宋体" w:cs="Times New Roman"/>
                <w:b/>
                <w:bCs/>
                <w:color w:val="auto"/>
                <w:sz w:val="24"/>
                <w:highlight w:val="none"/>
              </w:rPr>
              <w:t>生物除臭喷淋设施补水</w:t>
            </w:r>
          </w:p>
          <w:p w14:paraId="616BFB4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color w:val="auto"/>
                <w:sz w:val="24"/>
                <w:szCs w:val="24"/>
                <w:highlight w:val="none"/>
              </w:rPr>
              <w:t>项目拟采用一套生物过滤除臭系统处理所有的生产恶臭气体，生物过滤填料需要定期补充一定的喷淋水，然后析出部分喷淋废水。设备每日喷淋用水量约为8m³/d，2400m³/a，</w:t>
            </w:r>
            <w:r>
              <w:rPr>
                <w:rFonts w:hint="default" w:ascii="Times New Roman" w:hAnsi="Times New Roman" w:eastAsia="宋体" w:cs="Times New Roman"/>
                <w:color w:val="auto"/>
                <w:sz w:val="24"/>
                <w:szCs w:val="24"/>
                <w:highlight w:val="none"/>
                <w:lang w:val="en-US" w:eastAsia="zh-CN"/>
              </w:rPr>
              <w:t>其补水按15%计，则</w:t>
            </w:r>
            <w:r>
              <w:rPr>
                <w:rFonts w:hint="default" w:ascii="Times New Roman" w:hAnsi="Times New Roman" w:eastAsia="宋体" w:cs="Times New Roman"/>
                <w:b w:val="0"/>
                <w:bCs w:val="0"/>
                <w:color w:val="auto"/>
                <w:sz w:val="24"/>
                <w:szCs w:val="24"/>
                <w:highlight w:val="none"/>
              </w:rPr>
              <w:t>生物除臭喷淋设施补水</w:t>
            </w:r>
            <w:r>
              <w:rPr>
                <w:rFonts w:hint="default" w:ascii="Times New Roman" w:hAnsi="Times New Roman" w:eastAsia="宋体" w:cs="Times New Roman"/>
                <w:b w:val="0"/>
                <w:bCs w:val="0"/>
                <w:color w:val="auto"/>
                <w:sz w:val="24"/>
                <w:szCs w:val="24"/>
                <w:highlight w:val="none"/>
                <w:lang w:val="en-US" w:eastAsia="zh-CN"/>
              </w:rPr>
              <w:t>量为1.2m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/d（399.6m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/a）。</w:t>
            </w:r>
          </w:p>
          <w:p w14:paraId="6179F45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left"/>
              <w:textAlignment w:val="auto"/>
              <w:rPr>
                <w:rFonts w:hint="default" w:ascii="Times New Roman" w:hAnsi="Times New Roman" w:eastAsia="宋体" w:cs="Times New Roman"/>
                <w:b/>
                <w:bCs w:val="0"/>
                <w:color w:val="auto"/>
                <w:sz w:val="24"/>
                <w:szCs w:val="24"/>
                <w:highlight w:val="none"/>
                <w:lang w:val="en-US" w:eastAsia="zh-CN"/>
              </w:rPr>
            </w:pPr>
            <w:r>
              <w:rPr>
                <w:rFonts w:hint="eastAsia" w:ascii="Times New Roman" w:hAnsi="Times New Roman" w:eastAsia="宋体" w:cs="Times New Roman"/>
                <w:b/>
                <w:bCs w:val="0"/>
                <w:color w:val="auto"/>
                <w:sz w:val="24"/>
                <w:szCs w:val="24"/>
                <w:highlight w:val="none"/>
                <w:lang w:val="en-US" w:eastAsia="zh-CN"/>
              </w:rPr>
              <w:t>6）降尘用水</w:t>
            </w:r>
          </w:p>
          <w:p w14:paraId="340BB92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本项目运营期</w:t>
            </w:r>
            <w:r>
              <w:rPr>
                <w:rFonts w:hint="eastAsia" w:cs="Times New Roman"/>
                <w:b w:val="0"/>
                <w:bCs/>
                <w:color w:val="auto"/>
                <w:sz w:val="24"/>
                <w:szCs w:val="24"/>
                <w:highlight w:val="none"/>
                <w:lang w:val="en-US" w:eastAsia="zh-CN"/>
              </w:rPr>
              <w:t>约</w:t>
            </w:r>
            <w:r>
              <w:rPr>
                <w:rFonts w:hint="default" w:ascii="Times New Roman" w:hAnsi="Times New Roman" w:eastAsia="宋体" w:cs="Times New Roman"/>
                <w:b w:val="0"/>
                <w:bCs/>
                <w:color w:val="auto"/>
                <w:sz w:val="24"/>
                <w:szCs w:val="24"/>
                <w:highlight w:val="none"/>
              </w:rPr>
              <w:t>运输道路（</w:t>
            </w:r>
            <w:r>
              <w:rPr>
                <w:rFonts w:hint="eastAsia" w:ascii="Times New Roman" w:hAnsi="Times New Roman" w:eastAsia="宋体" w:cs="Times New Roman"/>
                <w:b w:val="0"/>
                <w:bCs/>
                <w:color w:val="auto"/>
                <w:sz w:val="24"/>
                <w:szCs w:val="24"/>
                <w:highlight w:val="none"/>
                <w:lang w:val="en-US" w:eastAsia="zh-CN"/>
              </w:rPr>
              <w:t>1575</w:t>
            </w:r>
            <w:r>
              <w:rPr>
                <w:rFonts w:hint="default" w:ascii="Times New Roman" w:hAnsi="Times New Roman" w:eastAsia="宋体" w:cs="Times New Roman"/>
                <w:b w:val="0"/>
                <w:bCs/>
                <w:color w:val="auto"/>
                <w:sz w:val="24"/>
                <w:szCs w:val="24"/>
                <w:highlight w:val="none"/>
              </w:rPr>
              <w:t>m</w:t>
            </w:r>
            <w:r>
              <w:rPr>
                <w:rFonts w:hint="default" w:ascii="Times New Roman" w:hAnsi="Times New Roman" w:eastAsia="宋体" w:cs="Times New Roman"/>
                <w:b w:val="0"/>
                <w:bCs/>
                <w:color w:val="auto"/>
                <w:sz w:val="24"/>
                <w:szCs w:val="24"/>
                <w:highlight w:val="none"/>
                <w:vertAlign w:val="superscript"/>
              </w:rPr>
              <w:t>2</w:t>
            </w:r>
            <w:r>
              <w:rPr>
                <w:rFonts w:hint="default" w:ascii="Times New Roman" w:hAnsi="Times New Roman" w:eastAsia="宋体" w:cs="Times New Roman"/>
                <w:b w:val="0"/>
                <w:bCs/>
                <w:color w:val="auto"/>
                <w:sz w:val="24"/>
                <w:szCs w:val="24"/>
                <w:highlight w:val="none"/>
              </w:rPr>
              <w:t>）定期采取进行洒水降尘，根据《云南省地方标准用水定额》（DB53/T168-2026）“782环境卫生管理-道路场地浇洒-通用值2.0L/（m</w:t>
            </w:r>
            <w:r>
              <w:rPr>
                <w:rFonts w:hint="default" w:ascii="Times New Roman" w:hAnsi="Times New Roman" w:eastAsia="宋体" w:cs="Times New Roman"/>
                <w:b w:val="0"/>
                <w:bCs/>
                <w:color w:val="auto"/>
                <w:sz w:val="24"/>
                <w:szCs w:val="24"/>
                <w:highlight w:val="none"/>
                <w:vertAlign w:val="superscript"/>
              </w:rPr>
              <w:t>2</w:t>
            </w:r>
            <w:r>
              <w:rPr>
                <w:rFonts w:hint="default" w:ascii="Times New Roman" w:hAnsi="Times New Roman" w:eastAsia="宋体" w:cs="Times New Roman"/>
                <w:b w:val="0"/>
                <w:bCs/>
                <w:color w:val="auto"/>
                <w:sz w:val="24"/>
                <w:szCs w:val="24"/>
                <w:highlight w:val="none"/>
              </w:rPr>
              <w:t>·d）”。根据建设单位提供资料，非雨天需对厂内及运输道路进行洒水降尘</w:t>
            </w:r>
            <w:r>
              <w:rPr>
                <w:rFonts w:hint="eastAsia" w:ascii="Times New Roman" w:hAnsi="Times New Roman" w:eastAsia="宋体" w:cs="Times New Roman"/>
                <w:b w:val="0"/>
                <w:bCs/>
                <w:color w:val="auto"/>
                <w:sz w:val="24"/>
                <w:szCs w:val="24"/>
                <w:highlight w:val="none"/>
                <w:lang w:val="en-US" w:eastAsia="zh-CN"/>
              </w:rPr>
              <w:t>1</w:t>
            </w:r>
            <w:r>
              <w:rPr>
                <w:rFonts w:hint="default" w:ascii="Times New Roman" w:hAnsi="Times New Roman" w:eastAsia="宋体" w:cs="Times New Roman"/>
                <w:b w:val="0"/>
                <w:bCs/>
                <w:color w:val="auto"/>
                <w:sz w:val="24"/>
                <w:szCs w:val="24"/>
                <w:highlight w:val="none"/>
              </w:rPr>
              <w:t>次；则本项目非雨天（非雨天按230d计）厂内及道路洒水降尘用水量为3.</w:t>
            </w:r>
            <w:r>
              <w:rPr>
                <w:rFonts w:hint="eastAsia" w:ascii="Times New Roman" w:hAnsi="Times New Roman" w:eastAsia="宋体" w:cs="Times New Roman"/>
                <w:b w:val="0"/>
                <w:bCs/>
                <w:color w:val="auto"/>
                <w:sz w:val="24"/>
                <w:szCs w:val="24"/>
                <w:highlight w:val="none"/>
                <w:lang w:val="en-US" w:eastAsia="zh-CN"/>
              </w:rPr>
              <w:t>15</w:t>
            </w:r>
            <w:r>
              <w:rPr>
                <w:rFonts w:hint="default" w:ascii="Times New Roman" w:hAnsi="Times New Roman" w:eastAsia="宋体" w:cs="Times New Roman"/>
                <w:b w:val="0"/>
                <w:bCs/>
                <w:color w:val="auto"/>
                <w:sz w:val="24"/>
                <w:szCs w:val="24"/>
                <w:highlight w:val="none"/>
              </w:rPr>
              <w:t>m³/d（</w:t>
            </w:r>
            <w:r>
              <w:rPr>
                <w:rFonts w:hint="eastAsia" w:ascii="Times New Roman" w:hAnsi="Times New Roman" w:eastAsia="宋体" w:cs="Times New Roman"/>
                <w:b w:val="0"/>
                <w:bCs/>
                <w:color w:val="auto"/>
                <w:sz w:val="24"/>
                <w:szCs w:val="24"/>
                <w:highlight w:val="none"/>
                <w:lang w:val="en-US" w:eastAsia="zh-CN"/>
              </w:rPr>
              <w:t>724.5</w:t>
            </w:r>
            <w:r>
              <w:rPr>
                <w:rFonts w:hint="default" w:ascii="Times New Roman" w:hAnsi="Times New Roman" w:eastAsia="宋体" w:cs="Times New Roman"/>
                <w:b w:val="0"/>
                <w:bCs/>
                <w:color w:val="auto"/>
                <w:sz w:val="24"/>
                <w:szCs w:val="24"/>
                <w:highlight w:val="none"/>
              </w:rPr>
              <w:t>m³/a）。</w:t>
            </w:r>
          </w:p>
          <w:p w14:paraId="7B9122D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left"/>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bCs w:val="0"/>
                <w:color w:val="auto"/>
                <w:sz w:val="24"/>
                <w:szCs w:val="24"/>
                <w:highlight w:val="none"/>
              </w:rPr>
              <w:t>（</w:t>
            </w:r>
            <w:r>
              <w:rPr>
                <w:rFonts w:hint="eastAsia" w:ascii="Times New Roman" w:hAnsi="Times New Roman" w:eastAsia="宋体" w:cs="Times New Roman"/>
                <w:b/>
                <w:bCs w:val="0"/>
                <w:color w:val="auto"/>
                <w:sz w:val="24"/>
                <w:szCs w:val="24"/>
                <w:highlight w:val="none"/>
                <w:lang w:val="en-US" w:eastAsia="zh-CN"/>
              </w:rPr>
              <w:t>2</w:t>
            </w:r>
            <w:r>
              <w:rPr>
                <w:rFonts w:hint="default" w:ascii="Times New Roman" w:hAnsi="Times New Roman" w:eastAsia="宋体" w:cs="Times New Roman"/>
                <w:b/>
                <w:bCs w:val="0"/>
                <w:color w:val="auto"/>
                <w:sz w:val="24"/>
                <w:szCs w:val="24"/>
                <w:highlight w:val="none"/>
              </w:rPr>
              <w:t>）</w:t>
            </w:r>
            <w:r>
              <w:rPr>
                <w:rFonts w:hint="default" w:ascii="Times New Roman" w:hAnsi="Times New Roman" w:eastAsia="宋体" w:cs="Times New Roman"/>
                <w:b/>
                <w:bCs w:val="0"/>
                <w:color w:val="auto"/>
                <w:sz w:val="24"/>
                <w:szCs w:val="24"/>
                <w:highlight w:val="none"/>
                <w:lang w:val="en-US" w:eastAsia="zh-CN"/>
              </w:rPr>
              <w:t>排水量</w:t>
            </w:r>
          </w:p>
          <w:p w14:paraId="5C434F5A">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jc w:val="left"/>
              <w:textAlignment w:val="auto"/>
              <w:rPr>
                <w:b w:val="0"/>
                <w:bCs/>
                <w:color w:val="auto"/>
                <w:sz w:val="24"/>
                <w:szCs w:val="24"/>
                <w:highlight w:val="none"/>
              </w:rPr>
            </w:pPr>
            <w:r>
              <w:rPr>
                <w:rFonts w:hint="eastAsia"/>
                <w:b w:val="0"/>
                <w:bCs/>
                <w:color w:val="auto"/>
                <w:sz w:val="24"/>
                <w:szCs w:val="24"/>
                <w:highlight w:val="none"/>
              </w:rPr>
              <w:t>本项目用水主要为液体复合微生物肥生产设备清洗用水、固体复合微生物发酵区地面冲洗废水、发酵用水、实验室用水和生物过滤除臭系统喷淋用水</w:t>
            </w:r>
            <w:r>
              <w:rPr>
                <w:rFonts w:hint="eastAsia"/>
                <w:b w:val="0"/>
                <w:bCs/>
                <w:color w:val="auto"/>
                <w:sz w:val="24"/>
                <w:szCs w:val="24"/>
                <w:highlight w:val="none"/>
                <w:lang w:eastAsia="zh-CN"/>
              </w:rPr>
              <w:t>，</w:t>
            </w:r>
            <w:r>
              <w:rPr>
                <w:rFonts w:hint="eastAsia"/>
                <w:b w:val="0"/>
                <w:bCs/>
                <w:color w:val="auto"/>
                <w:sz w:val="24"/>
                <w:szCs w:val="24"/>
                <w:highlight w:val="none"/>
                <w:lang w:val="en-US" w:eastAsia="zh-CN"/>
              </w:rPr>
              <w:t>其中发酵用水全部进入产品中消耗；生物过滤除臭系统喷淋废水循环使用，不外排；则本项目主要产生废水为</w:t>
            </w:r>
            <w:r>
              <w:rPr>
                <w:rFonts w:hint="eastAsia"/>
                <w:b w:val="0"/>
                <w:bCs/>
                <w:color w:val="auto"/>
                <w:sz w:val="24"/>
                <w:szCs w:val="24"/>
                <w:highlight w:val="none"/>
              </w:rPr>
              <w:t>液体复合微生物肥生产设备清洗</w:t>
            </w:r>
            <w:r>
              <w:rPr>
                <w:rFonts w:hint="eastAsia"/>
                <w:b w:val="0"/>
                <w:bCs/>
                <w:color w:val="auto"/>
                <w:sz w:val="24"/>
                <w:szCs w:val="24"/>
                <w:highlight w:val="none"/>
                <w:lang w:val="en-US" w:eastAsia="zh-CN"/>
              </w:rPr>
              <w:t>废水</w:t>
            </w:r>
            <w:r>
              <w:rPr>
                <w:rFonts w:hint="eastAsia"/>
                <w:b w:val="0"/>
                <w:bCs/>
                <w:color w:val="auto"/>
                <w:sz w:val="24"/>
                <w:szCs w:val="24"/>
                <w:highlight w:val="none"/>
              </w:rPr>
              <w:t>、固体复合微生物发酵区地面冲洗废水、实验室</w:t>
            </w:r>
            <w:r>
              <w:rPr>
                <w:rFonts w:hint="eastAsia"/>
                <w:b w:val="0"/>
                <w:bCs/>
                <w:color w:val="auto"/>
                <w:sz w:val="24"/>
                <w:szCs w:val="24"/>
                <w:highlight w:val="none"/>
                <w:lang w:val="en-US" w:eastAsia="zh-CN"/>
              </w:rPr>
              <w:t>废水、堆放发酵渗滤液和初期雨水</w:t>
            </w:r>
            <w:r>
              <w:rPr>
                <w:rFonts w:hint="eastAsia"/>
                <w:b w:val="0"/>
                <w:bCs/>
                <w:color w:val="auto"/>
                <w:sz w:val="24"/>
                <w:szCs w:val="24"/>
                <w:highlight w:val="none"/>
              </w:rPr>
              <w:t>。</w:t>
            </w:r>
          </w:p>
          <w:p w14:paraId="0C985531">
            <w:pPr>
              <w:keepNext w:val="0"/>
              <w:keepLines w:val="0"/>
              <w:pageBreakBefore w:val="0"/>
              <w:widowControl w:val="0"/>
              <w:kinsoku/>
              <w:wordWrap/>
              <w:overflowPunct/>
              <w:topLinePunct w:val="0"/>
              <w:autoSpaceDE w:val="0"/>
              <w:autoSpaceDN w:val="0"/>
              <w:bidi w:val="0"/>
              <w:adjustRightInd/>
              <w:snapToGrid/>
              <w:spacing w:line="440" w:lineRule="exact"/>
              <w:ind w:firstLine="420"/>
              <w:textAlignment w:val="auto"/>
              <w:rPr>
                <w:rFonts w:hint="default" w:ascii="Times New Roman"/>
                <w:b/>
                <w:bCs/>
                <w:color w:val="auto"/>
                <w:sz w:val="24"/>
                <w:szCs w:val="24"/>
                <w:highlight w:val="none"/>
                <w:u w:val="none"/>
                <w:lang w:val="en-US" w:eastAsia="zh-CN"/>
              </w:rPr>
            </w:pPr>
            <w:r>
              <w:rPr>
                <w:rFonts w:hint="eastAsia" w:ascii="Times New Roman"/>
                <w:b/>
                <w:bCs/>
                <w:color w:val="auto"/>
                <w:sz w:val="24"/>
                <w:szCs w:val="24"/>
                <w:highlight w:val="none"/>
                <w:u w:val="none"/>
                <w:lang w:val="en-US" w:eastAsia="zh-CN"/>
              </w:rPr>
              <w:t>1）</w:t>
            </w:r>
            <w:r>
              <w:rPr>
                <w:rFonts w:hint="eastAsia"/>
                <w:b/>
                <w:bCs/>
                <w:color w:val="auto"/>
                <w:sz w:val="24"/>
                <w:szCs w:val="24"/>
                <w:highlight w:val="none"/>
              </w:rPr>
              <w:t>液体复合微生物肥生产设备清洗</w:t>
            </w:r>
            <w:r>
              <w:rPr>
                <w:rFonts w:hint="eastAsia"/>
                <w:b/>
                <w:bCs/>
                <w:color w:val="auto"/>
                <w:sz w:val="24"/>
                <w:szCs w:val="24"/>
                <w:highlight w:val="none"/>
                <w:lang w:val="en-US" w:eastAsia="zh-CN"/>
              </w:rPr>
              <w:t>废水</w:t>
            </w:r>
          </w:p>
          <w:p w14:paraId="6CF68ADC">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textAlignment w:val="auto"/>
              <w:rPr>
                <w:rFonts w:hint="default" w:ascii="Times New Roman"/>
                <w:b w:val="0"/>
                <w:bCs w:val="0"/>
                <w:color w:val="auto"/>
                <w:sz w:val="24"/>
                <w:szCs w:val="24"/>
                <w:highlight w:val="none"/>
                <w:u w:val="none"/>
                <w:lang w:val="en-US" w:eastAsia="zh-CN"/>
              </w:rPr>
            </w:pPr>
            <w:r>
              <w:rPr>
                <w:rFonts w:hint="eastAsia" w:ascii="Times New Roman"/>
                <w:b w:val="0"/>
                <w:bCs w:val="0"/>
                <w:color w:val="auto"/>
                <w:sz w:val="24"/>
                <w:szCs w:val="24"/>
                <w:highlight w:val="none"/>
                <w:u w:val="none"/>
                <w:lang w:val="en-US" w:eastAsia="zh-CN"/>
              </w:rPr>
              <w:t>根据上述分析，本项目液体复合微生物肥生产设备清洗用水量为1.45m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/d（482.85m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/d），产污系数按80%计，则废水产生量为1.16m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/d（386.28m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/d），该废水收集后经现有污水处理站处理后，排入寻甸县污水处理厂处理。</w:t>
            </w:r>
          </w:p>
          <w:p w14:paraId="79F5AE05">
            <w:pPr>
              <w:keepNext w:val="0"/>
              <w:keepLines w:val="0"/>
              <w:pageBreakBefore w:val="0"/>
              <w:widowControl w:val="0"/>
              <w:kinsoku/>
              <w:wordWrap/>
              <w:overflowPunct/>
              <w:topLinePunct w:val="0"/>
              <w:autoSpaceDE w:val="0"/>
              <w:autoSpaceDN w:val="0"/>
              <w:bidi w:val="0"/>
              <w:adjustRightInd/>
              <w:snapToGrid/>
              <w:spacing w:line="440" w:lineRule="exact"/>
              <w:ind w:firstLine="482" w:firstLineChars="200"/>
              <w:textAlignment w:val="auto"/>
              <w:rPr>
                <w:rFonts w:hint="default" w:ascii="Times New Roman"/>
                <w:b/>
                <w:bCs/>
                <w:color w:val="auto"/>
                <w:sz w:val="24"/>
                <w:szCs w:val="24"/>
                <w:highlight w:val="none"/>
                <w:u w:val="none"/>
                <w:lang w:val="en-US" w:eastAsia="zh-CN"/>
              </w:rPr>
            </w:pPr>
            <w:r>
              <w:rPr>
                <w:rFonts w:hint="eastAsia" w:ascii="Times New Roman"/>
                <w:b/>
                <w:bCs/>
                <w:color w:val="auto"/>
                <w:sz w:val="24"/>
                <w:szCs w:val="24"/>
                <w:highlight w:val="none"/>
                <w:u w:val="none"/>
                <w:lang w:val="en-US" w:eastAsia="zh-CN"/>
              </w:rPr>
              <w:t>2）固体复合微生物发酵区地面冲洗废水</w:t>
            </w:r>
          </w:p>
          <w:p w14:paraId="7A5508F7">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textAlignment w:val="auto"/>
              <w:rPr>
                <w:rFonts w:hint="default" w:ascii="Times New Roman"/>
                <w:b w:val="0"/>
                <w:bCs w:val="0"/>
                <w:color w:val="auto"/>
                <w:sz w:val="24"/>
                <w:szCs w:val="24"/>
                <w:highlight w:val="none"/>
                <w:u w:val="none"/>
                <w:lang w:val="en-US" w:eastAsia="zh-CN"/>
              </w:rPr>
            </w:pPr>
            <w:r>
              <w:rPr>
                <w:rFonts w:hint="eastAsia" w:ascii="Times New Roman"/>
                <w:b w:val="0"/>
                <w:bCs w:val="0"/>
                <w:color w:val="auto"/>
                <w:sz w:val="24"/>
                <w:szCs w:val="24"/>
                <w:highlight w:val="none"/>
                <w:u w:val="none"/>
                <w:lang w:val="en-US" w:eastAsia="zh-CN"/>
              </w:rPr>
              <w:t>根据上述分析，固体复合微生物发酵区地面冲洗用水为0.2m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/次（0.067m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/d，22.2m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/a），产污系数按80%计，则废水产生量为0.16m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/次（0.053m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/d，17.65m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/d），该废水收集于25m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vertAlign w:val="baseline"/>
                <w:lang w:val="en-US" w:eastAsia="zh-CN"/>
              </w:rPr>
              <w:t>渗滤液收集池，泵至</w:t>
            </w:r>
            <w:r>
              <w:rPr>
                <w:rFonts w:hint="eastAsia" w:ascii="Times New Roman"/>
                <w:b w:val="0"/>
                <w:bCs w:val="0"/>
                <w:color w:val="auto"/>
                <w:sz w:val="24"/>
                <w:szCs w:val="24"/>
                <w:highlight w:val="none"/>
                <w:u w:val="none"/>
                <w:lang w:val="en-US" w:eastAsia="zh-CN"/>
              </w:rPr>
              <w:t>现有污水处理站处理后，排入寻甸县污水处理厂处理。</w:t>
            </w:r>
          </w:p>
          <w:p w14:paraId="787AAD68">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2" w:firstLineChars="200"/>
              <w:textAlignment w:val="auto"/>
              <w:rPr>
                <w:rFonts w:hint="eastAsia"/>
                <w:b/>
                <w:bCs w:val="0"/>
                <w:color w:val="auto"/>
                <w:sz w:val="24"/>
                <w:szCs w:val="24"/>
                <w:highlight w:val="none"/>
                <w:lang w:val="en-US" w:eastAsia="zh-CN"/>
              </w:rPr>
            </w:pPr>
            <w:r>
              <w:rPr>
                <w:rFonts w:hint="eastAsia" w:ascii="Times New Roman" w:hAnsi="Times New Roman" w:eastAsia="宋体" w:cs="Times New Roman"/>
                <w:b/>
                <w:bCs w:val="0"/>
                <w:color w:val="auto"/>
                <w:kern w:val="2"/>
                <w:sz w:val="24"/>
                <w:szCs w:val="24"/>
                <w:highlight w:val="none"/>
                <w:lang w:val="en-US" w:eastAsia="zh-CN" w:bidi="ar-SA"/>
              </w:rPr>
              <w:t>3）</w:t>
            </w:r>
            <w:r>
              <w:rPr>
                <w:rFonts w:hint="eastAsia"/>
                <w:b/>
                <w:bCs w:val="0"/>
                <w:color w:val="auto"/>
                <w:sz w:val="24"/>
                <w:szCs w:val="24"/>
                <w:highlight w:val="none"/>
              </w:rPr>
              <w:t>实验室</w:t>
            </w:r>
            <w:r>
              <w:rPr>
                <w:rFonts w:hint="eastAsia"/>
                <w:b/>
                <w:bCs w:val="0"/>
                <w:color w:val="auto"/>
                <w:sz w:val="24"/>
                <w:szCs w:val="24"/>
                <w:highlight w:val="none"/>
                <w:lang w:val="en-US" w:eastAsia="zh-CN"/>
              </w:rPr>
              <w:t>废水</w:t>
            </w:r>
          </w:p>
          <w:p w14:paraId="2CAC5480">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textAlignment w:val="auto"/>
              <w:rPr>
                <w:rFonts w:hint="default" w:ascii="Times New Roman"/>
                <w:b w:val="0"/>
                <w:bCs w:val="0"/>
                <w:color w:val="auto"/>
                <w:sz w:val="24"/>
                <w:szCs w:val="24"/>
                <w:highlight w:val="none"/>
                <w:u w:val="none"/>
                <w:lang w:val="en-US" w:eastAsia="zh-CN"/>
              </w:rPr>
            </w:pPr>
            <w:r>
              <w:rPr>
                <w:rFonts w:hint="eastAsia" w:ascii="Times New Roman"/>
                <w:b w:val="0"/>
                <w:bCs w:val="0"/>
                <w:color w:val="auto"/>
                <w:sz w:val="24"/>
                <w:szCs w:val="24"/>
                <w:highlight w:val="none"/>
                <w:u w:val="none"/>
                <w:lang w:val="en-US" w:eastAsia="zh-CN"/>
              </w:rPr>
              <w:t>实验室主要进行pH、水分和杂菌数的实验，不使用强酸、强碱、有机试剂和有毒有害的试剂，根据上述分析，实验室每日使用纯水50L/d，其主要用于实验室设备和玻璃器皿的清洗，产污系数按80%计，则实验室废水产生量为0.04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/d，其废水收集后经现有污水处理站处理后，排入寻甸县污水处理厂处理。</w:t>
            </w:r>
          </w:p>
          <w:p w14:paraId="5C9633CB">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2" w:firstLineChars="200"/>
              <w:jc w:val="both"/>
              <w:textAlignment w:val="auto"/>
              <w:rPr>
                <w:rFonts w:hint="default"/>
                <w:b w:val="0"/>
                <w:bCs/>
                <w:color w:val="auto"/>
                <w:sz w:val="24"/>
                <w:szCs w:val="24"/>
                <w:highlight w:val="none"/>
                <w:lang w:val="en-US" w:eastAsia="zh-CN"/>
              </w:rPr>
            </w:pPr>
            <w:r>
              <w:rPr>
                <w:rFonts w:hint="eastAsia"/>
                <w:b/>
                <w:bCs w:val="0"/>
                <w:color w:val="auto"/>
                <w:sz w:val="24"/>
                <w:szCs w:val="24"/>
                <w:highlight w:val="none"/>
                <w:lang w:val="en-US" w:eastAsia="zh-CN"/>
              </w:rPr>
              <w:t>4）纯水制备排水</w:t>
            </w:r>
          </w:p>
          <w:p w14:paraId="7DDA91B7">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textAlignment w:val="auto"/>
              <w:rPr>
                <w:rFonts w:hint="default" w:ascii="Times New Roman"/>
                <w:b w:val="0"/>
                <w:bCs w:val="0"/>
                <w:color w:val="auto"/>
                <w:sz w:val="24"/>
                <w:szCs w:val="24"/>
                <w:highlight w:val="none"/>
                <w:u w:val="none"/>
                <w:lang w:val="en-US" w:eastAsia="zh-CN"/>
              </w:rPr>
            </w:pPr>
            <w:r>
              <w:rPr>
                <w:rFonts w:hint="eastAsia" w:ascii="Times New Roman"/>
                <w:b w:val="0"/>
                <w:bCs w:val="0"/>
                <w:color w:val="auto"/>
                <w:sz w:val="24"/>
                <w:szCs w:val="24"/>
                <w:highlight w:val="none"/>
                <w:u w:val="none"/>
                <w:lang w:val="en-US" w:eastAsia="zh-CN"/>
              </w:rPr>
              <w:t>本项目实验室采取传统蒸馏水器‌（电热式），其废水主要为‌初馏分弃液‌（通常丢弃前10%馏分以去除挥发性杂质）和‌冷却水排水‌（循环水冷）。根据调查本项目实验室用水量为50L/d，废水产生量为‌初馏分弃液0.005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/d，循环水冷系统补水可忽略。</w:t>
            </w:r>
          </w:p>
          <w:p w14:paraId="21FFC75B">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2" w:firstLineChars="200"/>
              <w:jc w:val="both"/>
              <w:textAlignment w:val="auto"/>
              <w:rPr>
                <w:rFonts w:hint="default"/>
                <w:b/>
                <w:bCs w:val="0"/>
                <w:color w:val="auto"/>
                <w:sz w:val="24"/>
                <w:szCs w:val="24"/>
                <w:highlight w:val="none"/>
                <w:lang w:val="en-US" w:eastAsia="zh-CN"/>
              </w:rPr>
            </w:pPr>
            <w:r>
              <w:rPr>
                <w:rFonts w:hint="eastAsia"/>
                <w:b/>
                <w:bCs w:val="0"/>
                <w:color w:val="auto"/>
                <w:sz w:val="24"/>
                <w:szCs w:val="24"/>
                <w:highlight w:val="none"/>
                <w:lang w:val="en-US" w:eastAsia="zh-CN"/>
              </w:rPr>
              <w:t>5）堆放发酵渗滤液</w:t>
            </w:r>
          </w:p>
          <w:p w14:paraId="0F0C43D3">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jc w:val="both"/>
              <w:textAlignment w:val="auto"/>
              <w:rPr>
                <w:rFonts w:hint="eastAsia"/>
                <w:b w:val="0"/>
                <w:bCs/>
                <w:color w:val="auto"/>
                <w:sz w:val="24"/>
                <w:szCs w:val="24"/>
                <w:highlight w:val="none"/>
                <w:lang w:val="en-US" w:eastAsia="zh-CN"/>
              </w:rPr>
            </w:pPr>
            <w:r>
              <w:rPr>
                <w:rFonts w:hint="eastAsia"/>
                <w:b w:val="0"/>
                <w:bCs/>
                <w:color w:val="auto"/>
                <w:sz w:val="24"/>
                <w:szCs w:val="24"/>
                <w:highlight w:val="none"/>
                <w:lang w:val="en-US" w:eastAsia="zh-CN"/>
              </w:rPr>
              <w:t>本项目液体复合微生物肥发酵为厌氧罐发酵，其无渗滤液产生；固体复合微生物发酵采取翻堆发酵，其在发酵时，会产生少量的渗滤液，其产生量依据发酵原料处理规模及行业排放系数核算。</w:t>
            </w:r>
          </w:p>
          <w:p w14:paraId="3D1C43AA">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jc w:val="both"/>
              <w:textAlignment w:val="auto"/>
              <w:rPr>
                <w:rFonts w:hint="default" w:ascii="Times New Roman" w:hAnsi="Times New Roman" w:eastAsia="宋体" w:cs="Times New Roman"/>
                <w:b w:val="0"/>
                <w:bCs w:val="0"/>
                <w:color w:val="auto"/>
                <w:sz w:val="24"/>
                <w:szCs w:val="24"/>
                <w:highlight w:val="none"/>
                <w:u w:val="none"/>
                <w:lang w:val="en-US" w:eastAsia="zh-CN"/>
              </w:rPr>
            </w:pPr>
            <w:r>
              <w:rPr>
                <w:rFonts w:hint="eastAsia"/>
                <w:b w:val="0"/>
                <w:bCs/>
                <w:color w:val="auto"/>
                <w:sz w:val="24"/>
                <w:szCs w:val="24"/>
                <w:highlight w:val="none"/>
                <w:lang w:val="en-US" w:eastAsia="zh-CN"/>
              </w:rPr>
              <w:t>参考《发酵工业废水治理工程技术规范》（HJ 2042-2014）及同类发酵项目实际运行数据发酵渗滤液产生系数为0.06m³/吨原料（即每处理1吨发酵原料产生0.05~0.07m³渗滤液，取均值0.06m³/吨）。本项目</w:t>
            </w:r>
            <w:r>
              <w:rPr>
                <w:rFonts w:hint="eastAsia" w:cs="Times New Roman"/>
                <w:b w:val="0"/>
                <w:bCs/>
                <w:color w:val="auto"/>
                <w:sz w:val="24"/>
                <w:szCs w:val="24"/>
                <w:highlight w:val="none"/>
                <w:lang w:val="en-US" w:eastAsia="zh-CN"/>
              </w:rPr>
              <w:t>果蔬渣（270t/d）：辅料=8:1，计算得出</w:t>
            </w:r>
            <w:r>
              <w:rPr>
                <w:rFonts w:hint="eastAsia"/>
                <w:b w:val="0"/>
                <w:bCs/>
                <w:color w:val="auto"/>
                <w:sz w:val="24"/>
                <w:szCs w:val="24"/>
                <w:highlight w:val="none"/>
                <w:lang w:val="en-US" w:eastAsia="zh-CN"/>
              </w:rPr>
              <w:t>发酵工段日均处理原</w:t>
            </w:r>
            <w:r>
              <w:rPr>
                <w:rFonts w:hint="default" w:ascii="Times New Roman" w:hAnsi="Times New Roman" w:eastAsia="宋体" w:cs="Times New Roman"/>
                <w:b w:val="0"/>
                <w:bCs/>
                <w:color w:val="auto"/>
                <w:sz w:val="24"/>
                <w:szCs w:val="24"/>
                <w:highlight w:val="none"/>
                <w:lang w:val="en-US" w:eastAsia="zh-CN"/>
              </w:rPr>
              <w:t>料量</w:t>
            </w:r>
            <w:r>
              <w:rPr>
                <w:rFonts w:hint="eastAsia" w:cs="Times New Roman"/>
                <w:b w:val="0"/>
                <w:bCs/>
                <w:color w:val="auto"/>
                <w:sz w:val="24"/>
                <w:szCs w:val="24"/>
                <w:highlight w:val="none"/>
                <w:lang w:val="en-US" w:eastAsia="zh-CN"/>
              </w:rPr>
              <w:t>约</w:t>
            </w:r>
            <w:r>
              <w:rPr>
                <w:rFonts w:hint="default" w:ascii="Times New Roman" w:hAnsi="Times New Roman" w:eastAsia="宋体" w:cs="Times New Roman"/>
                <w:b w:val="0"/>
                <w:bCs/>
                <w:color w:val="auto"/>
                <w:sz w:val="24"/>
                <w:szCs w:val="24"/>
                <w:highlight w:val="none"/>
                <w:lang w:val="en-US" w:eastAsia="zh-CN"/>
              </w:rPr>
              <w:t>为30</w:t>
            </w:r>
            <w:r>
              <w:rPr>
                <w:rFonts w:hint="eastAsia" w:cs="Times New Roman"/>
                <w:b w:val="0"/>
                <w:bCs/>
                <w:color w:val="auto"/>
                <w:sz w:val="24"/>
                <w:szCs w:val="24"/>
                <w:highlight w:val="none"/>
                <w:lang w:val="en-US" w:eastAsia="zh-CN"/>
              </w:rPr>
              <w:t>4</w:t>
            </w:r>
            <w:r>
              <w:rPr>
                <w:rFonts w:hint="default" w:ascii="Times New Roman" w:hAnsi="Times New Roman" w:eastAsia="宋体" w:cs="Times New Roman"/>
                <w:b w:val="0"/>
                <w:bCs/>
                <w:color w:val="auto"/>
                <w:sz w:val="24"/>
                <w:szCs w:val="24"/>
                <w:highlight w:val="none"/>
                <w:lang w:val="en-US" w:eastAsia="zh-CN"/>
              </w:rPr>
              <w:t>吨，则现有发酵渗滤液日产生量18.24m³/d，年产生量为6073.92m³/a（按年运行333天计）。其进入渗滤液收集池（25m</w:t>
            </w:r>
            <w:r>
              <w:rPr>
                <w:rFonts w:hint="default" w:ascii="Times New Roman" w:hAnsi="Times New Roman" w:eastAsia="宋体" w:cs="Times New Roman"/>
                <w:b w:val="0"/>
                <w:bCs/>
                <w:color w:val="auto"/>
                <w:sz w:val="24"/>
                <w:szCs w:val="24"/>
                <w:highlight w:val="none"/>
                <w:vertAlign w:val="superscript"/>
                <w:lang w:val="en-US" w:eastAsia="zh-CN"/>
              </w:rPr>
              <w:t>3</w:t>
            </w:r>
            <w:r>
              <w:rPr>
                <w:rFonts w:hint="default" w:ascii="Times New Roman" w:hAnsi="Times New Roman" w:eastAsia="宋体" w:cs="Times New Roman"/>
                <w:b w:val="0"/>
                <w:bCs/>
                <w:color w:val="auto"/>
                <w:sz w:val="24"/>
                <w:szCs w:val="24"/>
                <w:highlight w:val="none"/>
                <w:lang w:val="en-US" w:eastAsia="zh-CN"/>
              </w:rPr>
              <w:t>）后泵至污水处理站</w:t>
            </w:r>
            <w:r>
              <w:rPr>
                <w:rFonts w:hint="default" w:ascii="Times New Roman" w:hAnsi="Times New Roman" w:eastAsia="宋体" w:cs="Times New Roman"/>
                <w:b w:val="0"/>
                <w:bCs w:val="0"/>
                <w:color w:val="auto"/>
                <w:sz w:val="24"/>
                <w:szCs w:val="24"/>
                <w:highlight w:val="none"/>
                <w:u w:val="none"/>
                <w:lang w:val="en-US" w:eastAsia="zh-CN"/>
              </w:rPr>
              <w:t>处理后，排入寻甸县污水处理厂处理。</w:t>
            </w:r>
          </w:p>
          <w:p w14:paraId="1D04CBF0">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2" w:firstLineChars="200"/>
              <w:jc w:val="both"/>
              <w:textAlignment w:val="auto"/>
              <w:rPr>
                <w:rFonts w:hint="default" w:ascii="Times New Roman" w:hAnsi="Times New Roman" w:eastAsia="宋体" w:cs="Times New Roman"/>
                <w:b/>
                <w:bCs w:val="0"/>
                <w:color w:val="auto"/>
                <w:sz w:val="24"/>
                <w:szCs w:val="24"/>
                <w:highlight w:val="none"/>
                <w:lang w:val="en-US" w:eastAsia="zh-CN"/>
              </w:rPr>
            </w:pPr>
            <w:r>
              <w:rPr>
                <w:rFonts w:hint="eastAsia" w:ascii="Times New Roman" w:hAnsi="Times New Roman" w:eastAsia="宋体" w:cs="Times New Roman"/>
                <w:b/>
                <w:bCs w:val="0"/>
                <w:color w:val="auto"/>
                <w:sz w:val="24"/>
                <w:szCs w:val="24"/>
                <w:highlight w:val="none"/>
                <w:lang w:val="en-US" w:eastAsia="zh-CN"/>
              </w:rPr>
              <w:t>6</w:t>
            </w:r>
            <w:r>
              <w:rPr>
                <w:rFonts w:hint="default" w:ascii="Times New Roman" w:hAnsi="Times New Roman" w:eastAsia="宋体" w:cs="Times New Roman"/>
                <w:b/>
                <w:bCs w:val="0"/>
                <w:color w:val="auto"/>
                <w:sz w:val="24"/>
                <w:szCs w:val="24"/>
                <w:highlight w:val="none"/>
                <w:lang w:val="en-US" w:eastAsia="zh-CN"/>
              </w:rPr>
              <w:t>）初期雨水</w:t>
            </w:r>
          </w:p>
          <w:p w14:paraId="6F29C51A">
            <w:pPr>
              <w:keepNext w:val="0"/>
              <w:keepLines w:val="0"/>
              <w:pageBreakBefore w:val="0"/>
              <w:widowControl w:val="0"/>
              <w:kinsoku/>
              <w:wordWrap/>
              <w:overflowPunct/>
              <w:topLinePunct w:val="0"/>
              <w:autoSpaceDE w:val="0"/>
              <w:autoSpaceDN w:val="0"/>
              <w:bidi w:val="0"/>
              <w:adjustRightInd/>
              <w:snapToGrid/>
              <w:spacing w:line="440" w:lineRule="exact"/>
              <w:ind w:firstLine="480"/>
              <w:textAlignment w:val="auto"/>
              <w:rPr>
                <w:rFonts w:hint="eastAsia" w:ascii="Times New Roman" w:hAnsi="Times New Roman" w:eastAsia="宋体" w:cs="Times New Roman"/>
                <w:b w:val="0"/>
                <w:bCs w:val="0"/>
                <w:color w:val="auto"/>
                <w:sz w:val="24"/>
                <w:szCs w:val="24"/>
                <w:highlight w:val="none"/>
                <w:u w:val="none"/>
                <w:lang w:val="en-US" w:eastAsia="zh-CN"/>
              </w:rPr>
            </w:pPr>
            <w:r>
              <w:rPr>
                <w:rFonts w:hint="eastAsia" w:ascii="Times New Roman" w:hAnsi="Times New Roman" w:eastAsia="宋体" w:cs="Times New Roman"/>
                <w:b w:val="0"/>
                <w:bCs w:val="0"/>
                <w:color w:val="auto"/>
                <w:sz w:val="24"/>
                <w:szCs w:val="24"/>
                <w:highlight w:val="none"/>
                <w:u w:val="none"/>
                <w:lang w:val="en-US" w:eastAsia="zh-CN"/>
              </w:rPr>
              <w:t>根据调查，本项目液体复合微生物肥生产区设置于现有项目而成烘干粉碎车间北侧，其生产和物料运输均在厂房中，本次不考虑初期雨水的收集；固体复合微生物肥生产区，其生产场地内会运输过程会有少量原辅料等散落物，遇上降雨天气，地表径流会被污染，形成高浓度悬浮物废水，不加处理会对周围地表水环境造成影响。</w:t>
            </w:r>
          </w:p>
          <w:p w14:paraId="1FFE7AF2">
            <w:pPr>
              <w:keepNext w:val="0"/>
              <w:keepLines w:val="0"/>
              <w:pageBreakBefore w:val="0"/>
              <w:widowControl w:val="0"/>
              <w:kinsoku/>
              <w:wordWrap/>
              <w:overflowPunct/>
              <w:topLinePunct w:val="0"/>
              <w:autoSpaceDE w:val="0"/>
              <w:autoSpaceDN w:val="0"/>
              <w:bidi w:val="0"/>
              <w:adjustRightInd/>
              <w:snapToGrid/>
              <w:spacing w:line="440" w:lineRule="exact"/>
              <w:ind w:firstLine="480"/>
              <w:textAlignment w:val="auto"/>
              <w:rPr>
                <w:rFonts w:hint="default" w:ascii="Times New Roman" w:hAnsi="Times New Roman" w:eastAsia="宋体" w:cs="Times New Roman"/>
                <w:b w:val="0"/>
                <w:bCs w:val="0"/>
                <w:color w:val="auto"/>
                <w:sz w:val="24"/>
                <w:szCs w:val="24"/>
                <w:highlight w:val="none"/>
                <w:u w:val="none"/>
                <w:lang w:eastAsia="zh-CN"/>
              </w:rPr>
            </w:pPr>
            <w:r>
              <w:rPr>
                <w:rFonts w:hint="eastAsia" w:ascii="Times New Roman" w:hAnsi="Times New Roman" w:eastAsia="宋体" w:cs="Times New Roman"/>
                <w:b w:val="0"/>
                <w:bCs w:val="0"/>
                <w:color w:val="auto"/>
                <w:sz w:val="24"/>
                <w:szCs w:val="24"/>
                <w:highlight w:val="none"/>
                <w:u w:val="none"/>
                <w:lang w:val="en-US" w:eastAsia="zh-CN"/>
              </w:rPr>
              <w:t>因此，本项目新增固体复合微生物肥生产区在生产区四周设置雨水排水沟，对全厂初期雨水进行收集，回用于道路降尘用水。</w:t>
            </w:r>
          </w:p>
          <w:p w14:paraId="4E578F06">
            <w:pPr>
              <w:keepNext w:val="0"/>
              <w:keepLines w:val="0"/>
              <w:pageBreakBefore w:val="0"/>
              <w:widowControl w:val="0"/>
              <w:kinsoku/>
              <w:wordWrap/>
              <w:overflowPunct/>
              <w:topLinePunct w:val="0"/>
              <w:autoSpaceDE w:val="0"/>
              <w:autoSpaceDN w:val="0"/>
              <w:bidi w:val="0"/>
              <w:adjustRightInd/>
              <w:snapToGrid/>
              <w:spacing w:line="440" w:lineRule="exact"/>
              <w:ind w:firstLine="480"/>
              <w:textAlignment w:val="auto"/>
              <w:rPr>
                <w:rFonts w:hint="default" w:ascii="Times New Roman" w:hAnsi="Times New Roman" w:eastAsia="宋体" w:cs="Times New Roman"/>
                <w:b w:val="0"/>
                <w:bCs w:val="0"/>
                <w:color w:val="auto"/>
                <w:sz w:val="24"/>
                <w:szCs w:val="24"/>
                <w:highlight w:val="none"/>
                <w:u w:val="none"/>
              </w:rPr>
            </w:pPr>
            <w:r>
              <w:rPr>
                <w:rFonts w:hint="default" w:ascii="Times New Roman" w:hAnsi="Times New Roman" w:eastAsia="宋体" w:cs="Times New Roman"/>
                <w:b w:val="0"/>
                <w:bCs w:val="0"/>
                <w:color w:val="auto"/>
                <w:sz w:val="24"/>
                <w:szCs w:val="24"/>
                <w:highlight w:val="none"/>
                <w:u w:val="none"/>
              </w:rPr>
              <w:t>本报告取初期15min的时间来计算初期雨水。暴雨强度公式参照昆明市暴雨强度公式。</w:t>
            </w:r>
          </w:p>
          <w:p w14:paraId="3BB6A6C1">
            <w:pPr>
              <w:autoSpaceDE w:val="0"/>
              <w:autoSpaceDN w:val="0"/>
              <w:spacing w:line="360" w:lineRule="auto"/>
              <w:ind w:firstLine="0" w:firstLineChars="0"/>
              <w:jc w:val="center"/>
              <w:rPr>
                <w:rFonts w:hint="default" w:ascii="Times New Roman" w:hAnsi="Times New Roman" w:eastAsia="宋体" w:cs="Times New Roman"/>
                <w:b w:val="0"/>
                <w:bCs w:val="0"/>
                <w:color w:val="auto"/>
                <w:sz w:val="24"/>
                <w:szCs w:val="24"/>
                <w:highlight w:val="none"/>
                <w:u w:val="none"/>
              </w:rPr>
            </w:pPr>
            <w:r>
              <w:rPr>
                <w:rFonts w:hint="default" w:ascii="Times New Roman" w:hAnsi="Times New Roman" w:eastAsia="宋体" w:cs="Times New Roman"/>
                <w:b w:val="0"/>
                <w:bCs w:val="0"/>
                <w:color w:val="auto"/>
                <w:sz w:val="24"/>
                <w:szCs w:val="24"/>
                <w:highlight w:val="none"/>
                <w:u w:val="none"/>
              </w:rPr>
              <w:t>q=700×(1＋0.775×lgP)/(t)</w:t>
            </w:r>
            <w:r>
              <w:rPr>
                <w:rFonts w:hint="default" w:ascii="Times New Roman" w:hAnsi="Times New Roman" w:eastAsia="宋体" w:cs="Times New Roman"/>
                <w:b w:val="0"/>
                <w:bCs w:val="0"/>
                <w:color w:val="auto"/>
                <w:sz w:val="24"/>
                <w:szCs w:val="24"/>
                <w:highlight w:val="none"/>
                <w:u w:val="none"/>
                <w:vertAlign w:val="superscript"/>
              </w:rPr>
              <w:t>0.496</w:t>
            </w:r>
          </w:p>
          <w:p w14:paraId="1518E178">
            <w:pPr>
              <w:autoSpaceDE w:val="0"/>
              <w:autoSpaceDN w:val="0"/>
              <w:spacing w:line="360" w:lineRule="auto"/>
              <w:ind w:firstLine="0" w:firstLineChars="0"/>
              <w:jc w:val="center"/>
              <w:rPr>
                <w:rFonts w:hint="default" w:ascii="Times New Roman" w:hAnsi="Times New Roman" w:eastAsia="宋体" w:cs="Times New Roman"/>
                <w:b w:val="0"/>
                <w:bCs w:val="0"/>
                <w:color w:val="auto"/>
                <w:sz w:val="24"/>
                <w:szCs w:val="24"/>
                <w:highlight w:val="none"/>
                <w:u w:val="none"/>
              </w:rPr>
            </w:pPr>
            <w:r>
              <w:rPr>
                <w:rFonts w:hint="default" w:ascii="Times New Roman" w:hAnsi="Times New Roman" w:eastAsia="宋体" w:cs="Times New Roman"/>
                <w:b w:val="0"/>
                <w:bCs w:val="0"/>
                <w:color w:val="auto"/>
                <w:sz w:val="24"/>
                <w:szCs w:val="24"/>
                <w:highlight w:val="none"/>
                <w:u w:val="none"/>
              </w:rPr>
              <w:t>Q=qFΨT</w:t>
            </w:r>
          </w:p>
          <w:p w14:paraId="6472850F">
            <w:pPr>
              <w:keepNext w:val="0"/>
              <w:keepLines w:val="0"/>
              <w:pageBreakBefore w:val="0"/>
              <w:widowControl w:val="0"/>
              <w:kinsoku/>
              <w:wordWrap/>
              <w:overflowPunct/>
              <w:topLinePunct w:val="0"/>
              <w:autoSpaceDE w:val="0"/>
              <w:autoSpaceDN w:val="0"/>
              <w:bidi w:val="0"/>
              <w:adjustRightInd/>
              <w:snapToGrid/>
              <w:spacing w:line="440" w:lineRule="exact"/>
              <w:ind w:firstLine="482"/>
              <w:textAlignment w:val="auto"/>
              <w:rPr>
                <w:rFonts w:hint="eastAsia" w:cs="Times New Roman"/>
                <w:b w:val="0"/>
                <w:bCs w:val="0"/>
                <w:color w:val="auto"/>
                <w:sz w:val="24"/>
                <w:szCs w:val="24"/>
                <w:highlight w:val="none"/>
                <w:u w:val="none"/>
                <w:lang w:val="en-US" w:eastAsia="zh-CN"/>
              </w:rPr>
            </w:pPr>
            <w:r>
              <w:rPr>
                <w:rFonts w:hint="eastAsia" w:cs="Times New Roman"/>
                <w:b w:val="0"/>
                <w:bCs w:val="0"/>
                <w:color w:val="auto"/>
                <w:sz w:val="24"/>
                <w:szCs w:val="24"/>
                <w:highlight w:val="none"/>
                <w:u w:val="none"/>
                <w:lang w:val="en-US" w:eastAsia="zh-CN"/>
              </w:rPr>
              <w:t>公式中：</w:t>
            </w:r>
          </w:p>
          <w:p w14:paraId="2DFD8268">
            <w:pPr>
              <w:keepNext w:val="0"/>
              <w:keepLines w:val="0"/>
              <w:pageBreakBefore w:val="0"/>
              <w:widowControl w:val="0"/>
              <w:kinsoku/>
              <w:wordWrap/>
              <w:overflowPunct/>
              <w:topLinePunct w:val="0"/>
              <w:autoSpaceDE w:val="0"/>
              <w:autoSpaceDN w:val="0"/>
              <w:bidi w:val="0"/>
              <w:adjustRightInd/>
              <w:snapToGrid/>
              <w:spacing w:line="440" w:lineRule="exact"/>
              <w:ind w:firstLine="482"/>
              <w:textAlignment w:val="auto"/>
              <w:rPr>
                <w:rFonts w:hint="default" w:ascii="Times New Roman" w:hAnsi="Times New Roman" w:eastAsia="宋体" w:cs="Times New Roman"/>
                <w:b w:val="0"/>
                <w:bCs w:val="0"/>
                <w:color w:val="auto"/>
                <w:sz w:val="24"/>
                <w:szCs w:val="24"/>
                <w:highlight w:val="none"/>
                <w:u w:val="none"/>
              </w:rPr>
            </w:pPr>
            <w:r>
              <w:rPr>
                <w:rFonts w:hint="default" w:ascii="Times New Roman" w:hAnsi="Times New Roman" w:eastAsia="宋体" w:cs="Times New Roman"/>
                <w:b w:val="0"/>
                <w:bCs w:val="0"/>
                <w:color w:val="auto"/>
                <w:sz w:val="24"/>
                <w:szCs w:val="24"/>
                <w:highlight w:val="none"/>
                <w:u w:val="none"/>
              </w:rPr>
              <w:t xml:space="preserve">q-设计暴雨强度(升/秒·公顷)； </w:t>
            </w:r>
          </w:p>
          <w:p w14:paraId="6829007A">
            <w:pPr>
              <w:keepNext w:val="0"/>
              <w:keepLines w:val="0"/>
              <w:pageBreakBefore w:val="0"/>
              <w:widowControl w:val="0"/>
              <w:kinsoku/>
              <w:wordWrap/>
              <w:overflowPunct/>
              <w:topLinePunct w:val="0"/>
              <w:autoSpaceDE w:val="0"/>
              <w:autoSpaceDN w:val="0"/>
              <w:bidi w:val="0"/>
              <w:adjustRightInd/>
              <w:snapToGrid/>
              <w:spacing w:line="440" w:lineRule="exact"/>
              <w:ind w:firstLine="482"/>
              <w:textAlignment w:val="auto"/>
              <w:rPr>
                <w:rFonts w:hint="default" w:ascii="Times New Roman" w:hAnsi="Times New Roman" w:eastAsia="宋体" w:cs="Times New Roman"/>
                <w:b w:val="0"/>
                <w:bCs w:val="0"/>
                <w:color w:val="auto"/>
                <w:sz w:val="24"/>
                <w:szCs w:val="24"/>
                <w:highlight w:val="none"/>
                <w:u w:val="none"/>
              </w:rPr>
            </w:pPr>
            <w:r>
              <w:rPr>
                <w:rFonts w:hint="default" w:ascii="Times New Roman" w:hAnsi="Times New Roman" w:eastAsia="宋体" w:cs="Times New Roman"/>
                <w:b w:val="0"/>
                <w:bCs w:val="0"/>
                <w:color w:val="auto"/>
                <w:sz w:val="24"/>
                <w:szCs w:val="24"/>
                <w:highlight w:val="none"/>
                <w:u w:val="none"/>
              </w:rPr>
              <w:t>P-暴雨重现期(年)，本项目取</w:t>
            </w:r>
            <w:r>
              <w:rPr>
                <w:rFonts w:hint="default" w:ascii="Times New Roman" w:hAnsi="Times New Roman" w:eastAsia="宋体" w:cs="Times New Roman"/>
                <w:b w:val="0"/>
                <w:bCs w:val="0"/>
                <w:color w:val="auto"/>
                <w:sz w:val="24"/>
                <w:szCs w:val="24"/>
                <w:highlight w:val="none"/>
                <w:u w:val="none"/>
                <w:lang w:val="en-US" w:eastAsia="zh-CN"/>
              </w:rPr>
              <w:t>2</w:t>
            </w:r>
            <w:r>
              <w:rPr>
                <w:rFonts w:hint="default" w:ascii="Times New Roman" w:hAnsi="Times New Roman" w:eastAsia="宋体" w:cs="Times New Roman"/>
                <w:b w:val="0"/>
                <w:bCs w:val="0"/>
                <w:color w:val="auto"/>
                <w:sz w:val="24"/>
                <w:szCs w:val="24"/>
                <w:highlight w:val="none"/>
                <w:u w:val="none"/>
              </w:rPr>
              <w:t xml:space="preserve">年； </w:t>
            </w:r>
          </w:p>
          <w:p w14:paraId="1C3A7DD1">
            <w:pPr>
              <w:keepNext w:val="0"/>
              <w:keepLines w:val="0"/>
              <w:pageBreakBefore w:val="0"/>
              <w:widowControl w:val="0"/>
              <w:kinsoku/>
              <w:wordWrap/>
              <w:overflowPunct/>
              <w:topLinePunct w:val="0"/>
              <w:autoSpaceDE w:val="0"/>
              <w:autoSpaceDN w:val="0"/>
              <w:bidi w:val="0"/>
              <w:adjustRightInd/>
              <w:snapToGrid/>
              <w:spacing w:line="440" w:lineRule="exact"/>
              <w:ind w:firstLine="482"/>
              <w:textAlignment w:val="auto"/>
              <w:rPr>
                <w:rFonts w:hint="default" w:ascii="Times New Roman" w:hAnsi="Times New Roman" w:eastAsia="宋体" w:cs="Times New Roman"/>
                <w:b w:val="0"/>
                <w:bCs w:val="0"/>
                <w:color w:val="auto"/>
                <w:sz w:val="24"/>
                <w:szCs w:val="24"/>
                <w:highlight w:val="none"/>
                <w:u w:val="none"/>
              </w:rPr>
            </w:pPr>
            <w:r>
              <w:rPr>
                <w:rFonts w:hint="default" w:ascii="Times New Roman" w:hAnsi="Times New Roman" w:eastAsia="宋体" w:cs="Times New Roman"/>
                <w:b w:val="0"/>
                <w:bCs w:val="0"/>
                <w:color w:val="auto"/>
                <w:sz w:val="24"/>
                <w:szCs w:val="24"/>
                <w:highlight w:val="none"/>
                <w:u w:val="none"/>
              </w:rPr>
              <w:t>t-降雨历时，本项目取60min；</w:t>
            </w:r>
          </w:p>
          <w:p w14:paraId="200986B3">
            <w:pPr>
              <w:keepNext w:val="0"/>
              <w:keepLines w:val="0"/>
              <w:pageBreakBefore w:val="0"/>
              <w:widowControl w:val="0"/>
              <w:kinsoku/>
              <w:wordWrap/>
              <w:overflowPunct/>
              <w:topLinePunct w:val="0"/>
              <w:autoSpaceDE w:val="0"/>
              <w:autoSpaceDN w:val="0"/>
              <w:bidi w:val="0"/>
              <w:adjustRightIn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rPr>
              <w:t>F-汇水面积；</w:t>
            </w:r>
            <w:r>
              <w:rPr>
                <w:rFonts w:hint="default" w:ascii="Times New Roman" w:hAnsi="Times New Roman" w:eastAsia="宋体" w:cs="Times New Roman"/>
                <w:b w:val="0"/>
                <w:bCs w:val="0"/>
                <w:color w:val="auto"/>
                <w:sz w:val="24"/>
                <w:szCs w:val="24"/>
                <w:highlight w:val="none"/>
                <w:u w:val="none"/>
                <w:lang w:val="en-US" w:eastAsia="zh-CN"/>
              </w:rPr>
              <w:t>项目总用地面积</w:t>
            </w:r>
            <w:r>
              <w:rPr>
                <w:rFonts w:hint="eastAsia" w:ascii="Times New Roman" w:hAnsi="Times New Roman" w:eastAsia="宋体" w:cs="Times New Roman"/>
                <w:b w:val="0"/>
                <w:bCs w:val="0"/>
                <w:color w:val="auto"/>
                <w:sz w:val="24"/>
                <w:szCs w:val="24"/>
                <w:highlight w:val="none"/>
                <w:u w:val="none"/>
                <w:lang w:val="en-US" w:eastAsia="zh-CN"/>
              </w:rPr>
              <w:t>2400</w:t>
            </w:r>
            <w:r>
              <w:rPr>
                <w:rFonts w:hint="default" w:ascii="Times New Roman" w:hAnsi="Times New Roman" w:eastAsia="宋体" w:cs="Times New Roman"/>
                <w:b w:val="0"/>
                <w:bCs w:val="0"/>
                <w:color w:val="auto"/>
                <w:sz w:val="24"/>
                <w:szCs w:val="24"/>
                <w:highlight w:val="none"/>
                <w:u w:val="none"/>
              </w:rPr>
              <w:t>m</w:t>
            </w:r>
            <w:r>
              <w:rPr>
                <w:rFonts w:hint="default" w:ascii="Times New Roman" w:hAnsi="Times New Roman" w:eastAsia="宋体" w:cs="Times New Roman"/>
                <w:b w:val="0"/>
                <w:bCs w:val="0"/>
                <w:color w:val="auto"/>
                <w:sz w:val="24"/>
                <w:szCs w:val="24"/>
                <w:highlight w:val="none"/>
                <w:u w:val="none"/>
                <w:vertAlign w:val="superscript"/>
              </w:rPr>
              <w:t>2</w:t>
            </w:r>
            <w:r>
              <w:rPr>
                <w:rFonts w:hint="default" w:ascii="Times New Roman" w:hAnsi="Times New Roman" w:eastAsia="宋体" w:cs="Times New Roman"/>
                <w:b w:val="0"/>
                <w:bCs w:val="0"/>
                <w:color w:val="auto"/>
                <w:sz w:val="24"/>
                <w:szCs w:val="24"/>
                <w:highlight w:val="none"/>
                <w:u w:val="none"/>
                <w:lang w:eastAsia="zh-CN"/>
              </w:rPr>
              <w:t>；</w:t>
            </w:r>
          </w:p>
          <w:p w14:paraId="71FF4316">
            <w:pPr>
              <w:keepNext w:val="0"/>
              <w:keepLines w:val="0"/>
              <w:pageBreakBefore w:val="0"/>
              <w:widowControl w:val="0"/>
              <w:kinsoku/>
              <w:wordWrap/>
              <w:overflowPunct/>
              <w:topLinePunct w:val="0"/>
              <w:autoSpaceDE w:val="0"/>
              <w:autoSpaceDN w:val="0"/>
              <w:bidi w:val="0"/>
              <w:adjustRightIn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u w:val="none"/>
              </w:rPr>
            </w:pPr>
            <w:r>
              <w:rPr>
                <w:rFonts w:hint="default" w:ascii="Times New Roman" w:hAnsi="Times New Roman" w:eastAsia="宋体" w:cs="Times New Roman"/>
                <w:b w:val="0"/>
                <w:bCs w:val="0"/>
                <w:color w:val="auto"/>
                <w:sz w:val="24"/>
                <w:szCs w:val="24"/>
                <w:highlight w:val="none"/>
                <w:u w:val="none"/>
              </w:rPr>
              <w:t>Ψ-径流系数，本项目取0.</w:t>
            </w:r>
            <w:r>
              <w:rPr>
                <w:rFonts w:hint="default" w:ascii="Times New Roman" w:hAnsi="Times New Roman" w:eastAsia="宋体" w:cs="Times New Roman"/>
                <w:b w:val="0"/>
                <w:bCs w:val="0"/>
                <w:color w:val="auto"/>
                <w:sz w:val="24"/>
                <w:szCs w:val="24"/>
                <w:highlight w:val="none"/>
                <w:u w:val="none"/>
                <w:lang w:val="en-US" w:eastAsia="zh-CN"/>
              </w:rPr>
              <w:t>9</w:t>
            </w:r>
            <w:r>
              <w:rPr>
                <w:rFonts w:hint="default" w:ascii="Times New Roman" w:hAnsi="Times New Roman" w:eastAsia="宋体" w:cs="Times New Roman"/>
                <w:b w:val="0"/>
                <w:bCs w:val="0"/>
                <w:color w:val="auto"/>
                <w:sz w:val="24"/>
                <w:szCs w:val="24"/>
                <w:highlight w:val="none"/>
                <w:u w:val="none"/>
              </w:rPr>
              <w:t>；</w:t>
            </w:r>
          </w:p>
          <w:p w14:paraId="5347CD0F">
            <w:pPr>
              <w:keepNext w:val="0"/>
              <w:keepLines w:val="0"/>
              <w:pageBreakBefore w:val="0"/>
              <w:widowControl w:val="0"/>
              <w:kinsoku/>
              <w:wordWrap/>
              <w:overflowPunct/>
              <w:topLinePunct w:val="0"/>
              <w:autoSpaceDE w:val="0"/>
              <w:autoSpaceDN w:val="0"/>
              <w:bidi w:val="0"/>
              <w:adjustRightIn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u w:val="none"/>
              </w:rPr>
            </w:pPr>
            <w:r>
              <w:rPr>
                <w:rFonts w:hint="default" w:ascii="Times New Roman" w:hAnsi="Times New Roman" w:eastAsia="宋体" w:cs="Times New Roman"/>
                <w:b w:val="0"/>
                <w:bCs w:val="0"/>
                <w:color w:val="auto"/>
                <w:sz w:val="24"/>
                <w:szCs w:val="24"/>
                <w:highlight w:val="none"/>
                <w:u w:val="none"/>
              </w:rPr>
              <w:t>T-收集时间，本项目取15min。</w:t>
            </w:r>
          </w:p>
          <w:p w14:paraId="10C8FEF4">
            <w:pPr>
              <w:keepNext w:val="0"/>
              <w:keepLines w:val="0"/>
              <w:pageBreakBefore w:val="0"/>
              <w:widowControl w:val="0"/>
              <w:kinsoku/>
              <w:wordWrap/>
              <w:overflowPunct/>
              <w:topLinePunct w:val="0"/>
              <w:bidi w:val="0"/>
              <w:adjustRightInd/>
              <w:snapToGrid w:val="0"/>
              <w:spacing w:line="440" w:lineRule="exact"/>
              <w:ind w:firstLine="480" w:firstLineChars="200"/>
              <w:jc w:val="both"/>
              <w:textAlignment w:val="auto"/>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rPr>
              <w:t>经计算暴雨强度q</w:t>
            </w:r>
            <w:r>
              <w:rPr>
                <w:rFonts w:hint="default" w:ascii="Times New Roman" w:hAnsi="Times New Roman" w:eastAsia="宋体" w:cs="Times New Roman"/>
                <w:b w:val="0"/>
                <w:bCs w:val="0"/>
                <w:color w:val="auto"/>
                <w:sz w:val="24"/>
                <w:szCs w:val="24"/>
                <w:highlight w:val="none"/>
                <w:u w:val="none"/>
                <w:lang w:val="en-US" w:eastAsia="zh-CN"/>
              </w:rPr>
              <w:t>=</w:t>
            </w:r>
            <w:r>
              <w:rPr>
                <w:rFonts w:hint="default" w:ascii="Times New Roman" w:hAnsi="Times New Roman" w:eastAsia="宋体" w:cs="Times New Roman"/>
                <w:b w:val="0"/>
                <w:bCs w:val="0"/>
                <w:color w:val="auto"/>
                <w:sz w:val="24"/>
                <w:szCs w:val="24"/>
                <w:highlight w:val="none"/>
                <w:u w:val="none"/>
              </w:rPr>
              <w:t>1</w:t>
            </w:r>
            <w:r>
              <w:rPr>
                <w:rFonts w:hint="default" w:ascii="Times New Roman" w:hAnsi="Times New Roman" w:eastAsia="宋体" w:cs="Times New Roman"/>
                <w:b w:val="0"/>
                <w:bCs w:val="0"/>
                <w:color w:val="auto"/>
                <w:sz w:val="24"/>
                <w:szCs w:val="24"/>
                <w:highlight w:val="none"/>
                <w:u w:val="none"/>
                <w:lang w:val="en-US" w:eastAsia="zh-CN"/>
              </w:rPr>
              <w:t>13.29</w:t>
            </w:r>
            <w:r>
              <w:rPr>
                <w:rFonts w:hint="default" w:ascii="Times New Roman" w:hAnsi="Times New Roman" w:eastAsia="宋体" w:cs="Times New Roman"/>
                <w:b w:val="0"/>
                <w:bCs w:val="0"/>
                <w:color w:val="auto"/>
                <w:sz w:val="24"/>
                <w:szCs w:val="24"/>
                <w:highlight w:val="none"/>
                <w:u w:val="none"/>
              </w:rPr>
              <w:t>L/s·hm</w:t>
            </w:r>
            <w:r>
              <w:rPr>
                <w:rFonts w:hint="default" w:ascii="Times New Roman" w:hAnsi="Times New Roman" w:eastAsia="宋体" w:cs="Times New Roman"/>
                <w:b w:val="0"/>
                <w:bCs w:val="0"/>
                <w:color w:val="auto"/>
                <w:sz w:val="24"/>
                <w:szCs w:val="24"/>
                <w:highlight w:val="none"/>
                <w:u w:val="none"/>
                <w:vertAlign w:val="superscript"/>
              </w:rPr>
              <w:t>2</w:t>
            </w:r>
            <w:r>
              <w:rPr>
                <w:rFonts w:hint="default" w:ascii="Times New Roman" w:hAnsi="Times New Roman" w:eastAsia="宋体" w:cs="Times New Roman"/>
                <w:b w:val="0"/>
                <w:bCs w:val="0"/>
                <w:color w:val="auto"/>
                <w:sz w:val="24"/>
                <w:szCs w:val="24"/>
                <w:highlight w:val="none"/>
                <w:u w:val="none"/>
              </w:rPr>
              <w:t>，则初期雨水量为</w:t>
            </w:r>
            <w:r>
              <w:rPr>
                <w:rFonts w:hint="default" w:ascii="Times New Roman" w:hAnsi="Times New Roman" w:eastAsia="宋体" w:cs="Times New Roman"/>
                <w:b w:val="0"/>
                <w:bCs w:val="0"/>
                <w:color w:val="auto"/>
                <w:sz w:val="24"/>
                <w:szCs w:val="24"/>
                <w:highlight w:val="none"/>
                <w:u w:val="none"/>
                <w:lang w:val="en-US" w:eastAsia="zh-CN"/>
              </w:rPr>
              <w:t>2</w:t>
            </w:r>
            <w:r>
              <w:rPr>
                <w:rFonts w:hint="eastAsia" w:ascii="Times New Roman" w:hAnsi="Times New Roman" w:eastAsia="宋体" w:cs="Times New Roman"/>
                <w:b w:val="0"/>
                <w:bCs w:val="0"/>
                <w:color w:val="auto"/>
                <w:sz w:val="24"/>
                <w:szCs w:val="24"/>
                <w:highlight w:val="none"/>
                <w:u w:val="none"/>
                <w:lang w:val="en-US" w:eastAsia="zh-CN"/>
              </w:rPr>
              <w:t>2</w:t>
            </w:r>
            <w:r>
              <w:rPr>
                <w:rFonts w:hint="default" w:ascii="Times New Roman" w:hAnsi="Times New Roman" w:eastAsia="宋体" w:cs="Times New Roman"/>
                <w:b w:val="0"/>
                <w:bCs w:val="0"/>
                <w:color w:val="auto"/>
                <w:sz w:val="24"/>
                <w:szCs w:val="24"/>
                <w:highlight w:val="none"/>
                <w:u w:val="none"/>
              </w:rPr>
              <w:t>m</w:t>
            </w:r>
            <w:r>
              <w:rPr>
                <w:rFonts w:hint="default" w:ascii="Times New Roman" w:hAnsi="Times New Roman" w:eastAsia="宋体" w:cs="Times New Roman"/>
                <w:b w:val="0"/>
                <w:bCs w:val="0"/>
                <w:color w:val="auto"/>
                <w:sz w:val="24"/>
                <w:szCs w:val="24"/>
                <w:highlight w:val="none"/>
                <w:u w:val="none"/>
                <w:vertAlign w:val="superscript"/>
              </w:rPr>
              <w:t>3</w:t>
            </w:r>
            <w:r>
              <w:rPr>
                <w:rFonts w:hint="default" w:ascii="Times New Roman" w:hAnsi="Times New Roman" w:eastAsia="宋体" w:cs="Times New Roman"/>
                <w:b w:val="0"/>
                <w:bCs w:val="0"/>
                <w:color w:val="auto"/>
                <w:sz w:val="24"/>
                <w:szCs w:val="24"/>
                <w:highlight w:val="none"/>
                <w:u w:val="none"/>
              </w:rPr>
              <w:t>/次</w:t>
            </w:r>
            <w:r>
              <w:rPr>
                <w:rFonts w:hint="eastAsia" w:ascii="Times New Roman" w:hAnsi="Times New Roman" w:eastAsia="宋体" w:cs="Times New Roman"/>
                <w:b w:val="0"/>
                <w:bCs w:val="0"/>
                <w:color w:val="auto"/>
                <w:sz w:val="24"/>
                <w:szCs w:val="24"/>
                <w:highlight w:val="none"/>
                <w:u w:val="none"/>
                <w:lang w:eastAsia="zh-CN"/>
              </w:rPr>
              <w:t>，</w:t>
            </w:r>
            <w:r>
              <w:rPr>
                <w:rFonts w:hint="eastAsia" w:ascii="Times New Roman" w:hAnsi="Times New Roman" w:eastAsia="宋体" w:cs="Times New Roman"/>
                <w:b w:val="0"/>
                <w:bCs w:val="0"/>
                <w:color w:val="auto"/>
                <w:sz w:val="24"/>
                <w:szCs w:val="24"/>
                <w:highlight w:val="none"/>
                <w:u w:val="none"/>
                <w:lang w:val="en-US" w:eastAsia="zh-CN"/>
              </w:rPr>
              <w:t>考虑1.2的安全系数</w:t>
            </w:r>
            <w:r>
              <w:rPr>
                <w:rFonts w:hint="default" w:ascii="Times New Roman" w:hAnsi="Times New Roman" w:eastAsia="宋体" w:cs="Times New Roman"/>
                <w:b w:val="0"/>
                <w:bCs w:val="0"/>
                <w:color w:val="auto"/>
                <w:sz w:val="24"/>
                <w:szCs w:val="24"/>
                <w:highlight w:val="none"/>
                <w:u w:val="none"/>
              </w:rPr>
              <w:t>。因此，本项目环评要求建设总容积不低于30m</w:t>
            </w:r>
            <w:r>
              <w:rPr>
                <w:rFonts w:hint="default" w:ascii="Times New Roman" w:hAnsi="Times New Roman" w:eastAsia="宋体" w:cs="Times New Roman"/>
                <w:b w:val="0"/>
                <w:bCs w:val="0"/>
                <w:color w:val="auto"/>
                <w:sz w:val="24"/>
                <w:szCs w:val="24"/>
                <w:highlight w:val="none"/>
                <w:u w:val="none"/>
                <w:vertAlign w:val="superscript"/>
              </w:rPr>
              <w:t>3</w:t>
            </w:r>
            <w:r>
              <w:rPr>
                <w:rFonts w:hint="default" w:ascii="Times New Roman" w:hAnsi="Times New Roman" w:eastAsia="宋体" w:cs="Times New Roman"/>
                <w:b w:val="0"/>
                <w:bCs w:val="0"/>
                <w:color w:val="auto"/>
                <w:sz w:val="24"/>
                <w:szCs w:val="24"/>
                <w:highlight w:val="none"/>
                <w:u w:val="none"/>
              </w:rPr>
              <w:t>的初期雨水池对初期雨水进行收集，初期雨水经</w:t>
            </w:r>
            <w:r>
              <w:rPr>
                <w:rFonts w:hint="default" w:ascii="Times New Roman" w:hAnsi="Times New Roman" w:eastAsia="宋体" w:cs="Times New Roman"/>
                <w:b w:val="0"/>
                <w:bCs w:val="0"/>
                <w:color w:val="auto"/>
                <w:sz w:val="24"/>
                <w:szCs w:val="24"/>
                <w:highlight w:val="none"/>
                <w:u w:val="none"/>
                <w:lang w:val="en-US" w:eastAsia="zh-CN"/>
              </w:rPr>
              <w:t>初期雨水池沉淀处理后回用于厂区</w:t>
            </w:r>
            <w:r>
              <w:rPr>
                <w:rFonts w:hint="eastAsia" w:ascii="Times New Roman" w:hAnsi="Times New Roman" w:eastAsia="宋体" w:cs="Times New Roman"/>
                <w:b w:val="0"/>
                <w:bCs w:val="0"/>
                <w:color w:val="auto"/>
                <w:sz w:val="24"/>
                <w:szCs w:val="24"/>
                <w:highlight w:val="none"/>
                <w:u w:val="none"/>
                <w:lang w:val="en-US" w:eastAsia="zh-CN"/>
              </w:rPr>
              <w:t>道路</w:t>
            </w:r>
            <w:r>
              <w:rPr>
                <w:rFonts w:hint="default" w:ascii="Times New Roman" w:hAnsi="Times New Roman" w:eastAsia="宋体" w:cs="Times New Roman"/>
                <w:b w:val="0"/>
                <w:bCs w:val="0"/>
                <w:color w:val="auto"/>
                <w:sz w:val="24"/>
                <w:szCs w:val="24"/>
                <w:highlight w:val="none"/>
                <w:u w:val="none"/>
                <w:lang w:val="en-US" w:eastAsia="zh-CN"/>
              </w:rPr>
              <w:t>抑尘用水，不外排。</w:t>
            </w:r>
          </w:p>
          <w:p w14:paraId="6FCE4134">
            <w:pPr>
              <w:pStyle w:val="12"/>
              <w:keepNext w:val="0"/>
              <w:keepLines w:val="0"/>
              <w:pageBreakBefore w:val="0"/>
              <w:widowControl w:val="0"/>
              <w:kinsoku/>
              <w:wordWrap/>
              <w:overflowPunct/>
              <w:topLinePunct w:val="0"/>
              <w:autoSpaceDE/>
              <w:autoSpaceDN/>
              <w:bidi w:val="0"/>
              <w:adjustRightInd w:val="0"/>
              <w:snapToGrid w:val="0"/>
              <w:spacing w:after="0" w:line="320" w:lineRule="exact"/>
              <w:ind w:left="0" w:leftChars="0"/>
              <w:jc w:val="center"/>
              <w:textAlignment w:val="auto"/>
              <w:rPr>
                <w:rFonts w:hint="eastAsia"/>
                <w:b/>
                <w:color w:val="auto"/>
                <w:sz w:val="21"/>
                <w:szCs w:val="21"/>
                <w:highlight w:val="none"/>
                <w:lang w:val="en-US" w:eastAsia="zh-CN"/>
              </w:rPr>
            </w:pPr>
            <w:r>
              <w:rPr>
                <w:b/>
                <w:color w:val="auto"/>
                <w:sz w:val="21"/>
                <w:szCs w:val="21"/>
                <w:highlight w:val="none"/>
              </w:rPr>
              <w:t>表</w:t>
            </w:r>
            <w:r>
              <w:rPr>
                <w:rFonts w:hint="eastAsia"/>
                <w:b/>
                <w:color w:val="auto"/>
                <w:sz w:val="21"/>
                <w:szCs w:val="21"/>
                <w:highlight w:val="none"/>
                <w:lang w:val="en-US" w:eastAsia="zh-CN"/>
              </w:rPr>
              <w:t>2-9</w:t>
            </w:r>
            <w:r>
              <w:rPr>
                <w:b/>
                <w:color w:val="auto"/>
                <w:sz w:val="21"/>
                <w:szCs w:val="21"/>
                <w:highlight w:val="none"/>
              </w:rPr>
              <w:t xml:space="preserve">  </w:t>
            </w:r>
            <w:r>
              <w:rPr>
                <w:rFonts w:hint="eastAsia"/>
                <w:b/>
                <w:color w:val="auto"/>
                <w:sz w:val="21"/>
                <w:szCs w:val="21"/>
                <w:highlight w:val="none"/>
                <w:lang w:val="en-US" w:eastAsia="zh-CN"/>
              </w:rPr>
              <w:t>改扩建完成后全厂</w:t>
            </w:r>
            <w:r>
              <w:rPr>
                <w:b/>
                <w:color w:val="auto"/>
                <w:sz w:val="21"/>
                <w:szCs w:val="21"/>
                <w:highlight w:val="none"/>
              </w:rPr>
              <w:t>用排水情况</w:t>
            </w:r>
            <w:r>
              <w:rPr>
                <w:rFonts w:hint="eastAsia"/>
                <w:b/>
                <w:color w:val="auto"/>
                <w:sz w:val="21"/>
                <w:szCs w:val="21"/>
                <w:highlight w:val="none"/>
                <w:lang w:val="en-US" w:eastAsia="zh-CN"/>
              </w:rPr>
              <w:t xml:space="preserve">   单位：m</w:t>
            </w:r>
            <w:r>
              <w:rPr>
                <w:rFonts w:hint="eastAsia"/>
                <w:b/>
                <w:color w:val="auto"/>
                <w:sz w:val="21"/>
                <w:szCs w:val="21"/>
                <w:highlight w:val="none"/>
                <w:vertAlign w:val="superscript"/>
                <w:lang w:val="en-US" w:eastAsia="zh-CN"/>
              </w:rPr>
              <w:t>3</w:t>
            </w:r>
            <w:r>
              <w:rPr>
                <w:rFonts w:hint="eastAsia"/>
                <w:b/>
                <w:color w:val="auto"/>
                <w:sz w:val="21"/>
                <w:szCs w:val="21"/>
                <w:highlight w:val="none"/>
                <w:lang w:val="en-US" w:eastAsia="zh-CN"/>
              </w:rPr>
              <w:t>/d</w:t>
            </w:r>
          </w:p>
          <w:p w14:paraId="46D896E0">
            <w:pPr>
              <w:pStyle w:val="12"/>
              <w:keepNext w:val="0"/>
              <w:keepLines w:val="0"/>
              <w:pageBreakBefore w:val="0"/>
              <w:widowControl w:val="0"/>
              <w:kinsoku/>
              <w:wordWrap/>
              <w:overflowPunct/>
              <w:topLinePunct w:val="0"/>
              <w:autoSpaceDE/>
              <w:autoSpaceDN/>
              <w:bidi w:val="0"/>
              <w:adjustRightInd w:val="0"/>
              <w:snapToGrid w:val="0"/>
              <w:spacing w:after="0" w:line="320" w:lineRule="exact"/>
              <w:ind w:left="0" w:leftChars="0"/>
              <w:jc w:val="center"/>
              <w:textAlignment w:val="auto"/>
              <w:rPr>
                <w:rFonts w:hint="default" w:eastAsia="宋体"/>
                <w:b/>
                <w:color w:val="auto"/>
                <w:sz w:val="21"/>
                <w:szCs w:val="21"/>
                <w:highlight w:val="none"/>
                <w:lang w:val="en-US" w:eastAsia="zh-CN"/>
              </w:rPr>
            </w:pPr>
            <w:r>
              <w:rPr>
                <w:rFonts w:hint="eastAsia"/>
                <w:b/>
                <w:color w:val="auto"/>
                <w:sz w:val="21"/>
                <w:szCs w:val="21"/>
                <w:highlight w:val="none"/>
                <w:lang w:val="en-US" w:eastAsia="zh-CN"/>
              </w:rPr>
              <w:t>（现有项目水量源强来源于“与项目有关的原有环境污染问题”章节核算）</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295"/>
              <w:gridCol w:w="985"/>
              <w:gridCol w:w="1004"/>
              <w:gridCol w:w="951"/>
              <w:gridCol w:w="1084"/>
              <w:gridCol w:w="1208"/>
              <w:gridCol w:w="1655"/>
            </w:tblGrid>
            <w:tr w14:paraId="0FE1A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999" w:type="pct"/>
                  <w:gridSpan w:val="2"/>
                  <w:noWrap w:val="0"/>
                  <w:vAlign w:val="center"/>
                </w:tcPr>
                <w:p w14:paraId="7A57FF7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项目</w:t>
                  </w:r>
                </w:p>
              </w:tc>
              <w:tc>
                <w:tcPr>
                  <w:tcW w:w="572" w:type="pct"/>
                  <w:noWrap w:val="0"/>
                  <w:vAlign w:val="center"/>
                </w:tcPr>
                <w:p w14:paraId="5B59307A">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新鲜</w:t>
                  </w:r>
                </w:p>
                <w:p w14:paraId="77843C1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用水量</w:t>
                  </w:r>
                </w:p>
              </w:tc>
              <w:tc>
                <w:tcPr>
                  <w:tcW w:w="583" w:type="pct"/>
                  <w:noWrap w:val="0"/>
                  <w:vAlign w:val="center"/>
                </w:tcPr>
                <w:p w14:paraId="0670783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损耗量</w:t>
                  </w:r>
                </w:p>
              </w:tc>
              <w:tc>
                <w:tcPr>
                  <w:tcW w:w="552" w:type="pct"/>
                  <w:noWrap w:val="0"/>
                  <w:vAlign w:val="center"/>
                </w:tcPr>
                <w:p w14:paraId="1B305BA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回用水</w:t>
                  </w:r>
                </w:p>
              </w:tc>
              <w:tc>
                <w:tcPr>
                  <w:tcW w:w="629" w:type="pct"/>
                  <w:noWrap w:val="0"/>
                  <w:vAlign w:val="center"/>
                </w:tcPr>
                <w:p w14:paraId="72CA9169">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废水</w:t>
                  </w:r>
                </w:p>
                <w:p w14:paraId="2AF5940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产生量</w:t>
                  </w:r>
                </w:p>
              </w:tc>
              <w:tc>
                <w:tcPr>
                  <w:tcW w:w="701" w:type="pct"/>
                  <w:noWrap w:val="0"/>
                  <w:vAlign w:val="center"/>
                </w:tcPr>
                <w:p w14:paraId="2170965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废水</w:t>
                  </w:r>
                </w:p>
                <w:p w14:paraId="0EA061A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排放</w:t>
                  </w:r>
                  <w:r>
                    <w:rPr>
                      <w:rFonts w:hint="default" w:ascii="Times New Roman" w:hAnsi="Times New Roman" w:eastAsia="宋体" w:cs="Times New Roman"/>
                      <w:b/>
                      <w:bCs/>
                      <w:color w:val="auto"/>
                      <w:sz w:val="21"/>
                      <w:szCs w:val="21"/>
                      <w:highlight w:val="none"/>
                      <w:lang w:val="en-US" w:eastAsia="zh-CN"/>
                    </w:rPr>
                    <w:t>量</w:t>
                  </w:r>
                </w:p>
              </w:tc>
              <w:tc>
                <w:tcPr>
                  <w:tcW w:w="961" w:type="pct"/>
                  <w:noWrap w:val="0"/>
                  <w:vAlign w:val="center"/>
                </w:tcPr>
                <w:p w14:paraId="515BC50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排水去向</w:t>
                  </w:r>
                </w:p>
              </w:tc>
            </w:tr>
            <w:tr w14:paraId="1B46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restart"/>
                  <w:noWrap w:val="0"/>
                  <w:vAlign w:val="center"/>
                </w:tcPr>
                <w:p w14:paraId="399D604E">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color w:val="auto"/>
                      <w:highlight w:val="none"/>
                      <w:lang w:val="en-US" w:eastAsia="zh-CN"/>
                    </w:rPr>
                    <w:t>现有项目</w:t>
                  </w:r>
                </w:p>
              </w:tc>
              <w:tc>
                <w:tcPr>
                  <w:tcW w:w="752" w:type="pct"/>
                  <w:noWrap w:val="0"/>
                  <w:vAlign w:val="center"/>
                </w:tcPr>
                <w:p w14:paraId="0E5BFB3C">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生活</w:t>
                  </w:r>
                </w:p>
              </w:tc>
              <w:tc>
                <w:tcPr>
                  <w:tcW w:w="572" w:type="pct"/>
                  <w:noWrap w:val="0"/>
                  <w:vAlign w:val="center"/>
                </w:tcPr>
                <w:p w14:paraId="45F6664E">
                  <w:pPr>
                    <w:keepNext w:val="0"/>
                    <w:keepLines w:val="0"/>
                    <w:pageBreakBefore w:val="0"/>
                    <w:kinsoku/>
                    <w:wordWrap/>
                    <w:overflowPunct/>
                    <w:topLinePunct w:val="0"/>
                    <w:autoSpaceDE/>
                    <w:autoSpaceDN/>
                    <w:bidi w:val="0"/>
                    <w:adjustRightInd/>
                    <w:snapToGrid/>
                    <w:spacing w:line="320" w:lineRule="exact"/>
                    <w:jc w:val="center"/>
                    <w:rPr>
                      <w:rFonts w:hint="default" w:eastAsia="宋体"/>
                      <w:b w:val="0"/>
                      <w:bCs w:val="0"/>
                      <w:color w:val="auto"/>
                      <w:highlight w:val="none"/>
                      <w:lang w:val="en-US" w:eastAsia="zh-CN"/>
                    </w:rPr>
                  </w:pPr>
                  <w:r>
                    <w:rPr>
                      <w:rFonts w:hint="eastAsia" w:eastAsia="宋体"/>
                      <w:b w:val="0"/>
                      <w:bCs w:val="0"/>
                      <w:color w:val="auto"/>
                      <w:highlight w:val="none"/>
                      <w:lang w:val="en-US" w:eastAsia="zh-CN"/>
                    </w:rPr>
                    <w:t>1.29</w:t>
                  </w:r>
                </w:p>
              </w:tc>
              <w:tc>
                <w:tcPr>
                  <w:tcW w:w="583" w:type="pct"/>
                  <w:noWrap w:val="0"/>
                  <w:vAlign w:val="center"/>
                </w:tcPr>
                <w:p w14:paraId="00838C8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0.258</w:t>
                  </w:r>
                </w:p>
              </w:tc>
              <w:tc>
                <w:tcPr>
                  <w:tcW w:w="552" w:type="pct"/>
                  <w:noWrap w:val="0"/>
                  <w:vAlign w:val="center"/>
                </w:tcPr>
                <w:p w14:paraId="6FE86F4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5E0BF44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1.032</w:t>
                  </w:r>
                </w:p>
              </w:tc>
              <w:tc>
                <w:tcPr>
                  <w:tcW w:w="701" w:type="pct"/>
                  <w:noWrap w:val="0"/>
                  <w:vAlign w:val="center"/>
                </w:tcPr>
                <w:p w14:paraId="3838F5E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1.032</w:t>
                  </w:r>
                </w:p>
              </w:tc>
              <w:tc>
                <w:tcPr>
                  <w:tcW w:w="961" w:type="pct"/>
                  <w:vMerge w:val="restart"/>
                  <w:noWrap w:val="0"/>
                  <w:vAlign w:val="center"/>
                </w:tcPr>
                <w:p w14:paraId="3263E2BE">
                  <w:pPr>
                    <w:keepNext w:val="0"/>
                    <w:keepLines w:val="0"/>
                    <w:pageBreakBefore w:val="0"/>
                    <w:kinsoku/>
                    <w:wordWrap/>
                    <w:overflowPunct/>
                    <w:topLinePunct w:val="0"/>
                    <w:autoSpaceDE/>
                    <w:autoSpaceDN/>
                    <w:bidi w:val="0"/>
                    <w:adjustRightInd/>
                    <w:snapToGrid/>
                    <w:spacing w:line="320" w:lineRule="exact"/>
                    <w:jc w:val="left"/>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经隔油池和化粪池预处理后，排入寻甸县污水处理厂处理。</w:t>
                  </w:r>
                </w:p>
              </w:tc>
            </w:tr>
            <w:tr w14:paraId="5E3A8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485BA68E">
                  <w:pPr>
                    <w:keepNext w:val="0"/>
                    <w:keepLines w:val="0"/>
                    <w:pageBreakBefore w:val="0"/>
                    <w:kinsoku/>
                    <w:wordWrap/>
                    <w:overflowPunct/>
                    <w:topLinePunct w:val="0"/>
                    <w:autoSpaceDE/>
                    <w:autoSpaceDN/>
                    <w:bidi w:val="0"/>
                    <w:adjustRightInd/>
                    <w:snapToGrid/>
                    <w:spacing w:line="320" w:lineRule="exact"/>
                    <w:jc w:val="center"/>
                    <w:rPr>
                      <w:rFonts w:hint="eastAsia"/>
                      <w:color w:val="auto"/>
                      <w:highlight w:val="none"/>
                      <w:lang w:val="en-US" w:eastAsia="zh-CN"/>
                    </w:rPr>
                  </w:pPr>
                </w:p>
              </w:tc>
              <w:tc>
                <w:tcPr>
                  <w:tcW w:w="752" w:type="pct"/>
                  <w:noWrap w:val="0"/>
                  <w:vAlign w:val="center"/>
                </w:tcPr>
                <w:p w14:paraId="6C11B056">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餐饮</w:t>
                  </w:r>
                </w:p>
              </w:tc>
              <w:tc>
                <w:tcPr>
                  <w:tcW w:w="572" w:type="pct"/>
                  <w:noWrap w:val="0"/>
                  <w:vAlign w:val="center"/>
                </w:tcPr>
                <w:p w14:paraId="251A58ED">
                  <w:pPr>
                    <w:keepNext w:val="0"/>
                    <w:keepLines w:val="0"/>
                    <w:pageBreakBefore w:val="0"/>
                    <w:kinsoku/>
                    <w:wordWrap/>
                    <w:overflowPunct/>
                    <w:topLinePunct w:val="0"/>
                    <w:autoSpaceDE/>
                    <w:autoSpaceDN/>
                    <w:bidi w:val="0"/>
                    <w:adjustRightInd/>
                    <w:snapToGrid/>
                    <w:spacing w:line="320" w:lineRule="exact"/>
                    <w:jc w:val="center"/>
                    <w:rPr>
                      <w:rFonts w:hint="default" w:eastAsia="宋体"/>
                      <w:b w:val="0"/>
                      <w:bCs w:val="0"/>
                      <w:color w:val="auto"/>
                      <w:highlight w:val="none"/>
                      <w:lang w:val="en-US" w:eastAsia="zh-CN"/>
                    </w:rPr>
                  </w:pPr>
                  <w:r>
                    <w:rPr>
                      <w:rFonts w:hint="eastAsia" w:eastAsia="宋体"/>
                      <w:b w:val="0"/>
                      <w:bCs w:val="0"/>
                      <w:color w:val="auto"/>
                      <w:highlight w:val="none"/>
                      <w:lang w:val="en-US" w:eastAsia="zh-CN"/>
                    </w:rPr>
                    <w:t>0.48</w:t>
                  </w:r>
                </w:p>
              </w:tc>
              <w:tc>
                <w:tcPr>
                  <w:tcW w:w="583" w:type="pct"/>
                  <w:noWrap w:val="0"/>
                  <w:vAlign w:val="center"/>
                </w:tcPr>
                <w:p w14:paraId="6373B28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0.096</w:t>
                  </w:r>
                </w:p>
              </w:tc>
              <w:tc>
                <w:tcPr>
                  <w:tcW w:w="552" w:type="pct"/>
                  <w:noWrap w:val="0"/>
                  <w:vAlign w:val="center"/>
                </w:tcPr>
                <w:p w14:paraId="1D646EB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1E8768D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0.384</w:t>
                  </w:r>
                </w:p>
              </w:tc>
              <w:tc>
                <w:tcPr>
                  <w:tcW w:w="701" w:type="pct"/>
                  <w:noWrap w:val="0"/>
                  <w:vAlign w:val="center"/>
                </w:tcPr>
                <w:p w14:paraId="29FD340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0.384</w:t>
                  </w:r>
                </w:p>
              </w:tc>
              <w:tc>
                <w:tcPr>
                  <w:tcW w:w="961" w:type="pct"/>
                  <w:vMerge w:val="continue"/>
                  <w:noWrap w:val="0"/>
                  <w:vAlign w:val="center"/>
                </w:tcPr>
                <w:p w14:paraId="20DE6C11">
                  <w:pPr>
                    <w:keepNext w:val="0"/>
                    <w:keepLines w:val="0"/>
                    <w:pageBreakBefore w:val="0"/>
                    <w:kinsoku/>
                    <w:wordWrap/>
                    <w:overflowPunct/>
                    <w:topLinePunct w:val="0"/>
                    <w:autoSpaceDE/>
                    <w:autoSpaceDN/>
                    <w:bidi w:val="0"/>
                    <w:adjustRightInd/>
                    <w:snapToGrid/>
                    <w:spacing w:line="320" w:lineRule="exact"/>
                    <w:jc w:val="left"/>
                    <w:rPr>
                      <w:rFonts w:hint="eastAsia" w:ascii="Times New Roman" w:hAnsi="Times New Roman" w:eastAsia="宋体" w:cs="Times New Roman"/>
                      <w:color w:val="auto"/>
                      <w:kern w:val="0"/>
                      <w:sz w:val="21"/>
                      <w:szCs w:val="21"/>
                      <w:highlight w:val="none"/>
                      <w:lang w:val="en-US" w:eastAsia="zh-CN" w:bidi="ar"/>
                    </w:rPr>
                  </w:pPr>
                </w:p>
              </w:tc>
            </w:tr>
            <w:tr w14:paraId="27131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5EF99427">
                  <w:pPr>
                    <w:keepNext w:val="0"/>
                    <w:keepLines w:val="0"/>
                    <w:pageBreakBefore w:val="0"/>
                    <w:kinsoku/>
                    <w:wordWrap/>
                    <w:overflowPunct/>
                    <w:topLinePunct w:val="0"/>
                    <w:autoSpaceDE/>
                    <w:autoSpaceDN/>
                    <w:bidi w:val="0"/>
                    <w:adjustRightInd/>
                    <w:snapToGrid/>
                    <w:spacing w:line="320" w:lineRule="exact"/>
                    <w:jc w:val="center"/>
                    <w:rPr>
                      <w:rFonts w:hint="eastAsia"/>
                      <w:color w:val="auto"/>
                      <w:highlight w:val="none"/>
                      <w:lang w:val="en-US" w:eastAsia="zh-CN"/>
                    </w:rPr>
                  </w:pPr>
                </w:p>
              </w:tc>
              <w:tc>
                <w:tcPr>
                  <w:tcW w:w="752" w:type="pct"/>
                  <w:shd w:val="clear" w:color="auto" w:fill="auto"/>
                  <w:noWrap w:val="0"/>
                  <w:vAlign w:val="center"/>
                </w:tcPr>
                <w:p w14:paraId="113A1026">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color w:val="auto"/>
                      <w:kern w:val="2"/>
                      <w:sz w:val="21"/>
                      <w:szCs w:val="24"/>
                      <w:highlight w:val="none"/>
                      <w:lang w:val="en-US" w:eastAsia="zh-CN" w:bidi="ar-SA"/>
                    </w:rPr>
                  </w:pPr>
                  <w:r>
                    <w:rPr>
                      <w:rFonts w:hint="eastAsia" w:eastAsia="宋体"/>
                      <w:color w:val="auto"/>
                      <w:highlight w:val="none"/>
                      <w:lang w:val="en-US" w:eastAsia="zh-CN"/>
                    </w:rPr>
                    <w:t>冲厕</w:t>
                  </w:r>
                </w:p>
              </w:tc>
              <w:tc>
                <w:tcPr>
                  <w:tcW w:w="572" w:type="pct"/>
                  <w:shd w:val="clear" w:color="auto" w:fill="auto"/>
                  <w:noWrap w:val="0"/>
                  <w:vAlign w:val="center"/>
                </w:tcPr>
                <w:p w14:paraId="54B5CB73">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color w:val="auto"/>
                      <w:kern w:val="2"/>
                      <w:sz w:val="21"/>
                      <w:szCs w:val="24"/>
                      <w:highlight w:val="none"/>
                      <w:lang w:val="en-US" w:eastAsia="zh-CN" w:bidi="ar-SA"/>
                    </w:rPr>
                  </w:pPr>
                  <w:r>
                    <w:rPr>
                      <w:rFonts w:hint="eastAsia" w:eastAsia="宋体"/>
                      <w:color w:val="auto"/>
                      <w:highlight w:val="none"/>
                      <w:lang w:val="en-US" w:eastAsia="zh-CN"/>
                    </w:rPr>
                    <w:t>1.645</w:t>
                  </w:r>
                </w:p>
              </w:tc>
              <w:tc>
                <w:tcPr>
                  <w:tcW w:w="583" w:type="pct"/>
                  <w:shd w:val="clear" w:color="auto" w:fill="auto"/>
                  <w:noWrap w:val="0"/>
                  <w:vAlign w:val="center"/>
                </w:tcPr>
                <w:p w14:paraId="56347EDF">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0.329</w:t>
                  </w:r>
                </w:p>
              </w:tc>
              <w:tc>
                <w:tcPr>
                  <w:tcW w:w="552" w:type="pct"/>
                  <w:shd w:val="clear" w:color="auto" w:fill="auto"/>
                  <w:noWrap w:val="0"/>
                  <w:vAlign w:val="center"/>
                </w:tcPr>
                <w:p w14:paraId="78E2C1E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shd w:val="clear" w:color="auto" w:fill="auto"/>
                  <w:noWrap w:val="0"/>
                  <w:vAlign w:val="center"/>
                </w:tcPr>
                <w:p w14:paraId="32B5048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1.316</w:t>
                  </w:r>
                </w:p>
              </w:tc>
              <w:tc>
                <w:tcPr>
                  <w:tcW w:w="701" w:type="pct"/>
                  <w:shd w:val="clear" w:color="auto" w:fill="auto"/>
                  <w:noWrap w:val="0"/>
                  <w:vAlign w:val="center"/>
                </w:tcPr>
                <w:p w14:paraId="6AE6DAAE">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1.316</w:t>
                  </w:r>
                </w:p>
              </w:tc>
              <w:tc>
                <w:tcPr>
                  <w:tcW w:w="961" w:type="pct"/>
                  <w:vMerge w:val="continue"/>
                  <w:noWrap w:val="0"/>
                  <w:vAlign w:val="center"/>
                </w:tcPr>
                <w:p w14:paraId="0F347AC8">
                  <w:pPr>
                    <w:keepNext w:val="0"/>
                    <w:keepLines w:val="0"/>
                    <w:pageBreakBefore w:val="0"/>
                    <w:kinsoku/>
                    <w:wordWrap/>
                    <w:overflowPunct/>
                    <w:topLinePunct w:val="0"/>
                    <w:autoSpaceDE/>
                    <w:autoSpaceDN/>
                    <w:bidi w:val="0"/>
                    <w:adjustRightInd/>
                    <w:snapToGrid/>
                    <w:spacing w:line="320" w:lineRule="exact"/>
                    <w:jc w:val="left"/>
                    <w:rPr>
                      <w:rFonts w:hint="eastAsia" w:ascii="Times New Roman" w:hAnsi="Times New Roman" w:eastAsia="宋体" w:cs="Times New Roman"/>
                      <w:color w:val="auto"/>
                      <w:kern w:val="0"/>
                      <w:sz w:val="21"/>
                      <w:szCs w:val="21"/>
                      <w:highlight w:val="none"/>
                      <w:lang w:val="en-US" w:eastAsia="zh-CN" w:bidi="ar"/>
                    </w:rPr>
                  </w:pPr>
                </w:p>
              </w:tc>
            </w:tr>
            <w:tr w14:paraId="3C26A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119A0D9B">
                  <w:pPr>
                    <w:keepNext w:val="0"/>
                    <w:keepLines w:val="0"/>
                    <w:pageBreakBefore w:val="0"/>
                    <w:kinsoku/>
                    <w:wordWrap/>
                    <w:overflowPunct/>
                    <w:topLinePunct w:val="0"/>
                    <w:autoSpaceDE/>
                    <w:autoSpaceDN/>
                    <w:bidi w:val="0"/>
                    <w:adjustRightInd/>
                    <w:snapToGrid/>
                    <w:spacing w:line="320" w:lineRule="exact"/>
                    <w:jc w:val="center"/>
                    <w:rPr>
                      <w:rFonts w:hint="eastAsia"/>
                      <w:color w:val="auto"/>
                      <w:highlight w:val="none"/>
                      <w:lang w:val="en-US" w:eastAsia="zh-CN"/>
                    </w:rPr>
                  </w:pPr>
                </w:p>
              </w:tc>
              <w:tc>
                <w:tcPr>
                  <w:tcW w:w="752" w:type="pct"/>
                  <w:shd w:val="clear" w:color="auto" w:fill="auto"/>
                  <w:noWrap w:val="0"/>
                  <w:vAlign w:val="center"/>
                </w:tcPr>
                <w:p w14:paraId="6E2CFCF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color w:val="auto"/>
                      <w:kern w:val="2"/>
                      <w:sz w:val="21"/>
                      <w:szCs w:val="24"/>
                      <w:highlight w:val="none"/>
                      <w:lang w:val="en-US" w:eastAsia="zh-CN" w:bidi="ar-SA"/>
                    </w:rPr>
                  </w:pPr>
                  <w:r>
                    <w:rPr>
                      <w:rFonts w:hint="eastAsia" w:eastAsia="宋体" w:cs="Times New Roman"/>
                      <w:color w:val="auto"/>
                      <w:kern w:val="2"/>
                      <w:sz w:val="21"/>
                      <w:szCs w:val="24"/>
                      <w:highlight w:val="none"/>
                      <w:lang w:val="en-US" w:eastAsia="zh-CN" w:bidi="ar-SA"/>
                    </w:rPr>
                    <w:t>脱水工艺</w:t>
                  </w:r>
                </w:p>
              </w:tc>
              <w:tc>
                <w:tcPr>
                  <w:tcW w:w="572" w:type="pct"/>
                  <w:shd w:val="clear" w:color="auto" w:fill="auto"/>
                  <w:noWrap w:val="0"/>
                  <w:vAlign w:val="center"/>
                </w:tcPr>
                <w:p w14:paraId="5E2AA9AA">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eastAsia="宋体"/>
                      <w:b w:val="0"/>
                      <w:bCs w:val="0"/>
                      <w:color w:val="auto"/>
                      <w:highlight w:val="none"/>
                      <w:lang w:val="en-US" w:eastAsia="zh-CN"/>
                    </w:rPr>
                    <w:t>0</w:t>
                  </w:r>
                </w:p>
              </w:tc>
              <w:tc>
                <w:tcPr>
                  <w:tcW w:w="583" w:type="pct"/>
                  <w:shd w:val="clear" w:color="auto" w:fill="auto"/>
                  <w:noWrap w:val="0"/>
                  <w:vAlign w:val="center"/>
                </w:tcPr>
                <w:p w14:paraId="3555841A">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0</w:t>
                  </w:r>
                </w:p>
              </w:tc>
              <w:tc>
                <w:tcPr>
                  <w:tcW w:w="552" w:type="pct"/>
                  <w:shd w:val="clear" w:color="auto" w:fill="auto"/>
                  <w:noWrap w:val="0"/>
                  <w:vAlign w:val="center"/>
                </w:tcPr>
                <w:p w14:paraId="0F15DEF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shd w:val="clear" w:color="auto" w:fill="auto"/>
                  <w:noWrap w:val="0"/>
                  <w:vAlign w:val="center"/>
                </w:tcPr>
                <w:p w14:paraId="58E9E04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700（尾菜废水）</w:t>
                  </w:r>
                </w:p>
              </w:tc>
              <w:tc>
                <w:tcPr>
                  <w:tcW w:w="701" w:type="pct"/>
                  <w:shd w:val="clear" w:color="auto" w:fill="auto"/>
                  <w:noWrap w:val="0"/>
                  <w:vAlign w:val="center"/>
                </w:tcPr>
                <w:p w14:paraId="08CB7B42">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700</w:t>
                  </w:r>
                </w:p>
              </w:tc>
              <w:tc>
                <w:tcPr>
                  <w:tcW w:w="961" w:type="pct"/>
                  <w:vMerge w:val="restart"/>
                  <w:noWrap w:val="0"/>
                  <w:vAlign w:val="center"/>
                </w:tcPr>
                <w:p w14:paraId="43A4045E">
                  <w:pPr>
                    <w:keepNext w:val="0"/>
                    <w:keepLines w:val="0"/>
                    <w:pageBreakBefore w:val="0"/>
                    <w:kinsoku/>
                    <w:wordWrap/>
                    <w:overflowPunct/>
                    <w:topLinePunct w:val="0"/>
                    <w:autoSpaceDE/>
                    <w:autoSpaceDN/>
                    <w:bidi w:val="0"/>
                    <w:adjustRightInd/>
                    <w:snapToGrid/>
                    <w:spacing w:line="320" w:lineRule="exact"/>
                    <w:jc w:val="left"/>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经自建污水处理站处理后，排入寻甸县污水处理厂处理。</w:t>
                  </w:r>
                </w:p>
              </w:tc>
            </w:tr>
            <w:tr w14:paraId="7FB4A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5A10DE8F">
                  <w:pPr>
                    <w:keepNext w:val="0"/>
                    <w:keepLines w:val="0"/>
                    <w:pageBreakBefore w:val="0"/>
                    <w:kinsoku/>
                    <w:wordWrap/>
                    <w:overflowPunct/>
                    <w:topLinePunct w:val="0"/>
                    <w:autoSpaceDE/>
                    <w:autoSpaceDN/>
                    <w:bidi w:val="0"/>
                    <w:adjustRightInd/>
                    <w:snapToGrid/>
                    <w:spacing w:line="320" w:lineRule="exact"/>
                    <w:jc w:val="center"/>
                    <w:rPr>
                      <w:color w:val="auto"/>
                      <w:highlight w:val="none"/>
                    </w:rPr>
                  </w:pPr>
                </w:p>
              </w:tc>
              <w:tc>
                <w:tcPr>
                  <w:tcW w:w="752" w:type="pct"/>
                  <w:noWrap w:val="0"/>
                  <w:vAlign w:val="center"/>
                </w:tcPr>
                <w:p w14:paraId="51C090FA">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车辆清洗</w:t>
                  </w:r>
                </w:p>
              </w:tc>
              <w:tc>
                <w:tcPr>
                  <w:tcW w:w="572" w:type="pct"/>
                  <w:noWrap w:val="0"/>
                  <w:vAlign w:val="center"/>
                </w:tcPr>
                <w:p w14:paraId="0A478D72">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10</w:t>
                  </w:r>
                </w:p>
              </w:tc>
              <w:tc>
                <w:tcPr>
                  <w:tcW w:w="583" w:type="pct"/>
                  <w:noWrap w:val="0"/>
                  <w:vAlign w:val="center"/>
                </w:tcPr>
                <w:p w14:paraId="594FE7C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w:t>
                  </w:r>
                </w:p>
              </w:tc>
              <w:tc>
                <w:tcPr>
                  <w:tcW w:w="552" w:type="pct"/>
                  <w:noWrap w:val="0"/>
                  <w:vAlign w:val="center"/>
                </w:tcPr>
                <w:p w14:paraId="3AF7281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62BD9F0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w:t>
                  </w:r>
                </w:p>
              </w:tc>
              <w:tc>
                <w:tcPr>
                  <w:tcW w:w="701" w:type="pct"/>
                  <w:noWrap w:val="0"/>
                  <w:vAlign w:val="center"/>
                </w:tcPr>
                <w:p w14:paraId="28EC4F1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w:t>
                  </w:r>
                </w:p>
              </w:tc>
              <w:tc>
                <w:tcPr>
                  <w:tcW w:w="961" w:type="pct"/>
                  <w:vMerge w:val="continue"/>
                  <w:noWrap w:val="0"/>
                  <w:vAlign w:val="center"/>
                </w:tcPr>
                <w:p w14:paraId="6080CB5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p>
              </w:tc>
            </w:tr>
            <w:tr w14:paraId="646B6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5C59DDDA">
                  <w:pPr>
                    <w:keepNext w:val="0"/>
                    <w:keepLines w:val="0"/>
                    <w:pageBreakBefore w:val="0"/>
                    <w:kinsoku/>
                    <w:wordWrap/>
                    <w:overflowPunct/>
                    <w:topLinePunct w:val="0"/>
                    <w:autoSpaceDE/>
                    <w:autoSpaceDN/>
                    <w:bidi w:val="0"/>
                    <w:adjustRightInd/>
                    <w:snapToGrid/>
                    <w:spacing w:line="320" w:lineRule="exact"/>
                    <w:jc w:val="center"/>
                    <w:rPr>
                      <w:color w:val="auto"/>
                      <w:highlight w:val="none"/>
                    </w:rPr>
                  </w:pPr>
                </w:p>
              </w:tc>
              <w:tc>
                <w:tcPr>
                  <w:tcW w:w="752" w:type="pct"/>
                  <w:noWrap w:val="0"/>
                  <w:vAlign w:val="center"/>
                </w:tcPr>
                <w:p w14:paraId="5D616D08">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highlight w:val="none"/>
                      <w:lang w:val="en-US" w:eastAsia="zh-CN"/>
                    </w:rPr>
                  </w:pPr>
                  <w:r>
                    <w:rPr>
                      <w:rFonts w:hint="eastAsia" w:eastAsia="宋体"/>
                      <w:color w:val="auto"/>
                      <w:highlight w:val="none"/>
                      <w:lang w:val="en-US" w:eastAsia="zh-CN"/>
                    </w:rPr>
                    <w:t>车间</w:t>
                  </w:r>
                </w:p>
                <w:p w14:paraId="0B09D3CD">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地面冲洗</w:t>
                  </w:r>
                </w:p>
              </w:tc>
              <w:tc>
                <w:tcPr>
                  <w:tcW w:w="572" w:type="pct"/>
                  <w:noWrap w:val="0"/>
                  <w:vAlign w:val="center"/>
                </w:tcPr>
                <w:p w14:paraId="3A36FE62">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3</w:t>
                  </w:r>
                </w:p>
              </w:tc>
              <w:tc>
                <w:tcPr>
                  <w:tcW w:w="583" w:type="pct"/>
                  <w:noWrap w:val="0"/>
                  <w:vAlign w:val="center"/>
                </w:tcPr>
                <w:p w14:paraId="719FC2A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0.6</w:t>
                  </w:r>
                </w:p>
              </w:tc>
              <w:tc>
                <w:tcPr>
                  <w:tcW w:w="552" w:type="pct"/>
                  <w:noWrap w:val="0"/>
                  <w:vAlign w:val="center"/>
                </w:tcPr>
                <w:p w14:paraId="4C7DBBA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02D2868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2.4</w:t>
                  </w:r>
                </w:p>
              </w:tc>
              <w:tc>
                <w:tcPr>
                  <w:tcW w:w="701" w:type="pct"/>
                  <w:noWrap w:val="0"/>
                  <w:vAlign w:val="center"/>
                </w:tcPr>
                <w:p w14:paraId="7C7FA93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2.4</w:t>
                  </w:r>
                </w:p>
              </w:tc>
              <w:tc>
                <w:tcPr>
                  <w:tcW w:w="961" w:type="pct"/>
                  <w:vMerge w:val="continue"/>
                  <w:noWrap w:val="0"/>
                  <w:vAlign w:val="center"/>
                </w:tcPr>
                <w:p w14:paraId="7E09347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p>
              </w:tc>
            </w:tr>
            <w:tr w14:paraId="348BD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3F4B4C32">
                  <w:pPr>
                    <w:keepNext w:val="0"/>
                    <w:keepLines w:val="0"/>
                    <w:pageBreakBefore w:val="0"/>
                    <w:kinsoku/>
                    <w:wordWrap/>
                    <w:overflowPunct/>
                    <w:topLinePunct w:val="0"/>
                    <w:autoSpaceDE/>
                    <w:autoSpaceDN/>
                    <w:bidi w:val="0"/>
                    <w:adjustRightInd/>
                    <w:snapToGrid/>
                    <w:spacing w:line="320" w:lineRule="exact"/>
                    <w:jc w:val="center"/>
                    <w:rPr>
                      <w:color w:val="auto"/>
                      <w:highlight w:val="none"/>
                    </w:rPr>
                  </w:pPr>
                </w:p>
              </w:tc>
              <w:tc>
                <w:tcPr>
                  <w:tcW w:w="752" w:type="pct"/>
                  <w:noWrap w:val="0"/>
                  <w:vAlign w:val="center"/>
                </w:tcPr>
                <w:p w14:paraId="3D8F1166">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default" w:eastAsia="宋体"/>
                      <w:color w:val="auto"/>
                      <w:highlight w:val="none"/>
                      <w:lang w:val="en-US" w:eastAsia="zh-CN"/>
                    </w:rPr>
                    <w:t>水膜喷淋湿法脱硫</w:t>
                  </w:r>
                </w:p>
              </w:tc>
              <w:tc>
                <w:tcPr>
                  <w:tcW w:w="572" w:type="pct"/>
                  <w:noWrap w:val="0"/>
                  <w:vAlign w:val="center"/>
                </w:tcPr>
                <w:p w14:paraId="57ED6CF2">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0.54</w:t>
                  </w:r>
                </w:p>
              </w:tc>
              <w:tc>
                <w:tcPr>
                  <w:tcW w:w="583" w:type="pct"/>
                  <w:noWrap w:val="0"/>
                  <w:vAlign w:val="center"/>
                </w:tcPr>
                <w:p w14:paraId="6024CD1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0.5</w:t>
                  </w:r>
                </w:p>
              </w:tc>
              <w:tc>
                <w:tcPr>
                  <w:tcW w:w="552" w:type="pct"/>
                  <w:noWrap w:val="0"/>
                  <w:vAlign w:val="center"/>
                </w:tcPr>
                <w:p w14:paraId="0EF4A60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5B41FDD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0.04</w:t>
                  </w:r>
                </w:p>
              </w:tc>
              <w:tc>
                <w:tcPr>
                  <w:tcW w:w="701" w:type="pct"/>
                  <w:noWrap w:val="0"/>
                  <w:vAlign w:val="center"/>
                </w:tcPr>
                <w:p w14:paraId="243FC5A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0.04</w:t>
                  </w:r>
                </w:p>
              </w:tc>
              <w:tc>
                <w:tcPr>
                  <w:tcW w:w="961" w:type="pct"/>
                  <w:vMerge w:val="continue"/>
                  <w:noWrap w:val="0"/>
                  <w:vAlign w:val="center"/>
                </w:tcPr>
                <w:p w14:paraId="6918800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p>
              </w:tc>
            </w:tr>
            <w:tr w14:paraId="1AA8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754BF23E">
                  <w:pPr>
                    <w:keepNext w:val="0"/>
                    <w:keepLines w:val="0"/>
                    <w:pageBreakBefore w:val="0"/>
                    <w:kinsoku/>
                    <w:wordWrap/>
                    <w:overflowPunct/>
                    <w:topLinePunct w:val="0"/>
                    <w:autoSpaceDE/>
                    <w:autoSpaceDN/>
                    <w:bidi w:val="0"/>
                    <w:adjustRightInd/>
                    <w:snapToGrid/>
                    <w:spacing w:line="320" w:lineRule="exact"/>
                    <w:jc w:val="center"/>
                    <w:rPr>
                      <w:color w:val="auto"/>
                      <w:highlight w:val="none"/>
                    </w:rPr>
                  </w:pPr>
                </w:p>
              </w:tc>
              <w:tc>
                <w:tcPr>
                  <w:tcW w:w="752" w:type="pct"/>
                  <w:noWrap w:val="0"/>
                  <w:vAlign w:val="center"/>
                </w:tcPr>
                <w:p w14:paraId="5450FA72">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default" w:eastAsia="宋体"/>
                      <w:color w:val="auto"/>
                      <w:highlight w:val="none"/>
                      <w:lang w:val="en-US" w:eastAsia="zh-CN"/>
                    </w:rPr>
                    <w:t>尿素喷淋</w:t>
                  </w:r>
                </w:p>
              </w:tc>
              <w:tc>
                <w:tcPr>
                  <w:tcW w:w="572" w:type="pct"/>
                  <w:noWrap w:val="0"/>
                  <w:vAlign w:val="center"/>
                </w:tcPr>
                <w:p w14:paraId="6D0B0120">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0.03</w:t>
                  </w:r>
                </w:p>
              </w:tc>
              <w:tc>
                <w:tcPr>
                  <w:tcW w:w="583" w:type="pct"/>
                  <w:noWrap w:val="0"/>
                  <w:vAlign w:val="center"/>
                </w:tcPr>
                <w:p w14:paraId="2EFE6DD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0.03</w:t>
                  </w:r>
                </w:p>
              </w:tc>
              <w:tc>
                <w:tcPr>
                  <w:tcW w:w="552" w:type="pct"/>
                  <w:noWrap w:val="0"/>
                  <w:vAlign w:val="center"/>
                </w:tcPr>
                <w:p w14:paraId="11F312A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464BDD1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701" w:type="pct"/>
                  <w:noWrap w:val="0"/>
                  <w:vAlign w:val="center"/>
                </w:tcPr>
                <w:p w14:paraId="32B8A29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961" w:type="pct"/>
                  <w:noWrap w:val="0"/>
                  <w:vAlign w:val="center"/>
                </w:tcPr>
                <w:p w14:paraId="6B4972C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高温气化损耗</w:t>
                  </w:r>
                </w:p>
              </w:tc>
            </w:tr>
            <w:tr w14:paraId="5B760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3C3F515F">
                  <w:pPr>
                    <w:keepNext w:val="0"/>
                    <w:keepLines w:val="0"/>
                    <w:pageBreakBefore w:val="0"/>
                    <w:kinsoku/>
                    <w:wordWrap/>
                    <w:overflowPunct/>
                    <w:topLinePunct w:val="0"/>
                    <w:autoSpaceDE/>
                    <w:autoSpaceDN/>
                    <w:bidi w:val="0"/>
                    <w:adjustRightInd/>
                    <w:snapToGrid/>
                    <w:spacing w:line="320" w:lineRule="exact"/>
                    <w:jc w:val="center"/>
                    <w:rPr>
                      <w:color w:val="auto"/>
                      <w:highlight w:val="none"/>
                    </w:rPr>
                  </w:pPr>
                </w:p>
              </w:tc>
              <w:tc>
                <w:tcPr>
                  <w:tcW w:w="752" w:type="pct"/>
                  <w:noWrap w:val="0"/>
                  <w:vAlign w:val="center"/>
                </w:tcPr>
                <w:p w14:paraId="3BD5C022">
                  <w:pPr>
                    <w:keepNext w:val="0"/>
                    <w:keepLines w:val="0"/>
                    <w:pageBreakBefore w:val="0"/>
                    <w:kinsoku/>
                    <w:wordWrap/>
                    <w:overflowPunct/>
                    <w:topLinePunct w:val="0"/>
                    <w:autoSpaceDE/>
                    <w:autoSpaceDN/>
                    <w:bidi w:val="0"/>
                    <w:adjustRightInd/>
                    <w:snapToGrid/>
                    <w:spacing w:line="320" w:lineRule="exact"/>
                    <w:jc w:val="center"/>
                    <w:rPr>
                      <w:rFonts w:hint="default"/>
                      <w:color w:val="auto"/>
                      <w:highlight w:val="none"/>
                      <w:lang w:val="en-US" w:eastAsia="zh-CN"/>
                    </w:rPr>
                  </w:pPr>
                  <w:r>
                    <w:rPr>
                      <w:rFonts w:hint="eastAsia"/>
                      <w:color w:val="auto"/>
                      <w:highlight w:val="none"/>
                      <w:lang w:val="en-US" w:eastAsia="zh-CN"/>
                    </w:rPr>
                    <w:t>绿化</w:t>
                  </w:r>
                </w:p>
              </w:tc>
              <w:tc>
                <w:tcPr>
                  <w:tcW w:w="572" w:type="pct"/>
                  <w:noWrap w:val="0"/>
                  <w:vAlign w:val="center"/>
                </w:tcPr>
                <w:p w14:paraId="10B769AC">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0.9</w:t>
                  </w:r>
                </w:p>
              </w:tc>
              <w:tc>
                <w:tcPr>
                  <w:tcW w:w="583" w:type="pct"/>
                  <w:noWrap w:val="0"/>
                  <w:vAlign w:val="center"/>
                </w:tcPr>
                <w:p w14:paraId="0E65979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0.9</w:t>
                  </w:r>
                </w:p>
              </w:tc>
              <w:tc>
                <w:tcPr>
                  <w:tcW w:w="552" w:type="pct"/>
                  <w:noWrap w:val="0"/>
                  <w:vAlign w:val="center"/>
                </w:tcPr>
                <w:p w14:paraId="0EA364C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0114219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701" w:type="pct"/>
                  <w:noWrap w:val="0"/>
                  <w:vAlign w:val="center"/>
                </w:tcPr>
                <w:p w14:paraId="380409E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961" w:type="pct"/>
                  <w:noWrap w:val="0"/>
                  <w:vAlign w:val="center"/>
                </w:tcPr>
                <w:p w14:paraId="11C9D7F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蒸发、植被吸收损耗</w:t>
                  </w:r>
                </w:p>
              </w:tc>
            </w:tr>
            <w:tr w14:paraId="3751E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9" w:type="pct"/>
                  <w:gridSpan w:val="2"/>
                  <w:noWrap w:val="0"/>
                  <w:vAlign w:val="center"/>
                </w:tcPr>
                <w:p w14:paraId="497C7B42">
                  <w:pPr>
                    <w:keepNext w:val="0"/>
                    <w:keepLines w:val="0"/>
                    <w:pageBreakBefore w:val="0"/>
                    <w:kinsoku/>
                    <w:wordWrap/>
                    <w:overflowPunct/>
                    <w:topLinePunct w:val="0"/>
                    <w:autoSpaceDE/>
                    <w:autoSpaceDN/>
                    <w:bidi w:val="0"/>
                    <w:adjustRightInd/>
                    <w:snapToGrid/>
                    <w:spacing w:line="320" w:lineRule="exact"/>
                    <w:jc w:val="center"/>
                    <w:rPr>
                      <w:rFonts w:hint="default"/>
                      <w:color w:val="auto"/>
                      <w:highlight w:val="none"/>
                      <w:lang w:val="en-US" w:eastAsia="zh-CN"/>
                    </w:rPr>
                  </w:pPr>
                  <w:r>
                    <w:rPr>
                      <w:rFonts w:hint="eastAsia"/>
                      <w:color w:val="auto"/>
                      <w:highlight w:val="none"/>
                      <w:lang w:val="en-US" w:eastAsia="zh-CN"/>
                    </w:rPr>
                    <w:t>合计</w:t>
                  </w:r>
                </w:p>
              </w:tc>
              <w:tc>
                <w:tcPr>
                  <w:tcW w:w="572" w:type="pct"/>
                  <w:noWrap w:val="0"/>
                  <w:vAlign w:val="center"/>
                </w:tcPr>
                <w:p w14:paraId="213CD588">
                  <w:pPr>
                    <w:keepNext w:val="0"/>
                    <w:keepLines w:val="0"/>
                    <w:pageBreakBefore w:val="0"/>
                    <w:kinsoku/>
                    <w:wordWrap/>
                    <w:overflowPunct/>
                    <w:topLinePunct w:val="0"/>
                    <w:autoSpaceDE/>
                    <w:autoSpaceDN/>
                    <w:bidi w:val="0"/>
                    <w:adjustRightInd/>
                    <w:snapToGrid/>
                    <w:spacing w:line="320" w:lineRule="exact"/>
                    <w:jc w:val="center"/>
                    <w:rPr>
                      <w:rFonts w:hint="default"/>
                      <w:b w:val="0"/>
                      <w:bCs w:val="0"/>
                      <w:color w:val="auto"/>
                      <w:highlight w:val="none"/>
                      <w:lang w:val="en-US" w:eastAsia="zh-CN"/>
                    </w:rPr>
                  </w:pPr>
                  <w:r>
                    <w:rPr>
                      <w:rFonts w:hint="eastAsia"/>
                      <w:b w:val="0"/>
                      <w:bCs w:val="0"/>
                      <w:color w:val="auto"/>
                      <w:highlight w:val="none"/>
                      <w:lang w:val="en-US" w:eastAsia="zh-CN"/>
                    </w:rPr>
                    <w:t>17.885</w:t>
                  </w:r>
                </w:p>
              </w:tc>
              <w:tc>
                <w:tcPr>
                  <w:tcW w:w="583" w:type="pct"/>
                  <w:noWrap w:val="0"/>
                  <w:vAlign w:val="center"/>
                </w:tcPr>
                <w:p w14:paraId="389852A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4.713</w:t>
                  </w:r>
                </w:p>
              </w:tc>
              <w:tc>
                <w:tcPr>
                  <w:tcW w:w="552" w:type="pct"/>
                  <w:noWrap w:val="0"/>
                  <w:vAlign w:val="center"/>
                </w:tcPr>
                <w:p w14:paraId="7658060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3C2464A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713.</w:t>
                  </w:r>
                  <w:r>
                    <w:rPr>
                      <w:rFonts w:hint="eastAsia" w:cs="Times New Roman"/>
                      <w:b w:val="0"/>
                      <w:bCs w:val="0"/>
                      <w:color w:val="auto"/>
                      <w:sz w:val="21"/>
                      <w:szCs w:val="21"/>
                      <w:highlight w:val="none"/>
                      <w:lang w:val="en-US" w:eastAsia="zh-CN"/>
                    </w:rPr>
                    <w:t>172</w:t>
                  </w:r>
                </w:p>
              </w:tc>
              <w:tc>
                <w:tcPr>
                  <w:tcW w:w="701" w:type="pct"/>
                  <w:noWrap w:val="0"/>
                  <w:vAlign w:val="center"/>
                </w:tcPr>
                <w:p w14:paraId="795DEFF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713.</w:t>
                  </w:r>
                  <w:r>
                    <w:rPr>
                      <w:rFonts w:hint="eastAsia" w:cs="Times New Roman"/>
                      <w:b w:val="0"/>
                      <w:bCs w:val="0"/>
                      <w:color w:val="auto"/>
                      <w:sz w:val="21"/>
                      <w:szCs w:val="21"/>
                      <w:highlight w:val="none"/>
                      <w:lang w:val="en-US" w:eastAsia="zh-CN"/>
                    </w:rPr>
                    <w:t>172</w:t>
                  </w:r>
                </w:p>
              </w:tc>
              <w:tc>
                <w:tcPr>
                  <w:tcW w:w="961" w:type="pct"/>
                  <w:noWrap w:val="0"/>
                  <w:vAlign w:val="center"/>
                </w:tcPr>
                <w:p w14:paraId="53634A3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w:t>
                  </w:r>
                </w:p>
              </w:tc>
            </w:tr>
            <w:tr w14:paraId="35A0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restart"/>
                  <w:noWrap w:val="0"/>
                  <w:vAlign w:val="center"/>
                </w:tcPr>
                <w:p w14:paraId="7CF25618">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color w:val="auto"/>
                      <w:highlight w:val="none"/>
                      <w:lang w:val="en-US" w:eastAsia="zh-CN"/>
                    </w:rPr>
                    <w:t>本次改扩建</w:t>
                  </w:r>
                </w:p>
              </w:tc>
              <w:tc>
                <w:tcPr>
                  <w:tcW w:w="752" w:type="pct"/>
                  <w:noWrap w:val="0"/>
                  <w:vAlign w:val="center"/>
                </w:tcPr>
                <w:p w14:paraId="26C8884B">
                  <w:pPr>
                    <w:keepNext w:val="0"/>
                    <w:keepLines w:val="0"/>
                    <w:pageBreakBefore w:val="0"/>
                    <w:kinsoku/>
                    <w:wordWrap/>
                    <w:overflowPunct/>
                    <w:topLinePunct w:val="0"/>
                    <w:autoSpaceDE/>
                    <w:autoSpaceDN/>
                    <w:bidi w:val="0"/>
                    <w:adjustRightInd/>
                    <w:snapToGrid/>
                    <w:spacing w:line="320" w:lineRule="exact"/>
                    <w:jc w:val="center"/>
                    <w:rPr>
                      <w:rFonts w:hint="default"/>
                      <w:color w:val="auto"/>
                      <w:highlight w:val="none"/>
                      <w:lang w:val="en-US" w:eastAsia="zh-CN"/>
                    </w:rPr>
                  </w:pPr>
                  <w:r>
                    <w:rPr>
                      <w:rFonts w:hint="eastAsia"/>
                      <w:color w:val="auto"/>
                      <w:highlight w:val="none"/>
                      <w:lang w:val="en-US" w:eastAsia="zh-CN"/>
                    </w:rPr>
                    <w:t>液体发酵</w:t>
                  </w:r>
                </w:p>
              </w:tc>
              <w:tc>
                <w:tcPr>
                  <w:tcW w:w="572" w:type="pct"/>
                  <w:noWrap w:val="0"/>
                  <w:vAlign w:val="center"/>
                </w:tcPr>
                <w:p w14:paraId="3A712619">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0</w:t>
                  </w:r>
                </w:p>
              </w:tc>
              <w:tc>
                <w:tcPr>
                  <w:tcW w:w="583" w:type="pct"/>
                  <w:noWrap w:val="0"/>
                  <w:vAlign w:val="center"/>
                </w:tcPr>
                <w:p w14:paraId="7B831ED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42.9</w:t>
                  </w:r>
                </w:p>
              </w:tc>
              <w:tc>
                <w:tcPr>
                  <w:tcW w:w="552" w:type="pct"/>
                  <w:noWrap w:val="0"/>
                  <w:vAlign w:val="center"/>
                </w:tcPr>
                <w:p w14:paraId="1F37454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42.9（尾菜废水）</w:t>
                  </w:r>
                </w:p>
              </w:tc>
              <w:tc>
                <w:tcPr>
                  <w:tcW w:w="629" w:type="pct"/>
                  <w:noWrap w:val="0"/>
                  <w:vAlign w:val="center"/>
                </w:tcPr>
                <w:p w14:paraId="1BC19B5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701" w:type="pct"/>
                  <w:noWrap w:val="0"/>
                  <w:vAlign w:val="center"/>
                </w:tcPr>
                <w:p w14:paraId="7AEDDC6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-42.9（</w:t>
                  </w:r>
                  <w:r>
                    <w:rPr>
                      <w:rFonts w:hint="eastAsia" w:ascii="Times New Roman" w:hAnsi="Times New Roman" w:eastAsia="宋体" w:cs="Times New Roman"/>
                      <w:b w:val="0"/>
                      <w:bCs w:val="0"/>
                      <w:color w:val="auto"/>
                      <w:sz w:val="21"/>
                      <w:szCs w:val="21"/>
                      <w:highlight w:val="none"/>
                      <w:lang w:val="en-US" w:eastAsia="zh-CN"/>
                    </w:rPr>
                    <w:t>进入产品</w:t>
                  </w:r>
                  <w:r>
                    <w:rPr>
                      <w:rFonts w:hint="eastAsia" w:cs="Times New Roman"/>
                      <w:b w:val="0"/>
                      <w:bCs w:val="0"/>
                      <w:color w:val="auto"/>
                      <w:sz w:val="21"/>
                      <w:szCs w:val="21"/>
                      <w:highlight w:val="none"/>
                      <w:lang w:val="en-US" w:eastAsia="zh-CN"/>
                    </w:rPr>
                    <w:t>消减）</w:t>
                  </w:r>
                </w:p>
              </w:tc>
              <w:tc>
                <w:tcPr>
                  <w:tcW w:w="961" w:type="pct"/>
                  <w:noWrap w:val="0"/>
                  <w:vAlign w:val="center"/>
                </w:tcPr>
                <w:p w14:paraId="7E64CB0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w:t>
                  </w:r>
                </w:p>
              </w:tc>
            </w:tr>
            <w:tr w14:paraId="178AA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0FFED6B3">
                  <w:pPr>
                    <w:keepNext w:val="0"/>
                    <w:keepLines w:val="0"/>
                    <w:pageBreakBefore w:val="0"/>
                    <w:kinsoku/>
                    <w:wordWrap/>
                    <w:overflowPunct/>
                    <w:topLinePunct w:val="0"/>
                    <w:autoSpaceDE/>
                    <w:autoSpaceDN/>
                    <w:bidi w:val="0"/>
                    <w:adjustRightInd/>
                    <w:snapToGrid/>
                    <w:spacing w:line="320" w:lineRule="exact"/>
                    <w:jc w:val="center"/>
                    <w:rPr>
                      <w:rFonts w:hint="eastAsia"/>
                      <w:color w:val="auto"/>
                      <w:highlight w:val="none"/>
                      <w:lang w:val="en-US" w:eastAsia="zh-CN"/>
                    </w:rPr>
                  </w:pPr>
                </w:p>
              </w:tc>
              <w:tc>
                <w:tcPr>
                  <w:tcW w:w="752" w:type="pct"/>
                  <w:noWrap w:val="0"/>
                  <w:vAlign w:val="center"/>
                </w:tcPr>
                <w:p w14:paraId="0D8025DC">
                  <w:pPr>
                    <w:keepNext w:val="0"/>
                    <w:keepLines w:val="0"/>
                    <w:pageBreakBefore w:val="0"/>
                    <w:kinsoku/>
                    <w:wordWrap/>
                    <w:overflowPunct/>
                    <w:topLinePunct w:val="0"/>
                    <w:autoSpaceDE/>
                    <w:autoSpaceDN/>
                    <w:bidi w:val="0"/>
                    <w:adjustRightInd/>
                    <w:snapToGrid/>
                    <w:spacing w:line="320" w:lineRule="exact"/>
                    <w:jc w:val="center"/>
                    <w:rPr>
                      <w:rFonts w:hint="default"/>
                      <w:color w:val="auto"/>
                      <w:highlight w:val="none"/>
                      <w:lang w:val="en-US" w:eastAsia="zh-CN"/>
                    </w:rPr>
                  </w:pPr>
                  <w:r>
                    <w:rPr>
                      <w:rFonts w:hint="eastAsia"/>
                      <w:color w:val="auto"/>
                      <w:highlight w:val="none"/>
                      <w:lang w:val="en-US" w:eastAsia="zh-CN"/>
                    </w:rPr>
                    <w:t>液体复合微生物肥生产设备清洗</w:t>
                  </w:r>
                </w:p>
              </w:tc>
              <w:tc>
                <w:tcPr>
                  <w:tcW w:w="572" w:type="pct"/>
                  <w:noWrap w:val="0"/>
                  <w:vAlign w:val="center"/>
                </w:tcPr>
                <w:p w14:paraId="7579F252">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1.45</w:t>
                  </w:r>
                </w:p>
              </w:tc>
              <w:tc>
                <w:tcPr>
                  <w:tcW w:w="583" w:type="pct"/>
                  <w:noWrap w:val="0"/>
                  <w:vAlign w:val="center"/>
                </w:tcPr>
                <w:p w14:paraId="6EAE658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0.29</w:t>
                  </w:r>
                </w:p>
              </w:tc>
              <w:tc>
                <w:tcPr>
                  <w:tcW w:w="552" w:type="pct"/>
                  <w:noWrap w:val="0"/>
                  <w:vAlign w:val="center"/>
                </w:tcPr>
                <w:p w14:paraId="7A47ABA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4A42F90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1.16</w:t>
                  </w:r>
                </w:p>
              </w:tc>
              <w:tc>
                <w:tcPr>
                  <w:tcW w:w="701" w:type="pct"/>
                  <w:noWrap w:val="0"/>
                  <w:vAlign w:val="center"/>
                </w:tcPr>
                <w:p w14:paraId="2CF4B6D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+1.16</w:t>
                  </w:r>
                </w:p>
              </w:tc>
              <w:tc>
                <w:tcPr>
                  <w:tcW w:w="961" w:type="pct"/>
                  <w:vMerge w:val="restart"/>
                  <w:noWrap w:val="0"/>
                  <w:vAlign w:val="center"/>
                </w:tcPr>
                <w:p w14:paraId="09752C4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
                    </w:rPr>
                    <w:t>依托自建污水处理站处理后，排入寻甸县污水处理厂处理。</w:t>
                  </w:r>
                </w:p>
              </w:tc>
            </w:tr>
            <w:tr w14:paraId="41A66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4B17E7E2">
                  <w:pPr>
                    <w:keepNext w:val="0"/>
                    <w:keepLines w:val="0"/>
                    <w:pageBreakBefore w:val="0"/>
                    <w:kinsoku/>
                    <w:wordWrap/>
                    <w:overflowPunct/>
                    <w:topLinePunct w:val="0"/>
                    <w:autoSpaceDE/>
                    <w:autoSpaceDN/>
                    <w:bidi w:val="0"/>
                    <w:adjustRightInd/>
                    <w:snapToGrid/>
                    <w:spacing w:line="320" w:lineRule="exact"/>
                    <w:jc w:val="center"/>
                    <w:rPr>
                      <w:rFonts w:hint="eastAsia"/>
                      <w:color w:val="auto"/>
                      <w:highlight w:val="none"/>
                      <w:lang w:val="en-US" w:eastAsia="zh-CN"/>
                    </w:rPr>
                  </w:pPr>
                </w:p>
              </w:tc>
              <w:tc>
                <w:tcPr>
                  <w:tcW w:w="752" w:type="pct"/>
                  <w:noWrap w:val="0"/>
                  <w:vAlign w:val="center"/>
                </w:tcPr>
                <w:p w14:paraId="0BDEC960">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固体复合微生物肥地面清洗</w:t>
                  </w:r>
                </w:p>
              </w:tc>
              <w:tc>
                <w:tcPr>
                  <w:tcW w:w="572" w:type="pct"/>
                  <w:noWrap w:val="0"/>
                  <w:vAlign w:val="center"/>
                </w:tcPr>
                <w:p w14:paraId="17AA5E3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0.067</w:t>
                  </w:r>
                </w:p>
              </w:tc>
              <w:tc>
                <w:tcPr>
                  <w:tcW w:w="583" w:type="pct"/>
                  <w:noWrap w:val="0"/>
                  <w:vAlign w:val="center"/>
                </w:tcPr>
                <w:p w14:paraId="01A9C8B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0.014</w:t>
                  </w:r>
                </w:p>
              </w:tc>
              <w:tc>
                <w:tcPr>
                  <w:tcW w:w="552" w:type="pct"/>
                  <w:noWrap w:val="0"/>
                  <w:vAlign w:val="center"/>
                </w:tcPr>
                <w:p w14:paraId="4D3EEE2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0</w:t>
                  </w:r>
                </w:p>
              </w:tc>
              <w:tc>
                <w:tcPr>
                  <w:tcW w:w="629" w:type="pct"/>
                  <w:noWrap w:val="0"/>
                  <w:vAlign w:val="center"/>
                </w:tcPr>
                <w:p w14:paraId="763C26C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0.053</w:t>
                  </w:r>
                </w:p>
              </w:tc>
              <w:tc>
                <w:tcPr>
                  <w:tcW w:w="701" w:type="pct"/>
                  <w:noWrap w:val="0"/>
                  <w:vAlign w:val="center"/>
                </w:tcPr>
                <w:p w14:paraId="34310D6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+0.053</w:t>
                  </w:r>
                </w:p>
              </w:tc>
              <w:tc>
                <w:tcPr>
                  <w:tcW w:w="961" w:type="pct"/>
                  <w:vMerge w:val="continue"/>
                  <w:noWrap w:val="0"/>
                  <w:vAlign w:val="center"/>
                </w:tcPr>
                <w:p w14:paraId="6FD67C7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p>
              </w:tc>
            </w:tr>
            <w:tr w14:paraId="6758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1B7DE40D">
                  <w:pPr>
                    <w:keepNext w:val="0"/>
                    <w:keepLines w:val="0"/>
                    <w:pageBreakBefore w:val="0"/>
                    <w:kinsoku/>
                    <w:wordWrap/>
                    <w:overflowPunct/>
                    <w:topLinePunct w:val="0"/>
                    <w:autoSpaceDE/>
                    <w:autoSpaceDN/>
                    <w:bidi w:val="0"/>
                    <w:adjustRightInd/>
                    <w:snapToGrid/>
                    <w:spacing w:line="320" w:lineRule="exact"/>
                    <w:jc w:val="center"/>
                    <w:rPr>
                      <w:color w:val="auto"/>
                      <w:highlight w:val="none"/>
                    </w:rPr>
                  </w:pPr>
                </w:p>
              </w:tc>
              <w:tc>
                <w:tcPr>
                  <w:tcW w:w="752" w:type="pct"/>
                  <w:noWrap w:val="0"/>
                  <w:vAlign w:val="center"/>
                </w:tcPr>
                <w:p w14:paraId="27F5FEDA">
                  <w:pPr>
                    <w:keepNext w:val="0"/>
                    <w:keepLines w:val="0"/>
                    <w:pageBreakBefore w:val="0"/>
                    <w:kinsoku/>
                    <w:wordWrap/>
                    <w:overflowPunct/>
                    <w:topLinePunct w:val="0"/>
                    <w:autoSpaceDE/>
                    <w:autoSpaceDN/>
                    <w:bidi w:val="0"/>
                    <w:adjustRightInd/>
                    <w:snapToGrid/>
                    <w:spacing w:line="320" w:lineRule="exact"/>
                    <w:jc w:val="center"/>
                    <w:rPr>
                      <w:rFonts w:hint="default"/>
                      <w:color w:val="auto"/>
                      <w:highlight w:val="none"/>
                      <w:lang w:val="en-US" w:eastAsia="zh-CN"/>
                    </w:rPr>
                  </w:pPr>
                  <w:r>
                    <w:rPr>
                      <w:rFonts w:hint="eastAsia"/>
                      <w:color w:val="auto"/>
                      <w:highlight w:val="none"/>
                      <w:lang w:val="en-US" w:eastAsia="zh-CN"/>
                    </w:rPr>
                    <w:t>渗滤液</w:t>
                  </w:r>
                </w:p>
              </w:tc>
              <w:tc>
                <w:tcPr>
                  <w:tcW w:w="572" w:type="pct"/>
                  <w:noWrap w:val="0"/>
                  <w:vAlign w:val="center"/>
                </w:tcPr>
                <w:p w14:paraId="33BBEC6C">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0</w:t>
                  </w:r>
                </w:p>
              </w:tc>
              <w:tc>
                <w:tcPr>
                  <w:tcW w:w="583" w:type="pct"/>
                  <w:noWrap w:val="0"/>
                  <w:vAlign w:val="center"/>
                </w:tcPr>
                <w:p w14:paraId="4B8E9CB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552" w:type="pct"/>
                  <w:noWrap w:val="0"/>
                  <w:vAlign w:val="center"/>
                </w:tcPr>
                <w:p w14:paraId="47A8DF4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60E5EE4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18.24</w:t>
                  </w:r>
                </w:p>
              </w:tc>
              <w:tc>
                <w:tcPr>
                  <w:tcW w:w="701" w:type="pct"/>
                  <w:noWrap w:val="0"/>
                  <w:vAlign w:val="center"/>
                </w:tcPr>
                <w:p w14:paraId="35FCABD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eastAsia="宋体"/>
                      <w:color w:val="auto"/>
                      <w:highlight w:val="none"/>
                      <w:lang w:val="en-US" w:eastAsia="zh-CN"/>
                    </w:rPr>
                    <w:t>+18.24</w:t>
                  </w:r>
                </w:p>
              </w:tc>
              <w:tc>
                <w:tcPr>
                  <w:tcW w:w="961" w:type="pct"/>
                  <w:vMerge w:val="continue"/>
                  <w:noWrap w:val="0"/>
                  <w:vAlign w:val="center"/>
                </w:tcPr>
                <w:p w14:paraId="7C8AFD0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p>
              </w:tc>
            </w:tr>
            <w:tr w14:paraId="778AB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398B9AD6">
                  <w:pPr>
                    <w:keepNext w:val="0"/>
                    <w:keepLines w:val="0"/>
                    <w:pageBreakBefore w:val="0"/>
                    <w:kinsoku/>
                    <w:wordWrap/>
                    <w:overflowPunct/>
                    <w:topLinePunct w:val="0"/>
                    <w:autoSpaceDE/>
                    <w:autoSpaceDN/>
                    <w:bidi w:val="0"/>
                    <w:adjustRightInd/>
                    <w:snapToGrid/>
                    <w:spacing w:line="320" w:lineRule="exact"/>
                    <w:jc w:val="center"/>
                    <w:rPr>
                      <w:color w:val="auto"/>
                      <w:highlight w:val="none"/>
                    </w:rPr>
                  </w:pPr>
                </w:p>
              </w:tc>
              <w:tc>
                <w:tcPr>
                  <w:tcW w:w="752" w:type="pct"/>
                  <w:noWrap w:val="0"/>
                  <w:vAlign w:val="center"/>
                </w:tcPr>
                <w:p w14:paraId="5EE9E551">
                  <w:pPr>
                    <w:keepNext w:val="0"/>
                    <w:keepLines w:val="0"/>
                    <w:pageBreakBefore w:val="0"/>
                    <w:kinsoku/>
                    <w:wordWrap/>
                    <w:overflowPunct/>
                    <w:topLinePunct w:val="0"/>
                    <w:autoSpaceDE/>
                    <w:autoSpaceDN/>
                    <w:bidi w:val="0"/>
                    <w:adjustRightInd/>
                    <w:snapToGrid/>
                    <w:spacing w:line="320" w:lineRule="exact"/>
                    <w:jc w:val="center"/>
                    <w:rPr>
                      <w:rFonts w:hint="default"/>
                      <w:color w:val="auto"/>
                      <w:highlight w:val="none"/>
                      <w:lang w:val="en-US" w:eastAsia="zh-CN"/>
                    </w:rPr>
                  </w:pPr>
                  <w:r>
                    <w:rPr>
                      <w:rFonts w:hint="eastAsia"/>
                      <w:color w:val="auto"/>
                      <w:highlight w:val="none"/>
                      <w:lang w:val="en-US" w:eastAsia="zh-CN"/>
                    </w:rPr>
                    <w:t>实验室</w:t>
                  </w:r>
                </w:p>
              </w:tc>
              <w:tc>
                <w:tcPr>
                  <w:tcW w:w="572" w:type="pct"/>
                  <w:noWrap w:val="0"/>
                  <w:vAlign w:val="center"/>
                </w:tcPr>
                <w:p w14:paraId="5D4A619D">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0.05</w:t>
                  </w:r>
                </w:p>
                <w:p w14:paraId="527792B1">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（纯水）</w:t>
                  </w:r>
                </w:p>
              </w:tc>
              <w:tc>
                <w:tcPr>
                  <w:tcW w:w="583" w:type="pct"/>
                  <w:noWrap w:val="0"/>
                  <w:vAlign w:val="center"/>
                </w:tcPr>
                <w:p w14:paraId="77128CA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0.01</w:t>
                  </w:r>
                </w:p>
              </w:tc>
              <w:tc>
                <w:tcPr>
                  <w:tcW w:w="552" w:type="pct"/>
                  <w:noWrap w:val="0"/>
                  <w:vAlign w:val="center"/>
                </w:tcPr>
                <w:p w14:paraId="1C9E04C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00250A4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0.04</w:t>
                  </w:r>
                </w:p>
              </w:tc>
              <w:tc>
                <w:tcPr>
                  <w:tcW w:w="701" w:type="pct"/>
                  <w:noWrap w:val="0"/>
                  <w:vAlign w:val="center"/>
                </w:tcPr>
                <w:p w14:paraId="6E9401D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eastAsia="宋体"/>
                      <w:color w:val="auto"/>
                      <w:highlight w:val="none"/>
                      <w:lang w:val="en-US" w:eastAsia="zh-CN"/>
                    </w:rPr>
                    <w:t>+0.04</w:t>
                  </w:r>
                </w:p>
              </w:tc>
              <w:tc>
                <w:tcPr>
                  <w:tcW w:w="961" w:type="pct"/>
                  <w:vMerge w:val="continue"/>
                  <w:noWrap w:val="0"/>
                  <w:vAlign w:val="center"/>
                </w:tcPr>
                <w:p w14:paraId="0C2D1E4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p>
              </w:tc>
            </w:tr>
            <w:tr w14:paraId="5F32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0A555444">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highlight w:val="none"/>
                      <w:lang w:val="en-US" w:eastAsia="zh-CN"/>
                    </w:rPr>
                  </w:pPr>
                  <w:r>
                    <w:rPr>
                      <w:rFonts w:hint="eastAsia"/>
                      <w:color w:val="auto"/>
                      <w:highlight w:val="none"/>
                      <w:lang w:val="en-US" w:eastAsia="zh-CN"/>
                    </w:rPr>
                    <w:t>恶臭</w:t>
                  </w:r>
                </w:p>
              </w:tc>
              <w:tc>
                <w:tcPr>
                  <w:tcW w:w="752" w:type="pct"/>
                  <w:noWrap w:val="0"/>
                  <w:vAlign w:val="center"/>
                </w:tcPr>
                <w:p w14:paraId="0128610A">
                  <w:pPr>
                    <w:keepNext w:val="0"/>
                    <w:keepLines w:val="0"/>
                    <w:pageBreakBefore w:val="0"/>
                    <w:kinsoku/>
                    <w:wordWrap/>
                    <w:overflowPunct/>
                    <w:topLinePunct w:val="0"/>
                    <w:autoSpaceDE/>
                    <w:autoSpaceDN/>
                    <w:bidi w:val="0"/>
                    <w:adjustRightInd/>
                    <w:snapToGrid/>
                    <w:spacing w:line="320" w:lineRule="exact"/>
                    <w:jc w:val="center"/>
                    <w:rPr>
                      <w:rFonts w:hint="default"/>
                      <w:color w:val="auto"/>
                      <w:highlight w:val="none"/>
                      <w:lang w:val="en-US" w:eastAsia="zh-CN"/>
                    </w:rPr>
                  </w:pPr>
                  <w:r>
                    <w:rPr>
                      <w:rFonts w:hint="eastAsia"/>
                      <w:color w:val="auto"/>
                      <w:highlight w:val="none"/>
                      <w:lang w:val="en-US" w:eastAsia="zh-CN"/>
                    </w:rPr>
                    <w:t>恶臭喷淋</w:t>
                  </w:r>
                </w:p>
              </w:tc>
              <w:tc>
                <w:tcPr>
                  <w:tcW w:w="572" w:type="pct"/>
                  <w:noWrap w:val="0"/>
                  <w:vAlign w:val="center"/>
                </w:tcPr>
                <w:p w14:paraId="26666138">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0.8</w:t>
                  </w:r>
                </w:p>
              </w:tc>
              <w:tc>
                <w:tcPr>
                  <w:tcW w:w="583" w:type="pct"/>
                  <w:noWrap w:val="0"/>
                  <w:vAlign w:val="center"/>
                </w:tcPr>
                <w:p w14:paraId="66CAEEF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0.8</w:t>
                  </w:r>
                </w:p>
              </w:tc>
              <w:tc>
                <w:tcPr>
                  <w:tcW w:w="552" w:type="pct"/>
                  <w:noWrap w:val="0"/>
                  <w:vAlign w:val="center"/>
                </w:tcPr>
                <w:p w14:paraId="3623F9B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7.2</w:t>
                  </w:r>
                </w:p>
              </w:tc>
              <w:tc>
                <w:tcPr>
                  <w:tcW w:w="629" w:type="pct"/>
                  <w:noWrap w:val="0"/>
                  <w:vAlign w:val="center"/>
                </w:tcPr>
                <w:p w14:paraId="527BF4A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7.2</w:t>
                  </w:r>
                </w:p>
              </w:tc>
              <w:tc>
                <w:tcPr>
                  <w:tcW w:w="701" w:type="pct"/>
                  <w:noWrap w:val="0"/>
                  <w:vAlign w:val="center"/>
                </w:tcPr>
                <w:p w14:paraId="6CB97E5D">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0</w:t>
                  </w:r>
                </w:p>
              </w:tc>
              <w:tc>
                <w:tcPr>
                  <w:tcW w:w="961" w:type="pct"/>
                  <w:vMerge w:val="continue"/>
                  <w:noWrap w:val="0"/>
                  <w:vAlign w:val="center"/>
                </w:tcPr>
                <w:p w14:paraId="749FAEE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p>
              </w:tc>
            </w:tr>
            <w:tr w14:paraId="14E6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59472DBD">
                  <w:pPr>
                    <w:keepNext w:val="0"/>
                    <w:keepLines w:val="0"/>
                    <w:pageBreakBefore w:val="0"/>
                    <w:kinsoku/>
                    <w:wordWrap/>
                    <w:overflowPunct/>
                    <w:topLinePunct w:val="0"/>
                    <w:autoSpaceDE/>
                    <w:autoSpaceDN/>
                    <w:bidi w:val="0"/>
                    <w:adjustRightInd/>
                    <w:snapToGrid/>
                    <w:spacing w:line="320" w:lineRule="exact"/>
                    <w:jc w:val="center"/>
                    <w:rPr>
                      <w:color w:val="auto"/>
                      <w:highlight w:val="none"/>
                    </w:rPr>
                  </w:pPr>
                </w:p>
              </w:tc>
              <w:tc>
                <w:tcPr>
                  <w:tcW w:w="752" w:type="pct"/>
                  <w:noWrap w:val="0"/>
                  <w:vAlign w:val="center"/>
                </w:tcPr>
                <w:p w14:paraId="4F874AF2">
                  <w:pPr>
                    <w:keepNext w:val="0"/>
                    <w:keepLines w:val="0"/>
                    <w:pageBreakBefore w:val="0"/>
                    <w:kinsoku/>
                    <w:wordWrap/>
                    <w:overflowPunct/>
                    <w:topLinePunct w:val="0"/>
                    <w:autoSpaceDE/>
                    <w:autoSpaceDN/>
                    <w:bidi w:val="0"/>
                    <w:adjustRightInd/>
                    <w:snapToGrid/>
                    <w:spacing w:line="320" w:lineRule="exact"/>
                    <w:jc w:val="center"/>
                    <w:rPr>
                      <w:rFonts w:hint="default"/>
                      <w:color w:val="auto"/>
                      <w:highlight w:val="none"/>
                      <w:lang w:val="en-US" w:eastAsia="zh-CN"/>
                    </w:rPr>
                  </w:pPr>
                  <w:r>
                    <w:rPr>
                      <w:rFonts w:hint="eastAsia"/>
                      <w:color w:val="auto"/>
                      <w:highlight w:val="none"/>
                      <w:lang w:val="en-US" w:eastAsia="zh-CN"/>
                    </w:rPr>
                    <w:t>纯水制备</w:t>
                  </w:r>
                </w:p>
              </w:tc>
              <w:tc>
                <w:tcPr>
                  <w:tcW w:w="572" w:type="pct"/>
                  <w:noWrap w:val="0"/>
                  <w:vAlign w:val="center"/>
                </w:tcPr>
                <w:p w14:paraId="5B0FC39D">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0.22</w:t>
                  </w:r>
                </w:p>
              </w:tc>
              <w:tc>
                <w:tcPr>
                  <w:tcW w:w="583" w:type="pct"/>
                  <w:noWrap w:val="0"/>
                  <w:vAlign w:val="center"/>
                </w:tcPr>
                <w:p w14:paraId="6958100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0.165</w:t>
                  </w:r>
                </w:p>
              </w:tc>
              <w:tc>
                <w:tcPr>
                  <w:tcW w:w="552" w:type="pct"/>
                  <w:noWrap w:val="0"/>
                  <w:vAlign w:val="center"/>
                </w:tcPr>
                <w:p w14:paraId="0233A2AD">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0.05</w:t>
                  </w:r>
                </w:p>
                <w:p w14:paraId="5C33130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（纯水）</w:t>
                  </w:r>
                </w:p>
              </w:tc>
              <w:tc>
                <w:tcPr>
                  <w:tcW w:w="629" w:type="pct"/>
                  <w:noWrap w:val="0"/>
                  <w:vAlign w:val="center"/>
                </w:tcPr>
                <w:p w14:paraId="4FB569C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0.005</w:t>
                  </w:r>
                </w:p>
              </w:tc>
              <w:tc>
                <w:tcPr>
                  <w:tcW w:w="701" w:type="pct"/>
                  <w:noWrap w:val="0"/>
                  <w:vAlign w:val="center"/>
                </w:tcPr>
                <w:p w14:paraId="55AE975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eastAsia="宋体"/>
                      <w:color w:val="auto"/>
                      <w:highlight w:val="none"/>
                      <w:lang w:val="en-US" w:eastAsia="zh-CN"/>
                    </w:rPr>
                    <w:t>+0.005</w:t>
                  </w:r>
                </w:p>
              </w:tc>
              <w:tc>
                <w:tcPr>
                  <w:tcW w:w="961" w:type="pct"/>
                  <w:vMerge w:val="continue"/>
                  <w:noWrap w:val="0"/>
                  <w:vAlign w:val="center"/>
                </w:tcPr>
                <w:p w14:paraId="6A0E0F7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p>
              </w:tc>
            </w:tr>
            <w:tr w14:paraId="18954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67C795C6">
                  <w:pPr>
                    <w:keepNext w:val="0"/>
                    <w:keepLines w:val="0"/>
                    <w:pageBreakBefore w:val="0"/>
                    <w:kinsoku/>
                    <w:wordWrap/>
                    <w:overflowPunct/>
                    <w:topLinePunct w:val="0"/>
                    <w:autoSpaceDE/>
                    <w:autoSpaceDN/>
                    <w:bidi w:val="0"/>
                    <w:adjustRightInd/>
                    <w:snapToGrid/>
                    <w:spacing w:line="320" w:lineRule="exact"/>
                    <w:jc w:val="center"/>
                    <w:rPr>
                      <w:color w:val="auto"/>
                      <w:highlight w:val="none"/>
                    </w:rPr>
                  </w:pPr>
                </w:p>
              </w:tc>
              <w:tc>
                <w:tcPr>
                  <w:tcW w:w="752" w:type="pct"/>
                  <w:noWrap w:val="0"/>
                  <w:vAlign w:val="center"/>
                </w:tcPr>
                <w:p w14:paraId="79F4F0D9">
                  <w:pPr>
                    <w:keepNext w:val="0"/>
                    <w:keepLines w:val="0"/>
                    <w:pageBreakBefore w:val="0"/>
                    <w:kinsoku/>
                    <w:wordWrap/>
                    <w:overflowPunct/>
                    <w:topLinePunct w:val="0"/>
                    <w:autoSpaceDE/>
                    <w:autoSpaceDN/>
                    <w:bidi w:val="0"/>
                    <w:adjustRightInd/>
                    <w:snapToGrid/>
                    <w:spacing w:line="320" w:lineRule="exact"/>
                    <w:jc w:val="center"/>
                    <w:rPr>
                      <w:rFonts w:hint="default"/>
                      <w:color w:val="auto"/>
                      <w:highlight w:val="none"/>
                      <w:lang w:val="en-US" w:eastAsia="zh-CN"/>
                    </w:rPr>
                  </w:pPr>
                  <w:r>
                    <w:rPr>
                      <w:rFonts w:hint="eastAsia"/>
                      <w:color w:val="auto"/>
                      <w:highlight w:val="none"/>
                      <w:lang w:val="en-US" w:eastAsia="zh-CN"/>
                    </w:rPr>
                    <w:t>道路降尘</w:t>
                  </w:r>
                </w:p>
              </w:tc>
              <w:tc>
                <w:tcPr>
                  <w:tcW w:w="572" w:type="pct"/>
                  <w:noWrap w:val="0"/>
                  <w:vAlign w:val="center"/>
                </w:tcPr>
                <w:p w14:paraId="70A7AE8A">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highlight w:val="none"/>
                      <w:lang w:val="en-US" w:eastAsia="zh-CN"/>
                    </w:rPr>
                  </w:pPr>
                  <w:r>
                    <w:rPr>
                      <w:rFonts w:hint="eastAsia" w:eastAsia="宋体"/>
                      <w:color w:val="auto"/>
                      <w:highlight w:val="none"/>
                      <w:lang w:val="en-US" w:eastAsia="zh-CN"/>
                    </w:rPr>
                    <w:t>3.15</w:t>
                  </w:r>
                </w:p>
                <w:p w14:paraId="7005E6F6">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（晴天）</w:t>
                  </w:r>
                </w:p>
              </w:tc>
              <w:tc>
                <w:tcPr>
                  <w:tcW w:w="583" w:type="pct"/>
                  <w:noWrap w:val="0"/>
                  <w:vAlign w:val="center"/>
                </w:tcPr>
                <w:p w14:paraId="6743DFD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3.15</w:t>
                  </w:r>
                </w:p>
              </w:tc>
              <w:tc>
                <w:tcPr>
                  <w:tcW w:w="552" w:type="pct"/>
                  <w:noWrap w:val="0"/>
                  <w:vAlign w:val="center"/>
                </w:tcPr>
                <w:p w14:paraId="6ADC8A4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682D9A7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701" w:type="pct"/>
                  <w:noWrap w:val="0"/>
                  <w:vAlign w:val="center"/>
                </w:tcPr>
                <w:p w14:paraId="483E87D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961" w:type="pct"/>
                  <w:noWrap w:val="0"/>
                  <w:vAlign w:val="center"/>
                </w:tcPr>
                <w:p w14:paraId="62274A5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蒸发损耗</w:t>
                  </w:r>
                </w:p>
              </w:tc>
            </w:tr>
            <w:tr w14:paraId="07AB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9" w:type="pct"/>
                  <w:gridSpan w:val="2"/>
                  <w:noWrap w:val="0"/>
                  <w:vAlign w:val="center"/>
                </w:tcPr>
                <w:p w14:paraId="1C7AB2C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合计</w:t>
                  </w:r>
                </w:p>
              </w:tc>
              <w:tc>
                <w:tcPr>
                  <w:tcW w:w="572" w:type="pct"/>
                  <w:noWrap w:val="0"/>
                  <w:vAlign w:val="center"/>
                </w:tcPr>
                <w:p w14:paraId="6C1D242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5.737（晴天）</w:t>
                  </w:r>
                </w:p>
                <w:p w14:paraId="1F24C8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2.587（雨天）</w:t>
                  </w:r>
                </w:p>
              </w:tc>
              <w:tc>
                <w:tcPr>
                  <w:tcW w:w="583" w:type="pct"/>
                  <w:noWrap w:val="0"/>
                  <w:vAlign w:val="center"/>
                </w:tcPr>
                <w:p w14:paraId="48B139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47.329（晴天）44.742</w:t>
                  </w:r>
                </w:p>
                <w:p w14:paraId="5B702F2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（雨天）</w:t>
                  </w:r>
                </w:p>
              </w:tc>
              <w:tc>
                <w:tcPr>
                  <w:tcW w:w="552" w:type="pct"/>
                  <w:noWrap w:val="0"/>
                  <w:vAlign w:val="center"/>
                </w:tcPr>
                <w:p w14:paraId="77DDA1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50.15</w:t>
                  </w:r>
                </w:p>
              </w:tc>
              <w:tc>
                <w:tcPr>
                  <w:tcW w:w="629" w:type="pct"/>
                  <w:noWrap w:val="0"/>
                  <w:vAlign w:val="center"/>
                </w:tcPr>
                <w:p w14:paraId="64BA973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26.698</w:t>
                  </w:r>
                </w:p>
              </w:tc>
              <w:tc>
                <w:tcPr>
                  <w:tcW w:w="701" w:type="pct"/>
                  <w:noWrap w:val="0"/>
                  <w:vAlign w:val="center"/>
                </w:tcPr>
                <w:p w14:paraId="3502A41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r>
                    <w:rPr>
                      <w:rFonts w:hint="eastAsia" w:ascii="Times New Roman" w:hAnsi="Times New Roman" w:eastAsia="宋体" w:cs="Times New Roman"/>
                      <w:i w:val="0"/>
                      <w:iCs w:val="0"/>
                      <w:color w:val="auto"/>
                      <w:kern w:val="0"/>
                      <w:sz w:val="21"/>
                      <w:szCs w:val="21"/>
                      <w:highlight w:val="none"/>
                      <w:u w:val="none"/>
                      <w:lang w:val="en-US" w:eastAsia="zh-CN" w:bidi="ar"/>
                    </w:rPr>
                    <w:t>19.498</w:t>
                  </w:r>
                </w:p>
              </w:tc>
              <w:tc>
                <w:tcPr>
                  <w:tcW w:w="961" w:type="pct"/>
                  <w:noWrap w:val="0"/>
                  <w:vAlign w:val="center"/>
                </w:tcPr>
                <w:p w14:paraId="0E9CF5E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r>
            <w:tr w14:paraId="56F4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9" w:type="pct"/>
                  <w:gridSpan w:val="2"/>
                  <w:noWrap w:val="0"/>
                  <w:vAlign w:val="center"/>
                </w:tcPr>
                <w:p w14:paraId="2D5E0D9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全厂合计</w:t>
                  </w:r>
                </w:p>
              </w:tc>
              <w:tc>
                <w:tcPr>
                  <w:tcW w:w="572" w:type="pct"/>
                  <w:noWrap w:val="0"/>
                  <w:vAlign w:val="center"/>
                </w:tcPr>
                <w:p w14:paraId="56FBC55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583" w:type="pct"/>
                  <w:noWrap w:val="0"/>
                  <w:vAlign w:val="center"/>
                </w:tcPr>
                <w:p w14:paraId="40915ED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552" w:type="pct"/>
                  <w:noWrap w:val="0"/>
                  <w:vAlign w:val="center"/>
                </w:tcPr>
                <w:p w14:paraId="50E2A02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629" w:type="pct"/>
                  <w:noWrap w:val="0"/>
                  <w:vAlign w:val="center"/>
                </w:tcPr>
                <w:p w14:paraId="49D36AF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701" w:type="pct"/>
                  <w:noWrap w:val="0"/>
                  <w:vAlign w:val="center"/>
                </w:tcPr>
                <w:p w14:paraId="05F3B93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689.77</w:t>
                  </w:r>
                  <w:r>
                    <w:rPr>
                      <w:rFonts w:hint="eastAsia" w:cs="Times New Roman"/>
                      <w:i w:val="0"/>
                      <w:iCs w:val="0"/>
                      <w:color w:val="auto"/>
                      <w:kern w:val="0"/>
                      <w:sz w:val="21"/>
                      <w:szCs w:val="21"/>
                      <w:highlight w:val="none"/>
                      <w:u w:val="none"/>
                      <w:lang w:val="en-US" w:eastAsia="zh-CN" w:bidi="ar"/>
                    </w:rPr>
                    <w:t>（其中含生活污水2.732）</w:t>
                  </w:r>
                </w:p>
              </w:tc>
              <w:tc>
                <w:tcPr>
                  <w:tcW w:w="961" w:type="pct"/>
                  <w:noWrap w:val="0"/>
                  <w:vAlign w:val="center"/>
                </w:tcPr>
                <w:p w14:paraId="14F4E5BD">
                  <w:pPr>
                    <w:keepNext w:val="0"/>
                    <w:keepLines w:val="0"/>
                    <w:pageBreakBefore w:val="0"/>
                    <w:kinsoku/>
                    <w:wordWrap/>
                    <w:overflowPunct/>
                    <w:topLinePunct w:val="0"/>
                    <w:autoSpaceDE/>
                    <w:autoSpaceDN/>
                    <w:bidi w:val="0"/>
                    <w:adjustRightInd/>
                    <w:snapToGrid/>
                    <w:spacing w:line="320" w:lineRule="exact"/>
                    <w:jc w:val="center"/>
                    <w:rPr>
                      <w:rFonts w:hint="default"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w:t>
                  </w:r>
                </w:p>
              </w:tc>
            </w:tr>
          </w:tbl>
          <w:p w14:paraId="4037E69C">
            <w:pPr>
              <w:keepNext w:val="0"/>
              <w:keepLines w:val="0"/>
              <w:pageBreakBefore w:val="0"/>
              <w:widowControl w:val="0"/>
              <w:kinsoku/>
              <w:wordWrap/>
              <w:overflowPunct/>
              <w:topLinePunct w:val="0"/>
              <w:bidi w:val="0"/>
              <w:adjustRightInd/>
              <w:snapToGrid w:val="0"/>
              <w:spacing w:line="440" w:lineRule="exact"/>
              <w:ind w:firstLine="480" w:firstLineChars="200"/>
              <w:jc w:val="both"/>
              <w:textAlignment w:val="auto"/>
              <w:rPr>
                <w:rFonts w:hint="default" w:ascii="Times New Roman" w:hAnsi="Times New Roman" w:eastAsia="宋体" w:cs="Times New Roman"/>
                <w:b w:val="0"/>
                <w:bCs w:val="0"/>
                <w:color w:val="auto"/>
                <w:sz w:val="24"/>
                <w:szCs w:val="24"/>
                <w:highlight w:val="none"/>
                <w:u w:val="none"/>
                <w:lang w:val="en-US" w:eastAsia="zh-CN"/>
              </w:rPr>
            </w:pPr>
          </w:p>
          <w:p w14:paraId="32AE5796">
            <w:pPr>
              <w:keepNext w:val="0"/>
              <w:keepLines w:val="0"/>
              <w:pageBreakBefore w:val="0"/>
              <w:widowControl w:val="0"/>
              <w:kinsoku/>
              <w:wordWrap/>
              <w:overflowPunct/>
              <w:topLinePunct w:val="0"/>
              <w:autoSpaceDE/>
              <w:autoSpaceDN/>
              <w:bidi w:val="0"/>
              <w:adjustRightInd/>
              <w:snapToGrid/>
              <w:spacing w:before="157" w:beforeLines="50"/>
              <w:textAlignment w:val="auto"/>
              <w:rPr>
                <w:rFonts w:hint="eastAsia" w:eastAsia="宋体"/>
                <w:bCs/>
                <w:color w:val="auto"/>
                <w:sz w:val="24"/>
                <w:highlight w:val="none"/>
                <w:lang w:eastAsia="zh-CN"/>
              </w:rPr>
            </w:pPr>
            <w:r>
              <w:rPr>
                <w:color w:val="auto"/>
                <w:sz w:val="24"/>
                <w:highlight w:val="none"/>
              </w:rPr>
              <mc:AlternateContent>
                <mc:Choice Requires="wpc">
                  <w:drawing>
                    <wp:inline distT="0" distB="0" distL="114300" distR="114300">
                      <wp:extent cx="5283835" cy="4630420"/>
                      <wp:effectExtent l="6350" t="6350" r="13335" b="11430"/>
                      <wp:docPr id="172" name="画布 172"/>
                      <wp:cNvGraphicFramePr/>
                      <a:graphic xmlns:a="http://schemas.openxmlformats.org/drawingml/2006/main">
                        <a:graphicData uri="http://schemas.microsoft.com/office/word/2010/wordprocessingCanvas">
                          <wpc:wpc>
                            <wpc:bg/>
                            <wpc:whole>
                              <a:ln w="12700">
                                <a:solidFill>
                                  <a:schemeClr val="tx1"/>
                                </a:solidFill>
                              </a:ln>
                            </wpc:whole>
                            <wpg:wgp>
                              <wpg:cNvPr id="182" name="组合 182"/>
                              <wpg:cNvGrpSpPr/>
                              <wpg:grpSpPr>
                                <a:xfrm>
                                  <a:off x="242570" y="281305"/>
                                  <a:ext cx="1414780" cy="335280"/>
                                  <a:chOff x="382" y="443"/>
                                  <a:chExt cx="2228" cy="528"/>
                                </a:xfrm>
                              </wpg:grpSpPr>
                              <wps:wsp>
                                <wps:cNvPr id="173" name="矩形 173"/>
                                <wps:cNvSpPr/>
                                <wps:spPr>
                                  <a:xfrm>
                                    <a:off x="382" y="443"/>
                                    <a:ext cx="1356" cy="528"/>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CAC4651">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尾菜废水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74" name="直接箭头连接符 174"/>
                                <wps:cNvCnPr>
                                  <a:stCxn id="173" idx="3"/>
                                </wps:cNvCnPr>
                                <wps:spPr>
                                  <a:xfrm>
                                    <a:off x="1738" y="707"/>
                                    <a:ext cx="872" cy="2"/>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g:wgp>
                            <wps:wsp>
                              <wps:cNvPr id="175" name="矩形 175"/>
                              <wps:cNvSpPr/>
                              <wps:spPr>
                                <a:xfrm>
                                  <a:off x="1657985" y="286385"/>
                                  <a:ext cx="861060"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6375BEA">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液体发酵</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0" name="直接箭头连接符 180"/>
                              <wps:cNvCnPr/>
                              <wps:spPr>
                                <a:xfrm>
                                  <a:off x="2534285" y="44640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181" name="矩形 181"/>
                              <wps:cNvSpPr/>
                              <wps:spPr>
                                <a:xfrm>
                                  <a:off x="2938145" y="2787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B096A6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进入产品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3" name="矩形 183"/>
                              <wps:cNvSpPr/>
                              <wps:spPr>
                                <a:xfrm>
                                  <a:off x="347345" y="1017905"/>
                                  <a:ext cx="328295" cy="1820545"/>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529670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新鲜用水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4" name="直接箭头连接符 184"/>
                              <wps:cNvCnPr/>
                              <wps:spPr>
                                <a:xfrm>
                                  <a:off x="690245" y="120078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185" name="直接箭头连接符 185"/>
                              <wps:cNvCnPr/>
                              <wps:spPr>
                                <a:xfrm>
                                  <a:off x="675005" y="187134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186" name="直接箭头连接符 186"/>
                              <wps:cNvCnPr/>
                              <wps:spPr>
                                <a:xfrm>
                                  <a:off x="690245" y="248856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187" name="矩形 187"/>
                              <wps:cNvSpPr/>
                              <wps:spPr>
                                <a:xfrm>
                                  <a:off x="1231265" y="1033145"/>
                                  <a:ext cx="133286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C9B511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液体发酵设备清洗</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8" name="矩形 188"/>
                              <wps:cNvSpPr/>
                              <wps:spPr>
                                <a:xfrm>
                                  <a:off x="1216025" y="1711325"/>
                                  <a:ext cx="1310640"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95BE2D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固体发酵地面清洗</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9" name="矩形 189"/>
                              <wps:cNvSpPr/>
                              <wps:spPr>
                                <a:xfrm>
                                  <a:off x="911225" y="19494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B4B84BA">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42.9</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0" name="矩形 190"/>
                              <wps:cNvSpPr/>
                              <wps:spPr>
                                <a:xfrm>
                                  <a:off x="2351405" y="17970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32932C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42.9</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1" name="直接箭头连接符 191"/>
                              <wps:cNvCnPr/>
                              <wps:spPr>
                                <a:xfrm>
                                  <a:off x="2572385" y="117792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192" name="直接箭头连接符 192"/>
                              <wps:cNvCnPr/>
                              <wps:spPr>
                                <a:xfrm>
                                  <a:off x="2541905" y="187134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193" name="矩形 193"/>
                              <wps:cNvSpPr/>
                              <wps:spPr>
                                <a:xfrm>
                                  <a:off x="3121025" y="911225"/>
                                  <a:ext cx="328295" cy="3213735"/>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BC20B6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污水处理站</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4" name="矩形 194"/>
                              <wps:cNvSpPr/>
                              <wps:spPr>
                                <a:xfrm>
                                  <a:off x="1223645" y="2336165"/>
                                  <a:ext cx="82359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E8CB8B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纯水制备</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5" name="矩形 195"/>
                              <wps:cNvSpPr/>
                              <wps:spPr>
                                <a:xfrm>
                                  <a:off x="1231265" y="3060065"/>
                                  <a:ext cx="82359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A5BF1DD">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实验用水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6" name="直接箭头连接符 196"/>
                              <wps:cNvCnPr/>
                              <wps:spPr>
                                <a:xfrm flipH="1">
                                  <a:off x="1663065" y="2659380"/>
                                  <a:ext cx="1905" cy="39433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197" name="直接箭头连接符 197"/>
                              <wps:cNvCnPr/>
                              <wps:spPr>
                                <a:xfrm>
                                  <a:off x="2046605" y="2503805"/>
                                  <a:ext cx="1050925" cy="317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198" name="直接箭头连接符 198"/>
                              <wps:cNvCnPr/>
                              <wps:spPr>
                                <a:xfrm>
                                  <a:off x="2077085" y="3227705"/>
                                  <a:ext cx="1050925" cy="317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199" name="矩形 199"/>
                              <wps:cNvSpPr/>
                              <wps:spPr>
                                <a:xfrm>
                                  <a:off x="1505585" y="3662045"/>
                                  <a:ext cx="82359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169D528">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渗滤液</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0" name="直接箭头连接符 200"/>
                              <wps:cNvCnPr/>
                              <wps:spPr>
                                <a:xfrm flipV="1">
                                  <a:off x="2350770" y="3840480"/>
                                  <a:ext cx="769620" cy="444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01" name="矩形 201"/>
                              <wps:cNvSpPr/>
                              <wps:spPr>
                                <a:xfrm>
                                  <a:off x="476885" y="9493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4BB1D1D">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1.45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2" name="矩形 202"/>
                              <wps:cNvSpPr/>
                              <wps:spPr>
                                <a:xfrm>
                                  <a:off x="2397125" y="9264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AE595A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1.16</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3" name="曲线连接符 203"/>
                              <wps:cNvCnPr>
                                <a:stCxn id="187" idx="0"/>
                              </wps:cNvCnPr>
                              <wps:spPr>
                                <a:xfrm rot="16200000">
                                  <a:off x="1923415" y="79692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204" name="矩形 204"/>
                              <wps:cNvSpPr/>
                              <wps:spPr>
                                <a:xfrm>
                                  <a:off x="1878965" y="6292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EC55F8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0.29</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5" name="矩形 205"/>
                              <wps:cNvSpPr/>
                              <wps:spPr>
                                <a:xfrm>
                                  <a:off x="522605" y="16122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405140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0.067</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6" name="矩形 206"/>
                              <wps:cNvSpPr/>
                              <wps:spPr>
                                <a:xfrm>
                                  <a:off x="2397125" y="15970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2E6260D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0.053</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7" name="矩形 207"/>
                              <wps:cNvSpPr/>
                              <wps:spPr>
                                <a:xfrm>
                                  <a:off x="1779905" y="133794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0675E6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0.014</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8" name="曲线连接符 208"/>
                              <wps:cNvCnPr/>
                              <wps:spPr>
                                <a:xfrm rot="16200000">
                                  <a:off x="1818005" y="148272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210" name="曲线连接符 210"/>
                              <wps:cNvCnPr/>
                              <wps:spPr>
                                <a:xfrm rot="16200000">
                                  <a:off x="1985645" y="283908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211" name="曲线连接符 211"/>
                              <wps:cNvCnPr/>
                              <wps:spPr>
                                <a:xfrm rot="16200000">
                                  <a:off x="1696085" y="210756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212" name="矩形 212"/>
                              <wps:cNvSpPr/>
                              <wps:spPr>
                                <a:xfrm>
                                  <a:off x="545465" y="22066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87EBCE7">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0.22</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3" name="矩形 213"/>
                              <wps:cNvSpPr/>
                              <wps:spPr>
                                <a:xfrm>
                                  <a:off x="1383665" y="27019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AC0FC7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4" name="矩形 214"/>
                              <wps:cNvSpPr/>
                              <wps:spPr>
                                <a:xfrm>
                                  <a:off x="2168525" y="22294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32533E0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0.005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5" name="矩形 215"/>
                              <wps:cNvSpPr/>
                              <wps:spPr>
                                <a:xfrm>
                                  <a:off x="1657985" y="194754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6D34F7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0.165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6" name="矩形 216"/>
                              <wps:cNvSpPr/>
                              <wps:spPr>
                                <a:xfrm>
                                  <a:off x="2183765" y="29914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6DFA064D">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0.04</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7" name="矩形 217"/>
                              <wps:cNvSpPr/>
                              <wps:spPr>
                                <a:xfrm>
                                  <a:off x="2511425" y="35553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39AC01F6">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18.24</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8" name="矩形 218"/>
                              <wps:cNvSpPr/>
                              <wps:spPr>
                                <a:xfrm>
                                  <a:off x="1932305" y="27019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3C78C9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0.01</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9" name="矩形 219"/>
                              <wps:cNvSpPr/>
                              <wps:spPr>
                                <a:xfrm>
                                  <a:off x="57785" y="3669665"/>
                                  <a:ext cx="899160"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E580E4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果蔬渣发酵</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20" name="直接箭头连接符 220"/>
                              <wps:cNvCnPr/>
                              <wps:spPr>
                                <a:xfrm>
                                  <a:off x="979805" y="3852545"/>
                                  <a:ext cx="513715" cy="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21" name="矩形 221"/>
                              <wps:cNvSpPr/>
                              <wps:spPr>
                                <a:xfrm>
                                  <a:off x="34925" y="4230370"/>
                                  <a:ext cx="1363980" cy="28956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8EDB6D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新鲜用水/初期雨水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22" name="直接箭头连接符 222"/>
                              <wps:cNvCnPr/>
                              <wps:spPr>
                                <a:xfrm>
                                  <a:off x="1421765" y="4363085"/>
                                  <a:ext cx="513715" cy="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23" name="矩形 223"/>
                              <wps:cNvSpPr/>
                              <wps:spPr>
                                <a:xfrm>
                                  <a:off x="1962785" y="4195445"/>
                                  <a:ext cx="82359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444FB4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道路降尘</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24" name="直接箭头连接符 224"/>
                              <wps:cNvCnPr/>
                              <wps:spPr>
                                <a:xfrm>
                                  <a:off x="2793365" y="4363085"/>
                                  <a:ext cx="513715" cy="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25" name="矩形 225"/>
                              <wps:cNvSpPr/>
                              <wps:spPr>
                                <a:xfrm>
                                  <a:off x="3227705" y="42106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39657822">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蒸发</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26" name="直接箭头连接符 226"/>
                              <wps:cNvCnPr/>
                              <wps:spPr>
                                <a:xfrm>
                                  <a:off x="3448685" y="2511425"/>
                                  <a:ext cx="513715" cy="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27" name="矩形 227"/>
                              <wps:cNvSpPr/>
                              <wps:spPr>
                                <a:xfrm>
                                  <a:off x="3943985" y="911225"/>
                                  <a:ext cx="328295" cy="3213735"/>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F1BC47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寻甸污水处理厂</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28" name="矩形 228"/>
                              <wps:cNvSpPr/>
                              <wps:spPr>
                                <a:xfrm>
                                  <a:off x="3303905" y="22294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3FE763CA">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19.498</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29" name="矩形 229"/>
                              <wps:cNvSpPr/>
                              <wps:spPr>
                                <a:xfrm>
                                  <a:off x="1269365" y="4142105"/>
                                  <a:ext cx="861060" cy="464185"/>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E9ABBFF">
                                    <w:pPr>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3.15</w:t>
                                    </w:r>
                                  </w:p>
                                  <w:p w14:paraId="350B4F8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（晴天）</w:t>
                                    </w:r>
                                  </w:p>
                                </w:txbxContent>
                              </wps:txbx>
                              <wps:bodyPr rot="0" spcFirstLastPara="0" vertOverflow="overflow" horzOverflow="overflow" vert="horz" wrap="square" lIns="91440" tIns="45720" rIns="91440" bIns="45720" numCol="1" spcCol="0" rtlCol="0" fromWordArt="0" anchor="ctr" anchorCtr="0" forceAA="0" compatLnSpc="1">
                                <a:noAutofit/>
                              </wps:bodyPr>
                            </wps:wsp>
                          </wpc:wpc>
                        </a:graphicData>
                      </a:graphic>
                    </wp:inline>
                  </w:drawing>
                </mc:Choice>
                <mc:Fallback>
                  <w:pict>
                    <v:group id="_x0000_s1026" o:spid="_x0000_s1026" o:spt="203" style="height:364.6pt;width:416.05pt;" coordsize="5283835,4630420" editas="canvas" o:gfxdata="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">
                      <o:lock v:ext="edit" aspectratio="f"/>
                      <v:shape id="_x0000_s1026" o:spid="_x0000_s1026" style="position:absolute;left:0;top:0;height:4630420;width:5283835;" filled="f" stroked="t" coordsize="21600,21600" o:gfxdata="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">
                        <v:fill on="f" focussize="0,0"/>
                        <v:stroke weight="1pt" color="#000000 [3213]" joinstyle="round"/>
                        <v:imagedata o:title=""/>
                        <o:lock v:ext="edit" aspectratio="f"/>
                      </v:shape>
                      <v:group id="_x0000_s1026" o:spid="_x0000_s1026" o:spt="203" style="position:absolute;left:242570;top:281305;height:335280;width:1414780;" coordorigin="382,443" coordsize="2228,528" o:gfxdata="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">
                        <o:lock v:ext="edit" aspectratio="f"/>
                        <v:rect id="_x0000_s1026" o:spid="_x0000_s1026" o:spt="1" style="position:absolute;left:382;top:443;height:528;width:1356;v-text-anchor:middle;" filled="f" stroked="t" coordsize="21600,21600" o:gfxdata="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l6fr28AAAA&#10;3AAAAA8AAAAAAAAAAQAgAAAAIgAAAGRycy9kb3ducmV2LnhtbFBLAQIUABQAAAAIAIdO4kAzLwWe&#10;OwAAADkAAAAQAAAAAAAAAAEAIAAAAAsBAABkcnMvc2hhcGV4bWwueG1sUEsFBgAAAAAGAAYAWwEA&#10;ALUDAAAAAA==&#10;">
                          <v:fill on="f" focussize="0,0"/>
                          <v:stroke weight="1pt" color="#000000 [3213]" joinstyle="round"/>
                          <v:imagedata o:title=""/>
                          <o:lock v:ext="edit" aspectratio="f"/>
                          <v:textbox>
                            <w:txbxContent>
                              <w:p w14:paraId="7CAC4651">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尾菜废水</w:t>
                                </w:r>
                              </w:p>
                            </w:txbxContent>
                          </v:textbox>
                        </v:rect>
                        <v:shape id="_x0000_s1026" o:spid="_x0000_s1026" o:spt="32" type="#_x0000_t32" style="position:absolute;left:1738;top:707;height:2;width:872;" filled="f" stroked="t" coordsize="21600,21600" o:gfxdata="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aGFfugAAANwA&#10;AAAPAAAAAAAAAAEAIAAAACIAAABkcnMvZG93bnJldi54bWxQSwECFAAUAAAACACHTuJAMy8FnjsA&#10;AAA5AAAAEAAAAAAAAAABACAAAAAJAQAAZHJzL3NoYXBleG1sLnhtbFBLBQYAAAAABgAGAFsBAACz&#10;AwAAAAA=&#10;">
                          <v:fill on="f" focussize="0,0"/>
                          <v:stroke weight="1pt" color="#000000 [3213]" joinstyle="round" endarrow="classic" endarrowlength="long"/>
                          <v:imagedata o:title=""/>
                          <o:lock v:ext="edit" aspectratio="f"/>
                        </v:shape>
                      </v:group>
                      <v:rect id="_x0000_s1026" o:spid="_x0000_s1026" o:spt="1" style="position:absolute;left:1657985;top:286385;height:335280;width:861060;v-text-anchor:middle;" filled="f" stroked="t" coordsize="21600,21600" o:gfxdata="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T5Vc9tUAAAAFAQAADwAAAAAAAAABACAAAAAiAAAAZHJzL2Rvd25yZXYueG1s&#10;UEsBAhQAFAAAAAgAh07iQPFVW6JtAgAAzQQAAA4AAAAAAAAAAQAgAAAAJAEAAGRycy9lMm9Eb2Mu&#10;eG1sUEsFBgAAAAAGAAYAWQEAAAMGAAAAAA==&#10;">
                        <v:fill on="f" focussize="0,0"/>
                        <v:stroke weight="1pt" color="#000000 [3213]" joinstyle="round"/>
                        <v:imagedata o:title=""/>
                        <o:lock v:ext="edit" aspectratio="f"/>
                        <v:textbox>
                          <w:txbxContent>
                            <w:p w14:paraId="36375BEA">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液体发酵</w:t>
                              </w:r>
                            </w:p>
                          </w:txbxContent>
                        </v:textbox>
                      </v:rect>
                      <v:shape id="_x0000_s1026" o:spid="_x0000_s1026" o:spt="32" type="#_x0000_t32" style="position:absolute;left:2534285;top:446405;height:1270;width:553720;" filled="f" stroked="t" coordsize="21600,21600" o:gfxdata="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pV//NMAAAAFAQAADwAAAAAAAAABACAA&#10;AAAiAAAAZHJzL2Rvd25yZXYueG1sUEsBAhQAFAAAAAgAh07iQAoRB18SAgAA7AMAAA4AAAAAAAAA&#10;AQAgAAAAIgEAAGRycy9lMm9Eb2MueG1sUEsFBgAAAAAGAAYAWQEAAKYFAAAAAA==&#10;">
                        <v:fill on="f" focussize="0,0"/>
                        <v:stroke weight="1pt" color="#000000 [3213]" joinstyle="round" endarrow="classic" endarrowlength="long"/>
                        <v:imagedata o:title=""/>
                        <o:lock v:ext="edit" aspectratio="f"/>
                      </v:shape>
                      <v:rect id="_x0000_s1026" o:spid="_x0000_s1026" o:spt="1" style="position:absolute;left:2938145;top:27876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MhYep&#10;0wAAAAUBAAAPAAAAAAAAAAEAIAAAACIAAABkcnMvZG93bnJldi54bWxQSwECFAAUAAAACACHTuJA&#10;6J6XzF8CAACkBAAADgAAAAAAAAABACAAAAAiAQAAZHJzL2Uyb0RvYy54bWxQSwUGAAAAAAYABgBZ&#10;AQAA8wUAAAAA&#10;">
                        <v:fill on="f" focussize="0,0"/>
                        <v:stroke on="f" weight="1pt"/>
                        <v:imagedata o:title=""/>
                        <o:lock v:ext="edit" aspectratio="f"/>
                        <v:textbox>
                          <w:txbxContent>
                            <w:p w14:paraId="5B096A6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进入产品</w:t>
                              </w:r>
                            </w:p>
                          </w:txbxContent>
                        </v:textbox>
                      </v:rect>
                      <v:rect id="_x0000_s1026" o:spid="_x0000_s1026" o:spt="1" style="position:absolute;left:347345;top:1017905;height:1820545;width:328295;v-text-anchor:middle;" filled="f" stroked="t" coordsize="21600,21600" o:gfxdata="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PlVz21QAAAAUBAAAPAAAAAAAAAAEAIAAAACIAAABkcnMvZG93bnJldi54&#10;bWxQSwECFAAUAAAACACHTuJAx50Qam8CAADOBAAADgAAAAAAAAABACAAAAAkAQAAZHJzL2Uyb0Rv&#10;Yy54bWxQSwUGAAAAAAYABgBZAQAABQYAAAAA&#10;">
                        <v:fill on="f" focussize="0,0"/>
                        <v:stroke weight="1pt" color="#000000 [3213]" joinstyle="round"/>
                        <v:imagedata o:title=""/>
                        <o:lock v:ext="edit" aspectratio="f"/>
                        <v:textbox>
                          <w:txbxContent>
                            <w:p w14:paraId="2529670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新鲜用水</w:t>
                              </w:r>
                            </w:p>
                          </w:txbxContent>
                        </v:textbox>
                      </v:rect>
                      <v:shape id="_x0000_s1026" o:spid="_x0000_s1026" o:spt="32" type="#_x0000_t32" style="position:absolute;left:690245;top:1200785;height:1270;width:553720;" filled="f" stroked="t" coordsize="21600,21600" o:gfxdata="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pV//NMAAAAFAQAADwAAAAAAAAABACAA&#10;AAAiAAAAZHJzL2Rvd25yZXYueG1sUEsBAhQAFAAAAAgAh07iQBJoNv0SAgAA7AMAAA4AAAAAAAAA&#10;AQAgAAAAIgEAAGRycy9lMm9Eb2MueG1sUEsFBgAAAAAGAAYAWQEAAKYFAAAAAA==&#10;">
                        <v:fill on="f" focussize="0,0"/>
                        <v:stroke weight="1pt" color="#000000 [3213]" joinstyle="round" endarrow="classic" endarrowlength="long"/>
                        <v:imagedata o:title=""/>
                        <o:lock v:ext="edit" aspectratio="f"/>
                      </v:shape>
                      <v:shape id="_x0000_s1026" o:spid="_x0000_s1026" o:spt="32" type="#_x0000_t32" style="position:absolute;left:675005;top:1871345;height:1270;width:553720;" filled="f" stroked="t" coordsize="21600,21600" o:gfxdata="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alX/80wAAAAUBAAAPAAAAAAAAAAEAIAAA&#10;ACIAAABkcnMvZG93bnJldi54bWxQSwECFAAUAAAACACHTuJAkr9JkRECAADsAwAADgAAAAAAAAAB&#10;ACAAAAAiAQAAZHJzL2Uyb0RvYy54bWxQSwUGAAAAAAYABgBZAQAApQUAAAAA&#10;">
                        <v:fill on="f" focussize="0,0"/>
                        <v:stroke weight="1pt" color="#000000 [3213]" joinstyle="round" endarrow="classic" endarrowlength="long"/>
                        <v:imagedata o:title=""/>
                        <o:lock v:ext="edit" aspectratio="f"/>
                      </v:shape>
                      <v:shape id="_x0000_s1026" o:spid="_x0000_s1026" o:spt="32" type="#_x0000_t32" style="position:absolute;left:690245;top:2488565;height:1270;width:553720;" filled="f" stroked="t" coordsize="21600,21600" o:gfxdata="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qVf/zTAAAABQEAAA8AAAAAAAAAAQAg&#10;AAAAIgAAAGRycy9kb3ducmV2LnhtbFBLAQIUABQAAAAIAIdO4kBxdMooEwIAAOwDAAAOAAAAAAAA&#10;AAEAIAAAACIBAABkcnMvZTJvRG9jLnhtbFBLBQYAAAAABgAGAFkBAACnBQAAAAA=&#10;">
                        <v:fill on="f" focussize="0,0"/>
                        <v:stroke weight="1pt" color="#000000 [3213]" joinstyle="round" endarrow="classic" endarrowlength="long"/>
                        <v:imagedata o:title=""/>
                        <o:lock v:ext="edit" aspectratio="f"/>
                      </v:shape>
                      <v:rect id="_x0000_s1026" o:spid="_x0000_s1026" o:spt="1" style="position:absolute;left:1231265;top:1033145;height:335280;width:1332865;v-text-anchor:middle;" filled="f" stroked="t" coordsize="21600,21600" o:gfxdata="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T5Vc9tUAAAAFAQAADwAAAAAAAAABACAAAAAiAAAAZHJzL2Rvd25yZXYu&#10;eG1sUEsBAhQAFAAAAAgAh07iQKXvoHFwAgAAzwQAAA4AAAAAAAAAAQAgAAAAJAEAAGRycy9lMm9E&#10;b2MueG1sUEsFBgAAAAAGAAYAWQEAAAYGAAAAAA==&#10;">
                        <v:fill on="f" focussize="0,0"/>
                        <v:stroke weight="1pt" color="#000000 [3213]" joinstyle="round"/>
                        <v:imagedata o:title=""/>
                        <o:lock v:ext="edit" aspectratio="f"/>
                        <v:textbox>
                          <w:txbxContent>
                            <w:p w14:paraId="0C9B511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液体发酵设备清洗</w:t>
                              </w:r>
                            </w:p>
                          </w:txbxContent>
                        </v:textbox>
                      </v:rect>
                      <v:rect id="_x0000_s1026" o:spid="_x0000_s1026" o:spt="1" style="position:absolute;left:1216025;top:1711325;height:335280;width:1310640;v-text-anchor:middle;" filled="f" stroked="t" coordsize="21600,21600" o:gfxdata="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PlVz21QAAAAUBAAAPAAAAAAAAAAEAIAAAACIAAABkcnMvZG93bnJldi54bWxQ&#10;SwECFAAUAAAACACHTuJAkD46BWwCAADPBAAADgAAAAAAAAABACAAAAAkAQAAZHJzL2Uyb0RvYy54&#10;bWxQSwUGAAAAAAYABgBZAQAAAgYAAAAA&#10;">
                        <v:fill on="f" focussize="0,0"/>
                        <v:stroke weight="1pt" color="#000000 [3213]" joinstyle="round"/>
                        <v:imagedata o:title=""/>
                        <o:lock v:ext="edit" aspectratio="f"/>
                        <v:textbox>
                          <w:txbxContent>
                            <w:p w14:paraId="095BE2D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固体发酵地面清洗</w:t>
                              </w:r>
                            </w:p>
                          </w:txbxContent>
                        </v:textbox>
                      </v:rect>
                      <v:rect id="_x0000_s1026" o:spid="_x0000_s1026" o:spt="1" style="position:absolute;left:911225;top:19494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MhYep&#10;0wAAAAUBAAAPAAAAAAAAAAEAIAAAACIAAABkcnMvZG93bnJldi54bWxQSwECFAAUAAAACACHTuJA&#10;FGC4fl8CAACjBAAADgAAAAAAAAABACAAAAAiAQAAZHJzL2Uyb0RvYy54bWxQSwUGAAAAAAYABgBZ&#10;AQAA8wUAAAAA&#10;">
                        <v:fill on="f" focussize="0,0"/>
                        <v:stroke on="f" weight="1pt"/>
                        <v:imagedata o:title=""/>
                        <o:lock v:ext="edit" aspectratio="f"/>
                        <v:textbox>
                          <w:txbxContent>
                            <w:p w14:paraId="4B4B84BA">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42.9</w:t>
                              </w:r>
                            </w:p>
                          </w:txbxContent>
                        </v:textbox>
                      </v:rect>
                      <v:rect id="_x0000_s1026" o:spid="_x0000_s1026" o:spt="1" style="position:absolute;left:2351405;top:17970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jIWHqdMA&#10;AAAFAQAADwAAAAAAAAABACAAAAAiAAAAZHJzL2Rvd25yZXYueG1sUEsBAhQAFAAAAAgAh07iQEXl&#10;0MxdAgAApAQAAA4AAAAAAAAAAQAgAAAAIgEAAGRycy9lMm9Eb2MueG1sUEsFBgAAAAAGAAYAWQEA&#10;APEFAAAAAA==&#10;">
                        <v:fill on="f" focussize="0,0"/>
                        <v:stroke on="f" weight="1pt"/>
                        <v:imagedata o:title=""/>
                        <o:lock v:ext="edit" aspectratio="f"/>
                        <v:textbox>
                          <w:txbxContent>
                            <w:p w14:paraId="032932C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42.9</w:t>
                              </w:r>
                            </w:p>
                          </w:txbxContent>
                        </v:textbox>
                      </v:rect>
                      <v:shape id="_x0000_s1026" o:spid="_x0000_s1026" o:spt="32" type="#_x0000_t32" style="position:absolute;left:2572385;top:1177925;height:1270;width:553720;" filled="f" stroked="t" coordsize="21600,21600" o:gfxdata="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pV//NMAAAAFAQAADwAAAAAAAAABACAA&#10;AAAiAAAAZHJzL2Rvd25yZXYueG1sUEsBAhQAFAAAAAgAh07iQDB9XrASAgAA7QMAAA4AAAAAAAAA&#10;AQAgAAAAIgEAAGRycy9lMm9Eb2MueG1sUEsFBgAAAAAGAAYAWQEAAKYFAAAAAA==&#10;">
                        <v:fill on="f" focussize="0,0"/>
                        <v:stroke weight="1pt" color="#000000 [3213]" joinstyle="round" endarrow="classic" endarrowlength="long"/>
                        <v:imagedata o:title=""/>
                        <o:lock v:ext="edit" aspectratio="f"/>
                      </v:shape>
                      <v:shape id="_x0000_s1026" o:spid="_x0000_s1026" o:spt="32" type="#_x0000_t32" style="position:absolute;left:2541905;top:1871345;height:1270;width:553720;" filled="f" stroked="t" coordsize="21600,21600" o:gfxdata="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qVf/zTAAAABQEAAA8AAAAAAAAAAQAg&#10;AAAAIgAAAGRycy9kb3ducmV2LnhtbFBLAQIUABQAAAAIAIdO4kD5nkqwEwIAAO0DAAAOAAAAAAAA&#10;AAEAIAAAACIBAABkcnMvZTJvRG9jLnhtbFBLBQYAAAAABgAGAFkBAACnBQAAAAA=&#10;">
                        <v:fill on="f" focussize="0,0"/>
                        <v:stroke weight="1pt" color="#000000 [3213]" joinstyle="round" endarrow="classic" endarrowlength="long"/>
                        <v:imagedata o:title=""/>
                        <o:lock v:ext="edit" aspectratio="f"/>
                      </v:shape>
                      <v:rect id="_x0000_s1026" o:spid="_x0000_s1026" o:spt="1" style="position:absolute;left:3121025;top:911225;height:3213735;width:328295;v-text-anchor:middle;" filled="f" stroked="t" coordsize="21600,21600" o:gfxdata="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E+VXPbVAAAABQEAAA8AAAAAAAAAAQAgAAAAIgAAAGRycy9kb3ducmV2Lnht&#10;bFBLAQIUABQAAAAIAIdO4kBz5+AabgIAAM4EAAAOAAAAAAAAAAEAIAAAACQBAABkcnMvZTJvRG9j&#10;LnhtbFBLBQYAAAAABgAGAFkBAAAEBgAAAAA=&#10;">
                        <v:fill on="f" focussize="0,0"/>
                        <v:stroke weight="1pt" color="#000000 [3213]" joinstyle="round"/>
                        <v:imagedata o:title=""/>
                        <o:lock v:ext="edit" aspectratio="f"/>
                        <v:textbox>
                          <w:txbxContent>
                            <w:p w14:paraId="4BC20B6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污水处理站</w:t>
                              </w:r>
                            </w:p>
                          </w:txbxContent>
                        </v:textbox>
                      </v:rect>
                      <v:rect id="_x0000_s1026" o:spid="_x0000_s1026" o:spt="1" style="position:absolute;left:1223645;top:2336165;height:335280;width:823595;v-text-anchor:middle;" filled="f" stroked="t" coordsize="21600,21600" o:gfxdata="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E+VXPbVAAAABQEAAA8AAAAAAAAAAQAgAAAAIgAAAGRycy9kb3ducmV2&#10;LnhtbFBLAQIUABQAAAAIAIdO4kB95+a2cQIAAM4EAAAOAAAAAAAAAAEAIAAAACQBAABkcnMvZTJv&#10;RG9jLnhtbFBLBQYAAAAABgAGAFkBAAAHBgAAAAA=&#10;">
                        <v:fill on="f" focussize="0,0"/>
                        <v:stroke weight="1pt" color="#000000 [3213]" joinstyle="round"/>
                        <v:imagedata o:title=""/>
                        <o:lock v:ext="edit" aspectratio="f"/>
                        <v:textbox>
                          <w:txbxContent>
                            <w:p w14:paraId="7E8CB8B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纯水制备</w:t>
                              </w:r>
                            </w:p>
                          </w:txbxContent>
                        </v:textbox>
                      </v:rect>
                      <v:rect id="_x0000_s1026" o:spid="_x0000_s1026" o:spt="1" style="position:absolute;left:1231265;top:3060065;height:335280;width:823595;v-text-anchor:middle;" filled="f" stroked="t" coordsize="21600,21600" o:gfxdata="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PlVz21QAAAAUBAAAPAAAAAAAAAAEAIAAAACIAAABkcnMvZG93bnJldi54&#10;bWxQSwECFAAUAAAACACHTuJAGJ1SfG8CAADOBAAADgAAAAAAAAABACAAAAAkAQAAZHJzL2Uyb0Rv&#10;Yy54bWxQSwUGAAAAAAYABgBZAQAABQYAAAAA&#10;">
                        <v:fill on="f" focussize="0,0"/>
                        <v:stroke weight="1pt" color="#000000 [3213]" joinstyle="round"/>
                        <v:imagedata o:title=""/>
                        <o:lock v:ext="edit" aspectratio="f"/>
                        <v:textbox>
                          <w:txbxContent>
                            <w:p w14:paraId="4A5BF1DD">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实验用水</w:t>
                              </w:r>
                            </w:p>
                          </w:txbxContent>
                        </v:textbox>
                      </v:rect>
                      <v:shape id="_x0000_s1026" o:spid="_x0000_s1026" o:spt="32" type="#_x0000_t32" style="position:absolute;left:1663065;top:2659380;flip:x;height:394335;width:1905;" filled="f" stroked="t" coordsize="21600,21600" o:gfxdata="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oAIfntYAAAAFAQAA&#10;DwAAAAAAAAABACAAAAAiAAAAZHJzL2Rvd25yZXYueG1sUEsBAhQAFAAAAAgAh07iQA6k1VYbAgAA&#10;9wMAAA4AAAAAAAAAAQAgAAAAJQEAAGRycy9lMm9Eb2MueG1sUEsFBgAAAAAGAAYAWQEAALIFAAAA&#10;AA==&#10;">
                        <v:fill on="f" focussize="0,0"/>
                        <v:stroke weight="1pt" color="#000000 [3213]" joinstyle="round" endarrow="classic" endarrowlength="long"/>
                        <v:imagedata o:title=""/>
                        <o:lock v:ext="edit" aspectratio="f"/>
                      </v:shape>
                      <v:shape id="_x0000_s1026" o:spid="_x0000_s1026" o:spt="32" type="#_x0000_t32" style="position:absolute;left:2046605;top:2503805;height:3175;width:1050925;" filled="f" stroked="t" coordsize="21600,21600" o:gfxdata="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mpV//NMAAAAFAQAADwAAAAAAAAAB&#10;ACAAAAAiAAAAZHJzL2Rvd25yZXYueG1sUEsBAhQAFAAAAAgAh07iQKJuBAgVAgAA7gMAAA4AAAAA&#10;AAAAAQAgAAAAIgEAAGRycy9lMm9Eb2MueG1sUEsFBgAAAAAGAAYAWQEAAKkFAAAAAA==&#10;">
                        <v:fill on="f" focussize="0,0"/>
                        <v:stroke weight="1pt" color="#000000 [3213]" joinstyle="round" endarrow="classic" endarrowlength="long"/>
                        <v:imagedata o:title=""/>
                        <o:lock v:ext="edit" aspectratio="f"/>
                      </v:shape>
                      <v:shape id="_x0000_s1026" o:spid="_x0000_s1026" o:spt="32" type="#_x0000_t32" style="position:absolute;left:2077085;top:3227705;height:3175;width:1050925;" filled="f" stroked="t" coordsize="21600,21600" o:gfxdata="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alX/80wAAAAUBAAAPAAAAAAAAAAEA&#10;IAAAACIAAABkcnMvZG93bnJldi54bWxQSwECFAAUAAAACACHTuJApkvV7BQCAADuAwAADgAAAAAA&#10;AAABACAAAAAiAQAAZHJzL2Uyb0RvYy54bWxQSwUGAAAAAAYABgBZAQAAqAUAAAAA&#10;">
                        <v:fill on="f" focussize="0,0"/>
                        <v:stroke weight="1pt" color="#000000 [3213]" joinstyle="round" endarrow="classic" endarrowlength="long"/>
                        <v:imagedata o:title=""/>
                        <o:lock v:ext="edit" aspectratio="f"/>
                      </v:shape>
                      <v:rect id="_x0000_s1026" o:spid="_x0000_s1026" o:spt="1" style="position:absolute;left:1505585;top:3662045;height:335280;width:823595;v-text-anchor:middle;" filled="f" stroked="t" coordsize="21600,21600" o:gfxdata="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E+VXPbVAAAABQEAAA8AAAAAAAAAAQAgAAAAIgAAAGRycy9kb3ducmV2&#10;LnhtbFBLAQIUABQAAAAIAIdO4kDFN5becQIAAM4EAAAOAAAAAAAAAAEAIAAAACQBAABkcnMvZTJv&#10;RG9jLnhtbFBLBQYAAAAABgAGAFkBAAAHBgAAAAA=&#10;">
                        <v:fill on="f" focussize="0,0"/>
                        <v:stroke weight="1pt" color="#000000 [3213]" joinstyle="round"/>
                        <v:imagedata o:title=""/>
                        <o:lock v:ext="edit" aspectratio="f"/>
                        <v:textbox>
                          <w:txbxContent>
                            <w:p w14:paraId="4169D528">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渗滤液</w:t>
                              </w:r>
                            </w:p>
                          </w:txbxContent>
                        </v:textbox>
                      </v:rect>
                      <v:shape id="_x0000_s1026" o:spid="_x0000_s1026" o:spt="32" type="#_x0000_t32" style="position:absolute;left:2350770;top:3840480;flip:y;height:4445;width:769620;" filled="f" stroked="t" coordsize="21600,21600" o:gfxdata="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oAIfntYAAAAFAQAA&#10;DwAAAAAAAAABACAAAAAiAAAAZHJzL2Rvd25yZXYueG1sUEsBAhQAFAAAAAgAh07iQL+MqPQbAgAA&#10;9wMAAA4AAAAAAAAAAQAgAAAAJQEAAGRycy9lMm9Eb2MueG1sUEsFBgAAAAAGAAYAWQEAALIFAAAA&#10;AA==&#10;">
                        <v:fill on="f" focussize="0,0"/>
                        <v:stroke weight="1pt" color="#000000 [3213]" joinstyle="round" endarrow="classic" endarrowlength="long"/>
                        <v:imagedata o:title=""/>
                        <o:lock v:ext="edit" aspectratio="f"/>
                      </v:shape>
                      <v:rect id="_x0000_s1026" o:spid="_x0000_s1026" o:spt="1" style="position:absolute;left:476885;top:94932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MhYep&#10;0wAAAAUBAAAPAAAAAAAAAAEAIAAAACIAAABkcnMvZG93bnJldi54bWxQSwECFAAUAAAACACHTuJA&#10;Ck5N9V8CAACjBAAADgAAAAAAAAABACAAAAAiAQAAZHJzL2Uyb0RvYy54bWxQSwUGAAAAAAYABgBZ&#10;AQAA8wUAAAAA&#10;">
                        <v:fill on="f" focussize="0,0"/>
                        <v:stroke on="f" weight="1pt"/>
                        <v:imagedata o:title=""/>
                        <o:lock v:ext="edit" aspectratio="f"/>
                        <v:textbox>
                          <w:txbxContent>
                            <w:p w14:paraId="14BB1D1D">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1.45</w:t>
                              </w:r>
                            </w:p>
                          </w:txbxContent>
                        </v:textbox>
                      </v:rect>
                      <v:rect id="_x0000_s1026" o:spid="_x0000_s1026" o:spt="1" style="position:absolute;left:2397125;top:92646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IyF&#10;h6nTAAAABQEAAA8AAAAAAAAAAQAgAAAAIgAAAGRycy9kb3ducmV2LnhtbFBLAQIUABQAAAAIAIdO&#10;4kBMYNgNYQIAAKQEAAAOAAAAAAAAAAEAIAAAACIBAABkcnMvZTJvRG9jLnhtbFBLBQYAAAAABgAG&#10;AFkBAAD1BQAAAAA=&#10;">
                        <v:fill on="f" focussize="0,0"/>
                        <v:stroke on="f" weight="1pt"/>
                        <v:imagedata o:title=""/>
                        <o:lock v:ext="edit" aspectratio="f"/>
                        <v:textbox>
                          <w:txbxContent>
                            <w:p w14:paraId="7AE595A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1.16</w:t>
                              </w:r>
                            </w:p>
                          </w:txbxContent>
                        </v:textbox>
                      </v:rect>
                      <v:shape id="_x0000_s1026" o:spid="_x0000_s1026" o:spt="37" type="#_x0000_t37" style="position:absolute;left:1923415;top:796925;height:262255;width:210185;rotation:-5898240f;" filled="f" stroked="t" coordsize="21600,21600" o:gfxdata="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Hjm9T1wAAAAUBAAAPAAAAAAAAAAEAIAAAACIAAABkcnMvZG93bnJldi54bWxQSwECFAAU&#10;AAAACACHTuJAo2IqBSsCAAAdBAAADgAAAAAAAAABACAAAAAmAQAAZHJzL2Uyb0RvYy54bWxQSwUG&#10;AAAAAAYABgBZAQAAwwUAAAAA&#10;">
                        <v:fill on="f" focussize="0,0"/>
                        <v:stroke weight="1pt" color="#000000 [3213]" joinstyle="round" endarrow="classic" endarrowlength="long"/>
                        <v:imagedata o:title=""/>
                        <o:lock v:ext="edit" aspectratio="f"/>
                      </v:shape>
                      <v:rect id="_x0000_s1026" o:spid="_x0000_s1026" o:spt="1" style="position:absolute;left:1878965;top:62928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IyF&#10;h6nTAAAABQEAAA8AAAAAAAAAAQAgAAAAIgAAAGRycy9kb3ducmV2LnhtbFBLAQIUABQAAAAIAIdO&#10;4kD8S0SuYQIAAKQEAAAOAAAAAAAAAAEAIAAAACIBAABkcnMvZTJvRG9jLnhtbFBLBQYAAAAABgAG&#10;AFkBAAD1BQAAAAA=&#10;">
                        <v:fill on="f" focussize="0,0"/>
                        <v:stroke on="f" weight="1pt"/>
                        <v:imagedata o:title=""/>
                        <o:lock v:ext="edit" aspectratio="f"/>
                        <v:textbox>
                          <w:txbxContent>
                            <w:p w14:paraId="4EC55F8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0.29</w:t>
                              </w:r>
                            </w:p>
                          </w:txbxContent>
                        </v:textbox>
                      </v:rect>
                      <v:rect id="_x0000_s1026" o:spid="_x0000_s1026" o:spt="1" style="position:absolute;left:522605;top:161226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IyFh6nT&#10;AAAABQEAAA8AAAAAAAAAAQAgAAAAIgAAAGRycy9kb3ducmV2LnhtbFBLAQIUABQAAAAIAIdO4kCF&#10;Kk0lXgIAAKQEAAAOAAAAAAAAAAEAIAAAACIBAABkcnMvZTJvRG9jLnhtbFBLBQYAAAAABgAGAFkB&#10;AADyBQAAAAA=&#10;">
                        <v:fill on="f" focussize="0,0"/>
                        <v:stroke on="f" weight="1pt"/>
                        <v:imagedata o:title=""/>
                        <o:lock v:ext="edit" aspectratio="f"/>
                        <v:textbox>
                          <w:txbxContent>
                            <w:p w14:paraId="1405140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0.067</w:t>
                              </w:r>
                            </w:p>
                          </w:txbxContent>
                        </v:textbox>
                      </v:rect>
                      <v:rect id="_x0000_s1026" o:spid="_x0000_s1026" o:spt="1" style="position:absolute;left:2397125;top:159702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MhYep&#10;0wAAAAUBAAAPAAAAAAAAAAEAIAAAACIAAABkcnMvZG93bnJldi54bWxQSwECFAAUAAAACACHTuJA&#10;GovIJV8CAAClBAAADgAAAAAAAAABACAAAAAiAQAAZHJzL2Uyb0RvYy54bWxQSwUGAAAAAAYABgBZ&#10;AQAA8wUAAAAA&#10;">
                        <v:fill on="f" focussize="0,0"/>
                        <v:stroke on="f" weight="1pt"/>
                        <v:imagedata o:title=""/>
                        <o:lock v:ext="edit" aspectratio="f"/>
                        <v:textbox>
                          <w:txbxContent>
                            <w:p w14:paraId="2E6260D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0.053</w:t>
                              </w:r>
                            </w:p>
                          </w:txbxContent>
                        </v:textbox>
                      </v:rect>
                      <v:rect id="_x0000_s1026" o:spid="_x0000_s1026" o:spt="1" style="position:absolute;left:1779905;top:133794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jIWH&#10;qdMAAAAFAQAADwAAAAAAAAABACAAAAAiAAAAZHJzL2Rvd25yZXYueG1sUEsBAhQAFAAAAAgAh07i&#10;QFwpb9hgAgAApQQAAA4AAAAAAAAAAQAgAAAAIgEAAGRycy9lMm9Eb2MueG1sUEsFBgAAAAAGAAYA&#10;WQEAAPQFAAAAAA==&#10;">
                        <v:fill on="f" focussize="0,0"/>
                        <v:stroke on="f" weight="1pt"/>
                        <v:imagedata o:title=""/>
                        <o:lock v:ext="edit" aspectratio="f"/>
                        <v:textbox>
                          <w:txbxContent>
                            <w:p w14:paraId="00675E6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0.014</w:t>
                              </w:r>
                            </w:p>
                          </w:txbxContent>
                        </v:textbox>
                      </v:rect>
                      <v:shape id="_x0000_s1026" o:spid="_x0000_s1026" o:spt="37" type="#_x0000_t37" style="position:absolute;left:1818005;top:1482725;height:262255;width:210185;rotation:-5898240f;" filled="f" stroked="t" coordsize="21600,21600" o:gfxdata="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eOb1PXAAAABQEAAA8A&#10;AAAAAAAAAQAgAAAAIgAAAGRycy9kb3ducmV2LnhtbFBLAQIUABQAAAAIAIdO4kD/FK4sGAIAAPYD&#10;AAAOAAAAAAAAAAEAIAAAACYBAABkcnMvZTJvRG9jLnhtbFBLBQYAAAAABgAGAFkBAACwBQAAAAA=&#10;">
                        <v:fill on="f" focussize="0,0"/>
                        <v:stroke weight="1pt" color="#000000 [3213]" joinstyle="round" endarrow="classic" endarrowlength="long"/>
                        <v:imagedata o:title=""/>
                        <o:lock v:ext="edit" aspectratio="f"/>
                      </v:shape>
                      <v:shape id="_x0000_s1026" o:spid="_x0000_s1026" o:spt="37" type="#_x0000_t37" style="position:absolute;left:1985645;top:2839085;height:262255;width:210185;rotation:-5898240f;" filled="f" stroked="t" coordsize="21600,21600" o:gfxdata="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Hjm9T1wAAAAUBAAAP&#10;AAAAAAAAAAEAIAAAACIAAABkcnMvZG93bnJldi54bWxQSwECFAAUAAAACACHTuJAcpS6jxkCAAD2&#10;AwAADgAAAAAAAAABACAAAAAmAQAAZHJzL2Uyb0RvYy54bWxQSwUGAAAAAAYABgBZAQAAsQUAAAAA&#10;">
                        <v:fill on="f" focussize="0,0"/>
                        <v:stroke weight="1pt" color="#000000 [3213]" joinstyle="round" endarrow="classic" endarrowlength="long"/>
                        <v:imagedata o:title=""/>
                        <o:lock v:ext="edit" aspectratio="f"/>
                      </v:shape>
                      <v:shape id="_x0000_s1026" o:spid="_x0000_s1026" o:spt="37" type="#_x0000_t37" style="position:absolute;left:1696085;top:2107565;height:262255;width:210185;rotation:-5898240f;" filled="f" stroked="t" coordsize="21600,21600" o:gfxdata="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jm9T1wAAAAUBAAAPAAAA&#10;AAAAAAEAIAAAACIAAABkcnMvZG93bnJldi54bWxQSwECFAAUAAAACACHTuJAy/WU1BYCAAD2AwAA&#10;DgAAAAAAAAABACAAAAAmAQAAZHJzL2Uyb0RvYy54bWxQSwUGAAAAAAYABgBZAQAArgUAAAAA&#10;">
                        <v:fill on="f" focussize="0,0"/>
                        <v:stroke weight="1pt" color="#000000 [3213]" joinstyle="round" endarrow="classic" endarrowlength="long"/>
                        <v:imagedata o:title=""/>
                        <o:lock v:ext="edit" aspectratio="f"/>
                      </v:shape>
                      <v:rect id="_x0000_s1026" o:spid="_x0000_s1026" o:spt="1" style="position:absolute;left:545465;top:220662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jIWH&#10;qdMAAAAFAQAADwAAAAAAAAABACAAAAAiAAAAZHJzL2Rvd25yZXYueG1sUEsBAhQAFAAAAAgAh07i&#10;QFbniRpgAgAApAQAAA4AAAAAAAAAAQAgAAAAIgEAAGRycy9lMm9Eb2MueG1sUEsFBgAAAAAGAAYA&#10;WQEAAPQFAAAAAA==&#10;">
                        <v:fill on="f" focussize="0,0"/>
                        <v:stroke on="f" weight="1pt"/>
                        <v:imagedata o:title=""/>
                        <o:lock v:ext="edit" aspectratio="f"/>
                        <v:textbox>
                          <w:txbxContent>
                            <w:p w14:paraId="087EBCE7">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0.22</w:t>
                              </w:r>
                            </w:p>
                          </w:txbxContent>
                        </v:textbox>
                      </v:rect>
                      <v:rect id="_x0000_s1026" o:spid="_x0000_s1026" o:spt="1" style="position:absolute;left:1383665;top:270192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jIWH&#10;qdMAAAAFAQAADwAAAAAAAAABACAAAAAiAAAAZHJzL2Rvd25yZXYueG1sUEsBAhQAFAAAAAgAh07i&#10;QBbgCppgAgAApQQAAA4AAAAAAAAAAQAgAAAAIgEAAGRycy9lMm9Eb2MueG1sUEsFBgAAAAAGAAYA&#10;WQEAAPQFAAAAAA==&#10;">
                        <v:fill on="f" focussize="0,0"/>
                        <v:stroke on="f" weight="1pt"/>
                        <v:imagedata o:title=""/>
                        <o:lock v:ext="edit" aspectratio="f"/>
                        <v:textbox>
                          <w:txbxContent>
                            <w:p w14:paraId="5AC0FC7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0.05</w:t>
                              </w:r>
                            </w:p>
                          </w:txbxContent>
                        </v:textbox>
                      </v:rect>
                      <v:rect id="_x0000_s1026" o:spid="_x0000_s1026" o:spt="1" style="position:absolute;left:2168525;top:222948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jIWH&#10;qdMAAAAFAQAADwAAAAAAAAABACAAAAAiAAAAZHJzL2Rvd25yZXYueG1sUEsBAhQAFAAAAAgAh07i&#10;QNr7khRgAgAApQQAAA4AAAAAAAAAAQAgAAAAIgEAAGRycy9lMm9Eb2MueG1sUEsFBgAAAAAGAAYA&#10;WQEAAPQFAAAAAA==&#10;">
                        <v:fill on="f" focussize="0,0"/>
                        <v:stroke on="f" weight="1pt"/>
                        <v:imagedata o:title=""/>
                        <o:lock v:ext="edit" aspectratio="f"/>
                        <v:textbox>
                          <w:txbxContent>
                            <w:p w14:paraId="32533E0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0.005</w:t>
                              </w:r>
                            </w:p>
                          </w:txbxContent>
                        </v:textbox>
                      </v:rect>
                      <v:rect id="_x0000_s1026" o:spid="_x0000_s1026" o:spt="1" style="position:absolute;left:1657985;top:194754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jIWH&#10;qdMAAAAFAQAADwAAAAAAAAABACAAAAAiAAAAZHJzL2Rvd25yZXYueG1sUEsBAhQAFAAAAAgAh07i&#10;QGeEh11gAgAApQQAAA4AAAAAAAAAAQAgAAAAIgEAAGRycy9lMm9Eb2MueG1sUEsFBgAAAAAGAAYA&#10;WQEAAPQFAAAAAA==&#10;">
                        <v:fill on="f" focussize="0,0"/>
                        <v:stroke on="f" weight="1pt"/>
                        <v:imagedata o:title=""/>
                        <o:lock v:ext="edit" aspectratio="f"/>
                        <v:textbox>
                          <w:txbxContent>
                            <w:p w14:paraId="46D34F7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0.165</w:t>
                              </w:r>
                            </w:p>
                          </w:txbxContent>
                        </v:textbox>
                      </v:rect>
                      <v:rect id="_x0000_s1026" o:spid="_x0000_s1026" o:spt="1" style="position:absolute;left:2183765;top:299148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MhYep&#10;0wAAAAUBAAAPAAAAAAAAAAEAIAAAACIAAABkcnMvZG93bnJldi54bWxQSwECFAAUAAAACACHTuJA&#10;53ANRV8CAAClBAAADgAAAAAAAAABACAAAAAiAQAAZHJzL2Uyb0RvYy54bWxQSwUGAAAAAAYABgBZ&#10;AQAA8wUAAAAA&#10;">
                        <v:fill on="f" focussize="0,0"/>
                        <v:stroke on="f" weight="1pt"/>
                        <v:imagedata o:title=""/>
                        <o:lock v:ext="edit" aspectratio="f"/>
                        <v:textbox>
                          <w:txbxContent>
                            <w:p w14:paraId="6DFA064D">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0.04</w:t>
                              </w:r>
                            </w:p>
                          </w:txbxContent>
                        </v:textbox>
                      </v:rect>
                      <v:rect id="_x0000_s1026" o:spid="_x0000_s1026" o:spt="1" style="position:absolute;left:2511425;top:355536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IyF&#10;h6nTAAAABQEAAA8AAAAAAAAAAQAgAAAAIgAAAGRycy9kb3ducmV2LnhtbFBLAQIUABQAAAAIAIdO&#10;4kC52AhTYQIAAKUEAAAOAAAAAAAAAAEAIAAAACIBAABkcnMvZTJvRG9jLnhtbFBLBQYAAAAABgAG&#10;AFkBAAD1BQAAAAA=&#10;">
                        <v:fill on="f" focussize="0,0"/>
                        <v:stroke on="f" weight="1pt"/>
                        <v:imagedata o:title=""/>
                        <o:lock v:ext="edit" aspectratio="f"/>
                        <v:textbox>
                          <w:txbxContent>
                            <w:p w14:paraId="39AC01F6">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18.24</w:t>
                              </w:r>
                            </w:p>
                          </w:txbxContent>
                        </v:textbox>
                      </v:rect>
                      <v:rect id="_x0000_s1026" o:spid="_x0000_s1026" o:spt="1" style="position:absolute;left:1932305;top:270192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MhYep&#10;0wAAAAUBAAAPAAAAAAAAAAEAIAAAACIAAABkcnMvZG93bnJldi54bWxQSwECFAAUAAAACACHTuJA&#10;ZAZ38F8CAAClBAAADgAAAAAAAAABACAAAAAiAQAAZHJzL2Uyb0RvYy54bWxQSwUGAAAAAAYABgBZ&#10;AQAA8wUAAAAA&#10;">
                        <v:fill on="f" focussize="0,0"/>
                        <v:stroke on="f" weight="1pt"/>
                        <v:imagedata o:title=""/>
                        <o:lock v:ext="edit" aspectratio="f"/>
                        <v:textbox>
                          <w:txbxContent>
                            <w:p w14:paraId="13C78C9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0.01</w:t>
                              </w:r>
                            </w:p>
                          </w:txbxContent>
                        </v:textbox>
                      </v:rect>
                      <v:rect id="_x0000_s1026" o:spid="_x0000_s1026" o:spt="1" style="position:absolute;left:57785;top:3669665;height:335280;width:899160;v-text-anchor:middle;" filled="f" stroked="t" coordsize="21600,21600" o:gfxdata="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PlVz21QAAAAUBAAAPAAAAAAAAAAEAIAAAACIAAABkcnMvZG93bnJldi54&#10;bWxQSwECFAAUAAAACACHTuJAImxPCW8CAADMBAAADgAAAAAAAAABACAAAAAkAQAAZHJzL2Uyb0Rv&#10;Yy54bWxQSwUGAAAAAAYABgBZAQAABQYAAAAA&#10;">
                        <v:fill on="f" focussize="0,0"/>
                        <v:stroke weight="1pt" color="#000000 [3213]" joinstyle="round"/>
                        <v:imagedata o:title=""/>
                        <o:lock v:ext="edit" aspectratio="f"/>
                        <v:textbox>
                          <w:txbxContent>
                            <w:p w14:paraId="1E580E4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果蔬渣发酵</w:t>
                              </w:r>
                            </w:p>
                          </w:txbxContent>
                        </v:textbox>
                      </v:rect>
                      <v:shape id="_x0000_s1026" o:spid="_x0000_s1026" o:spt="32" type="#_x0000_t32" style="position:absolute;left:979805;top:3852545;height:0;width:513715;" filled="f" stroked="t" coordsize="21600,21600" o:gfxdata="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qVf/zTAAAABQEAAA8AAAAAAAAAAQAg&#10;AAAAIgAAAGRycy9kb3ducmV2LnhtbFBLAQIUABQAAAAIAIdO4kBSvwzMEwIAAOkDAAAOAAAAAAAA&#10;AAEAIAAAACIBAABkcnMvZTJvRG9jLnhtbFBLBQYAAAAABgAGAFkBAACnBQAAAAA=&#10;">
                        <v:fill on="f" focussize="0,0"/>
                        <v:stroke weight="1pt" color="#000000 [3213]" joinstyle="round" endarrow="classic" endarrowlength="long"/>
                        <v:imagedata o:title=""/>
                        <o:lock v:ext="edit" aspectratio="f"/>
                      </v:shape>
                      <v:rect id="_x0000_s1026" o:spid="_x0000_s1026" o:spt="1" style="position:absolute;left:34925;top:4230370;height:289560;width:1363980;v-text-anchor:middle;" filled="f" stroked="t" coordsize="21600,21600" o:gfxdata="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PlVz21QAAAAUBAAAPAAAAAAAAAAEAIAAAACIAAABkcnMvZG93bnJldi54&#10;bWxQSwECFAAUAAAACACHTuJAve8gOm8CAADNBAAADgAAAAAAAAABACAAAAAkAQAAZHJzL2Uyb0Rv&#10;Yy54bWxQSwUGAAAAAAYABgBZAQAABQYAAAAA&#10;">
                        <v:fill on="f" focussize="0,0"/>
                        <v:stroke weight="1pt" color="#000000 [3213]" joinstyle="round"/>
                        <v:imagedata o:title=""/>
                        <o:lock v:ext="edit" aspectratio="f"/>
                        <v:textbox>
                          <w:txbxContent>
                            <w:p w14:paraId="58EDB6D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新鲜用水/初期雨水</w:t>
                              </w:r>
                            </w:p>
                          </w:txbxContent>
                        </v:textbox>
                      </v:rect>
                      <v:shape id="_x0000_s1026" o:spid="_x0000_s1026" o:spt="32" type="#_x0000_t32" style="position:absolute;left:1421765;top:4363085;height:0;width:513715;" filled="f" stroked="t" coordsize="21600,21600" o:gfxdata="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alX/80wAAAAUBAAAPAAAAAAAAAAEA&#10;IAAAACIAAABkcnMvZG93bnJldi54bWxQSwECFAAUAAAACACHTuJAW+xcvBQCAADqAwAADgAAAAAA&#10;AAABACAAAAAiAQAAZHJzL2Uyb0RvYy54bWxQSwUGAAAAAAYABgBZAQAAqAUAAAAA&#10;">
                        <v:fill on="f" focussize="0,0"/>
                        <v:stroke weight="1pt" color="#000000 [3213]" joinstyle="round" endarrow="classic" endarrowlength="long"/>
                        <v:imagedata o:title=""/>
                        <o:lock v:ext="edit" aspectratio="f"/>
                      </v:shape>
                      <v:rect id="_x0000_s1026" o:spid="_x0000_s1026" o:spt="1" style="position:absolute;left:1962785;top:4195445;height:335280;width:823595;v-text-anchor:middle;" filled="f" stroked="t" coordsize="21600,21600" o:gfxdata="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PlVz21QAAAAUBAAAPAAAAAAAAAAEAIAAAACIAAABkcnMvZG93bnJl&#10;di54bWxQSwECFAAUAAAACACHTuJAzmQeDnICAADOBAAADgAAAAAAAAABACAAAAAkAQAAZHJzL2Uy&#10;b0RvYy54bWxQSwUGAAAAAAYABgBZAQAACAYAAAAA&#10;">
                        <v:fill on="f" focussize="0,0"/>
                        <v:stroke weight="1pt" color="#000000 [3213]" joinstyle="round"/>
                        <v:imagedata o:title=""/>
                        <o:lock v:ext="edit" aspectratio="f"/>
                        <v:textbox>
                          <w:txbxContent>
                            <w:p w14:paraId="5444FB4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道路降尘</w:t>
                              </w:r>
                            </w:p>
                          </w:txbxContent>
                        </v:textbox>
                      </v:rect>
                      <v:shape id="_x0000_s1026" o:spid="_x0000_s1026" o:spt="32" type="#_x0000_t32" style="position:absolute;left:2793365;top:4363085;height:0;width:513715;" filled="f" stroked="t" coordsize="21600,21600" o:gfxdata="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mpV//NMAAAAFAQAADwAAAAAAAAAB&#10;ACAAAAAiAAAAZHJzL2Rvd25yZXYueG1sUEsBAhQAFAAAAAgAh07iQDDvL0kVAgAA6gMAAA4AAAAA&#10;AAAAAQAgAAAAIgEAAGRycy9lMm9Eb2MueG1sUEsFBgAAAAAGAAYAWQEAAKkFAAAAAA==&#10;">
                        <v:fill on="f" focussize="0,0"/>
                        <v:stroke weight="1pt" color="#000000 [3213]" joinstyle="round" endarrow="classic" endarrowlength="long"/>
                        <v:imagedata o:title=""/>
                        <o:lock v:ext="edit" aspectratio="f"/>
                      </v:shape>
                      <v:rect id="_x0000_s1026" o:spid="_x0000_s1026" o:spt="1" style="position:absolute;left:3227705;top:421068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IyF&#10;h6nTAAAABQEAAA8AAAAAAAAAAQAgAAAAIgAAAGRycy9kb3ducmV2LnhtbFBLAQIUABQAAAAIAIdO&#10;4kD8+TsKYQIAAKUEAAAOAAAAAAAAAAEAIAAAACIBAABkcnMvZTJvRG9jLnhtbFBLBQYAAAAABgAG&#10;AFkBAAD1BQAAAAA=&#10;">
                        <v:fill on="f" focussize="0,0"/>
                        <v:stroke on="f" weight="1pt"/>
                        <v:imagedata o:title=""/>
                        <o:lock v:ext="edit" aspectratio="f"/>
                        <v:textbox>
                          <w:txbxContent>
                            <w:p w14:paraId="39657822">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蒸发</w:t>
                              </w:r>
                            </w:p>
                          </w:txbxContent>
                        </v:textbox>
                      </v:rect>
                      <v:shape id="_x0000_s1026" o:spid="_x0000_s1026" o:spt="32" type="#_x0000_t32" style="position:absolute;left:3448685;top:2511425;height:0;width:513715;" filled="f" stroked="t" coordsize="21600,21600" o:gfxdata="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alX/80wAAAAUBAAAPAAAAAAAAAAEA&#10;IAAAACIAAABkcnMvZG93bnJldi54bWxQSwECFAAUAAAACACHTuJAv1E/+hQCAADqAwAADgAAAAAA&#10;AAABACAAAAAiAQAAZHJzL2Uyb0RvYy54bWxQSwUGAAAAAAYABgBZAQAAqAUAAAAA&#10;">
                        <v:fill on="f" focussize="0,0"/>
                        <v:stroke weight="1pt" color="#000000 [3213]" joinstyle="round" endarrow="classic" endarrowlength="long"/>
                        <v:imagedata o:title=""/>
                        <o:lock v:ext="edit" aspectratio="f"/>
                      </v:shape>
                      <v:rect id="_x0000_s1026" o:spid="_x0000_s1026" o:spt="1" style="position:absolute;left:3943985;top:911225;height:3213735;width:328295;v-text-anchor:middle;" filled="f" stroked="t" coordsize="21600,21600" o:gfxdata="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PlVz21QAAAAUBAAAPAAAAAAAAAAEAIAAAACIAAABkcnMvZG93bnJl&#10;di54bWxQSwECFAAUAAAACACHTuJAWLkNCHICAADOBAAADgAAAAAAAAABACAAAAAkAQAAZHJzL2Uy&#10;b0RvYy54bWxQSwUGAAAAAAYABgBZAQAACAYAAAAA&#10;">
                        <v:fill on="f" focussize="0,0"/>
                        <v:stroke weight="1pt" color="#000000 [3213]" joinstyle="round"/>
                        <v:imagedata o:title=""/>
                        <o:lock v:ext="edit" aspectratio="f"/>
                        <v:textbox>
                          <w:txbxContent>
                            <w:p w14:paraId="2F1BC47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寻甸污水处理厂</w:t>
                              </w:r>
                            </w:p>
                          </w:txbxContent>
                        </v:textbox>
                      </v:rect>
                      <v:rect id="_x0000_s1026" o:spid="_x0000_s1026" o:spt="1" style="position:absolute;left:3303905;top:2229485;height:335280;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IyF&#10;h6nTAAAABQEAAA8AAAAAAAAAAQAgAAAAIgAAAGRycy9kb3ducmV2LnhtbFBLAQIUABQAAAAIAIdO&#10;4kBTTloNYQIAAKUEAAAOAAAAAAAAAAEAIAAAACIBAABkcnMvZTJvRG9jLnhtbFBLBQYAAAAABgAG&#10;AFkBAAD1BQAAAAA=&#10;">
                        <v:fill on="f" focussize="0,0"/>
                        <v:stroke on="f" weight="1pt"/>
                        <v:imagedata o:title=""/>
                        <o:lock v:ext="edit" aspectratio="f"/>
                        <v:textbox>
                          <w:txbxContent>
                            <w:p w14:paraId="3FE763CA">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19.498</w:t>
                              </w:r>
                            </w:p>
                          </w:txbxContent>
                        </v:textbox>
                      </v:rect>
                      <v:rect id="_x0000_s1026" o:spid="_x0000_s1026" o:spt="1" style="position:absolute;left:1269365;top:4142105;height:464185;width:861060;v-text-anchor:middle;" filled="f" stroked="f" coordsize="21600,21600" o:gfxdata="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jIWH&#10;qdMAAAAFAQAADwAAAAAAAAABACAAAAAiAAAAZHJzL2Rvd25yZXYueG1sUEsBAhQAFAAAAAgAh07i&#10;QESEV0lgAgAApQQAAA4AAAAAAAAAAQAgAAAAIgEAAGRycy9lMm9Eb2MueG1sUEsFBgAAAAAGAAYA&#10;WQEAAPQFAAAAAA==&#10;">
                        <v:fill on="f" focussize="0,0"/>
                        <v:stroke on="f" weight="1pt"/>
                        <v:imagedata o:title=""/>
                        <o:lock v:ext="edit" aspectratio="f"/>
                        <v:textbox>
                          <w:txbxContent>
                            <w:p w14:paraId="0E9ABBFF">
                              <w:pPr>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3.15</w:t>
                              </w:r>
                            </w:p>
                            <w:p w14:paraId="350B4F8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（晴天）</w:t>
                              </w:r>
                            </w:p>
                          </w:txbxContent>
                        </v:textbox>
                      </v:rect>
                      <w10:wrap type="none"/>
                      <w10:anchorlock/>
                    </v:group>
                  </w:pict>
                </mc:Fallback>
              </mc:AlternateContent>
            </w:r>
          </w:p>
          <w:p w14:paraId="1514B48B">
            <w:pPr>
              <w:ind w:firstLine="422" w:firstLineChars="200"/>
              <w:jc w:val="center"/>
              <w:rPr>
                <w:rFonts w:hint="default" w:eastAsia="宋体"/>
                <w:b/>
                <w:bCs w:val="0"/>
                <w:color w:val="auto"/>
                <w:sz w:val="21"/>
                <w:szCs w:val="21"/>
                <w:highlight w:val="none"/>
                <w:lang w:val="en-US" w:eastAsia="zh-CN"/>
              </w:rPr>
            </w:pPr>
            <w:r>
              <w:rPr>
                <w:rFonts w:hint="eastAsia"/>
                <w:b/>
                <w:bCs w:val="0"/>
                <w:color w:val="auto"/>
                <w:sz w:val="21"/>
                <w:szCs w:val="21"/>
                <w:highlight w:val="none"/>
                <w:lang w:val="en-US" w:eastAsia="zh-CN"/>
              </w:rPr>
              <w:t>图2-1  本项目水量平衡（晴天）</w:t>
            </w:r>
          </w:p>
          <w:p w14:paraId="05F4D21A">
            <w:pPr>
              <w:rPr>
                <w:rFonts w:hint="eastAsia"/>
                <w:bCs/>
                <w:color w:val="auto"/>
                <w:sz w:val="24"/>
                <w:highlight w:val="none"/>
              </w:rPr>
            </w:pPr>
            <w:r>
              <w:rPr>
                <w:color w:val="auto"/>
                <w:sz w:val="24"/>
                <w:highlight w:val="none"/>
              </w:rPr>
              <mc:AlternateContent>
                <mc:Choice Requires="wpc">
                  <w:drawing>
                    <wp:inline distT="0" distB="0" distL="114300" distR="114300">
                      <wp:extent cx="5473700" cy="4007485"/>
                      <wp:effectExtent l="6350" t="6350" r="6350" b="9525"/>
                      <wp:docPr id="230" name="画布 230"/>
                      <wp:cNvGraphicFramePr/>
                      <a:graphic xmlns:a="http://schemas.openxmlformats.org/drawingml/2006/main">
                        <a:graphicData uri="http://schemas.microsoft.com/office/word/2010/wordprocessingCanvas">
                          <wpc:wpc>
                            <wpc:bg/>
                            <wpc:whole>
                              <a:ln w="12700">
                                <a:solidFill>
                                  <a:schemeClr val="tx1"/>
                                </a:solidFill>
                              </a:ln>
                            </wpc:whole>
                            <wpg:wgp>
                              <wpg:cNvPr id="231" name="组合 182"/>
                              <wpg:cNvGrpSpPr/>
                              <wpg:grpSpPr>
                                <a:xfrm>
                                  <a:off x="242570" y="281305"/>
                                  <a:ext cx="1414780" cy="335280"/>
                                  <a:chOff x="382" y="443"/>
                                  <a:chExt cx="2228" cy="528"/>
                                </a:xfrm>
                              </wpg:grpSpPr>
                              <wps:wsp>
                                <wps:cNvPr id="232" name="矩形 173"/>
                                <wps:cNvSpPr/>
                                <wps:spPr>
                                  <a:xfrm>
                                    <a:off x="382" y="443"/>
                                    <a:ext cx="1356" cy="528"/>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1203AAB">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尾菜废水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33" name="直接箭头连接符 174"/>
                                <wps:cNvCnPr>
                                  <a:stCxn id="173" idx="3"/>
                                </wps:cNvCnPr>
                                <wps:spPr>
                                  <a:xfrm>
                                    <a:off x="1738" y="707"/>
                                    <a:ext cx="872" cy="2"/>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g:wgp>
                            <wps:wsp>
                              <wps:cNvPr id="234" name="矩形 175"/>
                              <wps:cNvSpPr/>
                              <wps:spPr>
                                <a:xfrm>
                                  <a:off x="1657985" y="286385"/>
                                  <a:ext cx="861060"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30D817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液体发酵</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35" name="直接箭头连接符 180"/>
                              <wps:cNvCnPr/>
                              <wps:spPr>
                                <a:xfrm>
                                  <a:off x="2534285" y="44640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36" name="矩形 181"/>
                              <wps:cNvSpPr/>
                              <wps:spPr>
                                <a:xfrm>
                                  <a:off x="2938145" y="2787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01260A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进入产品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37" name="矩形 183"/>
                              <wps:cNvSpPr/>
                              <wps:spPr>
                                <a:xfrm>
                                  <a:off x="347345" y="1017905"/>
                                  <a:ext cx="328295" cy="1820545"/>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AA0E316">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新鲜用水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38" name="直接箭头连接符 184"/>
                              <wps:cNvCnPr/>
                              <wps:spPr>
                                <a:xfrm>
                                  <a:off x="690245" y="120078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39" name="直接箭头连接符 185"/>
                              <wps:cNvCnPr/>
                              <wps:spPr>
                                <a:xfrm>
                                  <a:off x="675005" y="187134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40" name="直接箭头连接符 186"/>
                              <wps:cNvCnPr/>
                              <wps:spPr>
                                <a:xfrm>
                                  <a:off x="690245" y="248856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41" name="矩形 187"/>
                              <wps:cNvSpPr/>
                              <wps:spPr>
                                <a:xfrm>
                                  <a:off x="1231265" y="1033145"/>
                                  <a:ext cx="133286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E210F48">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液体发酵设备清洗</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2" name="矩形 188"/>
                              <wps:cNvSpPr/>
                              <wps:spPr>
                                <a:xfrm>
                                  <a:off x="1216025" y="1711325"/>
                                  <a:ext cx="1310640"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9701937">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固体发酵地面清洗</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3" name="矩形 189"/>
                              <wps:cNvSpPr/>
                              <wps:spPr>
                                <a:xfrm>
                                  <a:off x="911225" y="19494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56CF0E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42.9</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4" name="矩形 190"/>
                              <wps:cNvSpPr/>
                              <wps:spPr>
                                <a:xfrm>
                                  <a:off x="2351405" y="17970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7A84E1B">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42.9</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5" name="直接箭头连接符 191"/>
                              <wps:cNvCnPr/>
                              <wps:spPr>
                                <a:xfrm>
                                  <a:off x="2572385" y="117792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46" name="直接箭头连接符 192"/>
                              <wps:cNvCnPr/>
                              <wps:spPr>
                                <a:xfrm>
                                  <a:off x="2541905" y="187134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47" name="矩形 193"/>
                              <wps:cNvSpPr/>
                              <wps:spPr>
                                <a:xfrm>
                                  <a:off x="3121025" y="949325"/>
                                  <a:ext cx="328295" cy="3038475"/>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64E694C">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污水处理站</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8" name="矩形 194"/>
                              <wps:cNvSpPr/>
                              <wps:spPr>
                                <a:xfrm>
                                  <a:off x="1223645" y="2336165"/>
                                  <a:ext cx="82359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7192D0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纯水制备</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9" name="矩形 195"/>
                              <wps:cNvSpPr/>
                              <wps:spPr>
                                <a:xfrm>
                                  <a:off x="1231265" y="3060065"/>
                                  <a:ext cx="82359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9F3CA6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实验用水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0" name="直接箭头连接符 196"/>
                              <wps:cNvCnPr/>
                              <wps:spPr>
                                <a:xfrm flipH="1">
                                  <a:off x="1663065" y="2659380"/>
                                  <a:ext cx="1905" cy="39433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51" name="直接箭头连接符 197"/>
                              <wps:cNvCnPr/>
                              <wps:spPr>
                                <a:xfrm>
                                  <a:off x="2046605" y="2503805"/>
                                  <a:ext cx="1050925" cy="317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52" name="直接箭头连接符 198"/>
                              <wps:cNvCnPr/>
                              <wps:spPr>
                                <a:xfrm>
                                  <a:off x="2077085" y="3227705"/>
                                  <a:ext cx="1050925" cy="317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53" name="矩形 199"/>
                              <wps:cNvSpPr/>
                              <wps:spPr>
                                <a:xfrm>
                                  <a:off x="1505585" y="3524885"/>
                                  <a:ext cx="82359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DA5D20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渗滤液</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4" name="直接箭头连接符 200"/>
                              <wps:cNvCnPr/>
                              <wps:spPr>
                                <a:xfrm flipV="1">
                                  <a:off x="2350770" y="3680460"/>
                                  <a:ext cx="769620" cy="444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55" name="矩形 201"/>
                              <wps:cNvSpPr/>
                              <wps:spPr>
                                <a:xfrm>
                                  <a:off x="476885" y="9493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D884B6C">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1.45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6" name="矩形 202"/>
                              <wps:cNvSpPr/>
                              <wps:spPr>
                                <a:xfrm>
                                  <a:off x="2397125" y="9264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8EEF94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1.16</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7" name="曲线连接符 203"/>
                              <wps:cNvCnPr>
                                <a:stCxn id="187" idx="0"/>
                              </wps:cNvCnPr>
                              <wps:spPr>
                                <a:xfrm rot="16200000">
                                  <a:off x="1923415" y="79692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258" name="矩形 204"/>
                              <wps:cNvSpPr/>
                              <wps:spPr>
                                <a:xfrm>
                                  <a:off x="1878965" y="6292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6CA083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0.29</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9" name="矩形 205"/>
                              <wps:cNvSpPr/>
                              <wps:spPr>
                                <a:xfrm>
                                  <a:off x="522605" y="16122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44F126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0.067</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60" name="矩形 206"/>
                              <wps:cNvSpPr/>
                              <wps:spPr>
                                <a:xfrm>
                                  <a:off x="2397125" y="15970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5F26458">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0.053</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61" name="矩形 207"/>
                              <wps:cNvSpPr/>
                              <wps:spPr>
                                <a:xfrm>
                                  <a:off x="1779905" y="133794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2A5705D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0.014</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62" name="曲线连接符 208"/>
                              <wps:cNvCnPr/>
                              <wps:spPr>
                                <a:xfrm rot="16200000">
                                  <a:off x="1818005" y="148272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263" name="曲线连接符 210"/>
                              <wps:cNvCnPr/>
                              <wps:spPr>
                                <a:xfrm rot="16200000">
                                  <a:off x="1985645" y="283908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264" name="曲线连接符 211"/>
                              <wps:cNvCnPr/>
                              <wps:spPr>
                                <a:xfrm rot="16200000">
                                  <a:off x="1696085" y="210756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265" name="矩形 212"/>
                              <wps:cNvSpPr/>
                              <wps:spPr>
                                <a:xfrm>
                                  <a:off x="545465" y="22066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75EC7F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0.22</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66" name="矩形 213"/>
                              <wps:cNvSpPr/>
                              <wps:spPr>
                                <a:xfrm>
                                  <a:off x="1383665" y="27019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47E706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67" name="矩形 214"/>
                              <wps:cNvSpPr/>
                              <wps:spPr>
                                <a:xfrm>
                                  <a:off x="2168525" y="22294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FC4623A">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0.005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68" name="矩形 215"/>
                              <wps:cNvSpPr/>
                              <wps:spPr>
                                <a:xfrm>
                                  <a:off x="1657985" y="194754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1BC081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0.165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69" name="矩形 216"/>
                              <wps:cNvSpPr/>
                              <wps:spPr>
                                <a:xfrm>
                                  <a:off x="2183765" y="29914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464A808">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0.04</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70" name="矩形 217"/>
                              <wps:cNvSpPr/>
                              <wps:spPr>
                                <a:xfrm>
                                  <a:off x="2511425" y="34410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0F373A7">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18.24</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71" name="矩形 218"/>
                              <wps:cNvSpPr/>
                              <wps:spPr>
                                <a:xfrm>
                                  <a:off x="1932305" y="27019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FD0742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0.01</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72" name="矩形 219"/>
                              <wps:cNvSpPr/>
                              <wps:spPr>
                                <a:xfrm>
                                  <a:off x="57785" y="3517265"/>
                                  <a:ext cx="899160"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169233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果蔬渣发酵</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73" name="直接箭头连接符 220"/>
                              <wps:cNvCnPr/>
                              <wps:spPr>
                                <a:xfrm>
                                  <a:off x="979805" y="3692525"/>
                                  <a:ext cx="513715" cy="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79" name="直接箭头连接符 226"/>
                              <wps:cNvCnPr/>
                              <wps:spPr>
                                <a:xfrm>
                                  <a:off x="3448685" y="2511425"/>
                                  <a:ext cx="513715" cy="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280" name="矩形 227"/>
                              <wps:cNvSpPr/>
                              <wps:spPr>
                                <a:xfrm>
                                  <a:off x="3943985" y="964565"/>
                                  <a:ext cx="328295" cy="3023235"/>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4B418EA">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寻甸污水处理厂</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81" name="矩形 228"/>
                              <wps:cNvSpPr/>
                              <wps:spPr>
                                <a:xfrm>
                                  <a:off x="3303905" y="22294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033465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19.498</w:t>
                                    </w:r>
                                  </w:p>
                                </w:txbxContent>
                              </wps:txbx>
                              <wps:bodyPr rot="0" spcFirstLastPara="0" vertOverflow="overflow" horzOverflow="overflow" vert="horz" wrap="square" lIns="91440" tIns="45720" rIns="91440" bIns="45720" numCol="1" spcCol="0" rtlCol="0" fromWordArt="0" anchor="ctr" anchorCtr="0" forceAA="0" compatLnSpc="1">
                                <a:noAutofit/>
                              </wps:bodyPr>
                            </wps:wsp>
                          </wpc:wpc>
                        </a:graphicData>
                      </a:graphic>
                    </wp:inline>
                  </w:drawing>
                </mc:Choice>
                <mc:Fallback>
                  <w:pict>
                    <v:group id="_x0000_s1026" o:spid="_x0000_s1026" o:spt="203" style="height:315.55pt;width:431pt;" coordsize="5473700,4007485" editas="canvas" o:gfxdata="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">
                      <o:lock v:ext="edit" aspectratio="f"/>
                      <v:shape id="_x0000_s1026" o:spid="_x0000_s1026" style="position:absolute;left:0;top:0;height:4007485;width:5473700;" filled="f" stroked="t" coordsize="21600,21600" o:gfxdata="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">
                        <v:fill on="f" focussize="0,0"/>
                        <v:stroke weight="1pt" color="#000000 [3213]" joinstyle="round"/>
                        <v:imagedata o:title=""/>
                        <o:lock v:ext="edit" aspectratio="f"/>
                      </v:shape>
                      <v:group id="组合 182" o:spid="_x0000_s1026" o:spt="203" style="position:absolute;left:242570;top:281305;height:335280;width:1414780;" coordorigin="382,443" coordsize="2228,528" o:gfxdata="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">
                        <o:lock v:ext="edit" aspectratio="f"/>
                        <v:rect id="矩形 173" o:spid="_x0000_s1026" o:spt="1" style="position:absolute;left:382;top:443;height:528;width:1356;v-text-anchor:middle;" filled="f" stroked="t" coordsize="21600,21600" o:gfxdata="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3kDmr4A&#10;AADc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textbox>
                            <w:txbxContent>
                              <w:p w14:paraId="71203AAB">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尾菜废水</w:t>
                                </w:r>
                              </w:p>
                            </w:txbxContent>
                          </v:textbox>
                        </v:rect>
                        <v:shape id="直接箭头连接符 174" o:spid="_x0000_s1026" o:spt="32" type="#_x0000_t32" style="position:absolute;left:1738;top:707;height:2;width:872;" filled="f" stroked="t" coordsize="21600,21600" o:gfxdata="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84hl7sAAADc&#10;AAAADwAAAAAAAAABACAAAAAiAAAAZHJzL2Rvd25yZXYueG1sUEsBAhQAFAAAAAgAh07iQDMvBZ47&#10;AAAAOQAAABAAAAAAAAAAAQAgAAAACgEAAGRycy9zaGFwZXhtbC54bWxQSwUGAAAAAAYABgBbAQAA&#10;tAMAAAAA&#10;">
                          <v:fill on="f" focussize="0,0"/>
                          <v:stroke weight="1pt" color="#000000 [3213]" joinstyle="round" endarrow="classic" endarrowlength="long"/>
                          <v:imagedata o:title=""/>
                          <o:lock v:ext="edit" aspectratio="f"/>
                        </v:shape>
                      </v:group>
                      <v:rect id="矩形 175" o:spid="_x0000_s1026" o:spt="1" style="position:absolute;left:1657985;top:286385;height:335280;width:861060;v-text-anchor:middle;" filled="f" stroked="t" coordsize="21600,21600" o:gfxdata="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P7B1jNQAAAAFAQAADwAAAAAAAAABACAAAAAiAAAAZHJzL2Rvd25yZXYueG1s&#10;UEsBAhQAFAAAAAgAh07iQAq1kMhuAgAAzQQAAA4AAAAAAAAAAQAgAAAAIwEAAGRycy9lMm9Eb2Mu&#10;eG1sUEsFBgAAAAAGAAYAWQEAAAMGAAAAAA==&#10;">
                        <v:fill on="f" focussize="0,0"/>
                        <v:stroke weight="1pt" color="#000000 [3213]" joinstyle="round"/>
                        <v:imagedata o:title=""/>
                        <o:lock v:ext="edit" aspectratio="f"/>
                        <v:textbox>
                          <w:txbxContent>
                            <w:p w14:paraId="430D817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液体发酵</w:t>
                              </w:r>
                            </w:p>
                          </w:txbxContent>
                        </v:textbox>
                      </v:rect>
                      <v:shape id="直接箭头连接符 180" o:spid="_x0000_s1026" o:spt="32" type="#_x0000_t32" style="position:absolute;left:2534285;top:446405;height:1270;width:553720;" filled="f" stroked="t" coordsize="21600,21600" o:gfxdata="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OqwVobSAAAABQEAAA8AAAAAAAAAAQAgAAAA&#10;IgAAAGRycy9kb3ducmV2LnhtbFBLAQIUABQAAAAIAIdO4kDi0svkEQIAAOwDAAAOAAAAAAAAAAEA&#10;IAAAACEBAABkcnMvZTJvRG9jLnhtbFBLBQYAAAAABgAGAFkBAACkBQAAAAA=&#10;">
                        <v:fill on="f" focussize="0,0"/>
                        <v:stroke weight="1pt" color="#000000 [3213]" joinstyle="round" endarrow="classic" endarrowlength="long"/>
                        <v:imagedata o:title=""/>
                        <o:lock v:ext="edit" aspectratio="f"/>
                      </v:shape>
                      <v:rect id="矩形 181" o:spid="_x0000_s1026" o:spt="1" style="position:absolute;left:2938145;top:27876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8oK7T&#10;0gAAAAUBAAAPAAAAAAAAAAEAIAAAACIAAABkcnMvZG93bnJldi54bWxQSwECFAAUAAAACACHTuJA&#10;XdYqFGACAACkBAAADgAAAAAAAAABACAAAAAhAQAAZHJzL2Uyb0RvYy54bWxQSwUGAAAAAAYABgBZ&#10;AQAA8wUAAAAA&#10;">
                        <v:fill on="f" focussize="0,0"/>
                        <v:stroke on="f" weight="1pt"/>
                        <v:imagedata o:title=""/>
                        <o:lock v:ext="edit" aspectratio="f"/>
                        <v:textbox>
                          <w:txbxContent>
                            <w:p w14:paraId="001260A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进入产品</w:t>
                              </w:r>
                            </w:p>
                          </w:txbxContent>
                        </v:textbox>
                      </v:rect>
                      <v:rect id="矩形 183" o:spid="_x0000_s1026" o:spt="1" style="position:absolute;left:347345;top:1017905;height:1820545;width:328295;v-text-anchor:middle;" filled="f" stroked="t" coordsize="21600,21600" o:gfxdata="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P7B1jNQAAAAFAQAADwAAAAAAAAABACAAAAAiAAAAZHJzL2Rvd25yZXYu&#10;eG1sUEsBAhQAFAAAAAgAh07iQPM0C7NxAgAAzgQAAA4AAAAAAAAAAQAgAAAAIwEAAGRycy9lMm9E&#10;b2MueG1sUEsFBgAAAAAGAAYAWQEAAAYGAAAAAA==&#10;">
                        <v:fill on="f" focussize="0,0"/>
                        <v:stroke weight="1pt" color="#000000 [3213]" joinstyle="round"/>
                        <v:imagedata o:title=""/>
                        <o:lock v:ext="edit" aspectratio="f"/>
                        <v:textbox>
                          <w:txbxContent>
                            <w:p w14:paraId="7AA0E316">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新鲜用水</w:t>
                              </w:r>
                            </w:p>
                          </w:txbxContent>
                        </v:textbox>
                      </v:rect>
                      <v:shape id="直接箭头连接符 184" o:spid="_x0000_s1026" o:spt="32" type="#_x0000_t32" style="position:absolute;left:690245;top:1200785;height:1270;width:553720;" filled="f" stroked="t" coordsize="21600,21600" o:gfxdata="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qwVobSAAAABQEAAA8AAAAAAAAAAQAg&#10;AAAAIgAAAGRycy9kb3ducmV2LnhtbFBLAQIUABQAAAAIAIdO4kDXNpajFAIAAOwDAAAOAAAAAAAA&#10;AAEAIAAAACEBAABkcnMvZTJvRG9jLnhtbFBLBQYAAAAABgAGAFkBAACnBQAAAAA=&#10;">
                        <v:fill on="f" focussize="0,0"/>
                        <v:stroke weight="1pt" color="#000000 [3213]" joinstyle="round" endarrow="classic" endarrowlength="long"/>
                        <v:imagedata o:title=""/>
                        <o:lock v:ext="edit" aspectratio="f"/>
                      </v:shape>
                      <v:shape id="直接箭头连接符 185" o:spid="_x0000_s1026" o:spt="32" type="#_x0000_t32" style="position:absolute;left:675005;top:1871345;height:1270;width:553720;" filled="f" stroked="t" coordsize="21600,21600" o:gfxdata="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qwVobSAAAABQEAAA8AAAAAAAAAAQAg&#10;AAAAIgAAAGRycy9kb3ducmV2LnhtbFBLAQIUABQAAAAIAIdO4kBX4enPFAIAAOwDAAAOAAAAAAAA&#10;AAEAIAAAACEBAABkcnMvZTJvRG9jLnhtbFBLBQYAAAAABgAGAFkBAACnBQAAAAA=&#10;">
                        <v:fill on="f" focussize="0,0"/>
                        <v:stroke weight="1pt" color="#000000 [3213]" joinstyle="round" endarrow="classic" endarrowlength="long"/>
                        <v:imagedata o:title=""/>
                        <o:lock v:ext="edit" aspectratio="f"/>
                      </v:shape>
                      <v:shape id="直接箭头连接符 186" o:spid="_x0000_s1026" o:spt="32" type="#_x0000_t32" style="position:absolute;left:690245;top:2488565;height:1270;width:553720;" filled="f" stroked="t" coordsize="21600,21600" o:gfxdata="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qsFaG0gAAAAUBAAAPAAAAAAAAAAEAIAAA&#10;ACIAAABkcnMvZG93bnJldi54bWxQSwECFAAUAAAACACHTuJA8frwOBICAADsAwAADgAAAAAAAAAB&#10;ACAAAAAhAQAAZHJzL2Uyb0RvYy54bWxQSwUGAAAAAAYABgBZAQAApQUAAAAA&#10;">
                        <v:fill on="f" focussize="0,0"/>
                        <v:stroke weight="1pt" color="#000000 [3213]" joinstyle="round" endarrow="classic" endarrowlength="long"/>
                        <v:imagedata o:title=""/>
                        <o:lock v:ext="edit" aspectratio="f"/>
                      </v:shape>
                      <v:rect id="矩形 187" o:spid="_x0000_s1026" o:spt="1" style="position:absolute;left:1231265;top:1033145;height:335280;width:1332865;v-text-anchor:middle;" filled="f" stroked="t" coordsize="21600,21600" o:gfxdata="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P7B1jNQAAAAFAQAADwAAAAAAAAABACAAAAAiAAAAZHJzL2Rvd25yZXYu&#10;eG1sUEsBAhQAFAAAAAgAh07iQBUJ0kVxAgAAzwQAAA4AAAAAAAAAAQAgAAAAIwEAAGRycy9lMm9E&#10;b2MueG1sUEsFBgAAAAAGAAYAWQEAAAYGAAAAAA==&#10;">
                        <v:fill on="f" focussize="0,0"/>
                        <v:stroke weight="1pt" color="#000000 [3213]" joinstyle="round"/>
                        <v:imagedata o:title=""/>
                        <o:lock v:ext="edit" aspectratio="f"/>
                        <v:textbox>
                          <w:txbxContent>
                            <w:p w14:paraId="2E210F48">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液体发酵设备清洗</w:t>
                              </w:r>
                            </w:p>
                          </w:txbxContent>
                        </v:textbox>
                      </v:rect>
                      <v:rect id="矩形 188" o:spid="_x0000_s1026" o:spt="1" style="position:absolute;left:1216025;top:1711325;height:335280;width:1310640;v-text-anchor:middle;" filled="f" stroked="t" coordsize="21600,21600" o:gfxdata="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D+wdYzUAAAABQEAAA8AAAAAAAAAAQAgAAAAIgAAAGRycy9kb3ducmV2Lnht&#10;bFBLAQIUABQAAAAIAIdO4kC4uGnpbwIAAM8EAAAOAAAAAAAAAAEAIAAAACMBAABkcnMvZTJvRG9j&#10;LnhtbFBLBQYAAAAABgAGAFkBAAAEBgAAAAA=&#10;">
                        <v:fill on="f" focussize="0,0"/>
                        <v:stroke weight="1pt" color="#000000 [3213]" joinstyle="round"/>
                        <v:imagedata o:title=""/>
                        <o:lock v:ext="edit" aspectratio="f"/>
                        <v:textbox>
                          <w:txbxContent>
                            <w:p w14:paraId="09701937">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固体发酵地面清洗</w:t>
                              </w:r>
                            </w:p>
                          </w:txbxContent>
                        </v:textbox>
                      </v:rect>
                      <v:rect id="矩形 189" o:spid="_x0000_s1026" o:spt="1" style="position:absolute;left:911225;top:19494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KCu&#10;09IAAAAFAQAADwAAAAAAAAABACAAAAAiAAAAZHJzL2Rvd25yZXYueG1sUEsBAhQAFAAAAAgAh07i&#10;QJwrh7phAgAAowQAAA4AAAAAAAAAAQAgAAAAIQEAAGRycy9lMm9Eb2MueG1sUEsFBgAAAAAGAAYA&#10;WQEAAPQFAAAAAA==&#10;">
                        <v:fill on="f" focussize="0,0"/>
                        <v:stroke on="f" weight="1pt"/>
                        <v:imagedata o:title=""/>
                        <o:lock v:ext="edit" aspectratio="f"/>
                        <v:textbox>
                          <w:txbxContent>
                            <w:p w14:paraId="156CF0E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42.9</w:t>
                              </w:r>
                            </w:p>
                          </w:txbxContent>
                        </v:textbox>
                      </v:rect>
                      <v:rect id="矩形 190" o:spid="_x0000_s1026" o:spt="1" style="position:absolute;left:2351405;top:17970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Cu09IA&#10;AAAFAQAADwAAAAAAAAABACAAAAAiAAAAZHJzL2Rvd25yZXYueG1sUEsBAhQAFAAAAAgAh07iQFZD&#10;tXFeAgAApAQAAA4AAAAAAAAAAQAgAAAAIQEAAGRycy9lMm9Eb2MueG1sUEsFBgAAAAAGAAYAWQEA&#10;APEFAAAAAA==&#10;">
                        <v:fill on="f" focussize="0,0"/>
                        <v:stroke on="f" weight="1pt"/>
                        <v:imagedata o:title=""/>
                        <o:lock v:ext="edit" aspectratio="f"/>
                        <v:textbox>
                          <w:txbxContent>
                            <w:p w14:paraId="77A84E1B">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42.9</w:t>
                              </w:r>
                            </w:p>
                          </w:txbxContent>
                        </v:textbox>
                      </v:rect>
                      <v:shape id="直接箭头连接符 191" o:spid="_x0000_s1026" o:spt="32" type="#_x0000_t32" style="position:absolute;left:2572385;top:1177925;height:1270;width:553720;" filled="f" stroked="t" coordsize="21600,21600" o:gfxdata="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6rBWhtIAAAAFAQAADwAAAAAAAAABACAA&#10;AAAiAAAAZHJzL2Rvd25yZXYueG1sUEsBAhQAFAAAAAgAh07iQMmI2ZYTAgAA7QMAAA4AAAAAAAAA&#10;AQAgAAAAIQEAAGRycy9lMm9Eb2MueG1sUEsFBgAAAAAGAAYAWQEAAKYFAAAAAA==&#10;">
                        <v:fill on="f" focussize="0,0"/>
                        <v:stroke weight="1pt" color="#000000 [3213]" joinstyle="round" endarrow="classic" endarrowlength="long"/>
                        <v:imagedata o:title=""/>
                        <o:lock v:ext="edit" aspectratio="f"/>
                      </v:shape>
                      <v:shape id="直接箭头连接符 192" o:spid="_x0000_s1026" o:spt="32" type="#_x0000_t32" style="position:absolute;left:2541905;top:1871345;height:1270;width:553720;" filled="f" stroked="t" coordsize="21600,21600" o:gfxdata="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qwVobSAAAABQEAAA8AAAAAAAAAAQAg&#10;AAAAIgAAAGRycy9kb3ducmV2LnhtbFBLAQIUABQAAAAIAIdO4kAAa82WFAIAAO0DAAAOAAAAAAAA&#10;AAEAIAAAACEBAABkcnMvZTJvRG9jLnhtbFBLBQYAAAAABgAGAFkBAACnBQAAAAA=&#10;">
                        <v:fill on="f" focussize="0,0"/>
                        <v:stroke weight="1pt" color="#000000 [3213]" joinstyle="round" endarrow="classic" endarrowlength="long"/>
                        <v:imagedata o:title=""/>
                        <o:lock v:ext="edit" aspectratio="f"/>
                      </v:shape>
                      <v:rect id="矩形 193" o:spid="_x0000_s1026" o:spt="1" style="position:absolute;left:3121025;top:949325;height:3038475;width:328295;v-text-anchor:middle;" filled="f" stroked="t" coordsize="21600,21600" o:gfxdata="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P7B1jNQAAAAFAQAADwAAAAAAAAABACAAAAAiAAAAZHJzL2Rvd25yZXYu&#10;eG1sUEsBAhQAFAAAAAgAh07iQENJFIxxAgAAzgQAAA4AAAAAAAAAAQAgAAAAIwEAAGRycy9lMm9E&#10;b2MueG1sUEsFBgAAAAAGAAYAWQEAAAYGAAAAAA==&#10;">
                        <v:fill on="f" focussize="0,0"/>
                        <v:stroke weight="1pt" color="#000000 [3213]" joinstyle="round"/>
                        <v:imagedata o:title=""/>
                        <o:lock v:ext="edit" aspectratio="f"/>
                        <v:textbox>
                          <w:txbxContent>
                            <w:p w14:paraId="464E694C">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污水处理站</w:t>
                              </w:r>
                            </w:p>
                          </w:txbxContent>
                        </v:textbox>
                      </v:rect>
                      <v:rect id="矩形 194" o:spid="_x0000_s1026" o:spt="1" style="position:absolute;left:1223645;top:2336165;height:335280;width:823595;v-text-anchor:middle;" filled="f" stroked="t" coordsize="21600,21600" o:gfxdata="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D+wdYzUAAAABQEAAA8AAAAAAAAAAQAgAAAAIgAAAGRycy9kb3ducmV2&#10;LnhtbFBLAQIUABQAAAAIAIdO4kA1fWA0cgIAAM4EAAAOAAAAAAAAAAEAIAAAACMBAABkcnMvZTJv&#10;RG9jLnhtbFBLBQYAAAAABgAGAFkBAAAHBgAAAAA=&#10;">
                        <v:fill on="f" focussize="0,0"/>
                        <v:stroke weight="1pt" color="#000000 [3213]" joinstyle="round"/>
                        <v:imagedata o:title=""/>
                        <o:lock v:ext="edit" aspectratio="f"/>
                        <v:textbox>
                          <w:txbxContent>
                            <w:p w14:paraId="37192D0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纯水制备</w:t>
                              </w:r>
                            </w:p>
                          </w:txbxContent>
                        </v:textbox>
                      </v:rect>
                      <v:rect id="矩形 195" o:spid="_x0000_s1026" o:spt="1" style="position:absolute;left:1231265;top:3060065;height:335280;width:823595;v-text-anchor:middle;" filled="f" stroked="t" coordsize="21600,21600" o:gfxdata="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D+wdYzUAAAABQEAAA8AAAAAAAAAAQAgAAAAIgAAAGRycy9kb3ducmV2&#10;LnhtbFBLAQIUABQAAAAIAIdO4kBQB9T+cgIAAM4EAAAOAAAAAAAAAAEAIAAAACMBAABkcnMvZTJv&#10;RG9jLnhtbFBLBQYAAAAABgAGAFkBAAAHBgAAAAA=&#10;">
                        <v:fill on="f" focussize="0,0"/>
                        <v:stroke weight="1pt" color="#000000 [3213]" joinstyle="round"/>
                        <v:imagedata o:title=""/>
                        <o:lock v:ext="edit" aspectratio="f"/>
                        <v:textbox>
                          <w:txbxContent>
                            <w:p w14:paraId="39F3CA6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实验用水</w:t>
                              </w:r>
                            </w:p>
                          </w:txbxContent>
                        </v:textbox>
                      </v:rect>
                      <v:shape id="直接箭头连接符 196" o:spid="_x0000_s1026" o:spt="32" type="#_x0000_t32" style="position:absolute;left:1663065;top:2659380;flip:x;height:394335;width:1905;" filled="f" stroked="t" coordsize="21600,21600" o:gfxdata="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QJzbk1AAAAAUBAAAP&#10;AAAAAAAAAAEAIAAAACIAAABkcnMvZG93bnJldi54bWxQSwECFAAUAAAACACHTuJARNNcHhwCAAD3&#10;AwAADgAAAAAAAAABACAAAAAjAQAAZHJzL2Uyb0RvYy54bWxQSwUGAAAAAAYABgBZAQAAsQUAAAAA&#10;">
                        <v:fill on="f" focussize="0,0"/>
                        <v:stroke weight="1pt" color="#000000 [3213]" joinstyle="round" endarrow="classic" endarrowlength="long"/>
                        <v:imagedata o:title=""/>
                        <o:lock v:ext="edit" aspectratio="f"/>
                      </v:shape>
                      <v:shape id="直接箭头连接符 197" o:spid="_x0000_s1026" o:spt="32" type="#_x0000_t32" style="position:absolute;left:2046605;top:2503805;height:3175;width:1050925;" filled="f" stroked="t" coordsize="21600,21600" o:gfxdata="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qsFaG0gAAAAUBAAAPAAAAAAAAAAEA&#10;IAAAACIAAABkcnMvZG93bnJldi54bWxQSwECFAAUAAAACACHTuJA9EiHORUCAADuAwAADgAAAAAA&#10;AAABACAAAAAhAQAAZHJzL2Uyb0RvYy54bWxQSwUGAAAAAAYABgBZAQAAqAUAAAAA&#10;">
                        <v:fill on="f" focussize="0,0"/>
                        <v:stroke weight="1pt" color="#000000 [3213]" joinstyle="round" endarrow="classic" endarrowlength="long"/>
                        <v:imagedata o:title=""/>
                        <o:lock v:ext="edit" aspectratio="f"/>
                      </v:shape>
                      <v:shape id="直接箭头连接符 198" o:spid="_x0000_s1026" o:spt="32" type="#_x0000_t32" style="position:absolute;left:2077085;top:3227705;height:3175;width:1050925;" filled="f" stroked="t" coordsize="21600,21600" o:gfxdata="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qsFaG0gAAAAUBAAAPAAAAAAAAAAEA&#10;IAAAACIAAABkcnMvZG93bnJldi54bWxQSwECFAAUAAAACACHTuJAJa4W9xUCAADuAwAADgAAAAAA&#10;AAABACAAAAAhAQAAZHJzL2Uyb0RvYy54bWxQSwUGAAAAAAYABgBZAQAAqAUAAAAA&#10;">
                        <v:fill on="f" focussize="0,0"/>
                        <v:stroke weight="1pt" color="#000000 [3213]" joinstyle="round" endarrow="classic" endarrowlength="long"/>
                        <v:imagedata o:title=""/>
                        <o:lock v:ext="edit" aspectratio="f"/>
                      </v:shape>
                      <v:rect id="矩形 199" o:spid="_x0000_s1026" o:spt="1" style="position:absolute;left:1505585;top:3524885;height:335280;width:823595;v-text-anchor:middle;" filled="f" stroked="t" coordsize="21600,21600" o:gfxdata="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sHWM1AAAAAUBAAAPAAAAAAAAAAEAIAAAACIAAABkcnMvZG93bnJldi54&#10;bWxQSwECFAAUAAAACACHTuJA5dpeyHACAADOBAAADgAAAAAAAAABACAAAAAjAQAAZHJzL2Uyb0Rv&#10;Yy54bWxQSwUGAAAAAAYABgBZAQAABQYAAAAA&#10;">
                        <v:fill on="f" focussize="0,0"/>
                        <v:stroke weight="1pt" color="#000000 [3213]" joinstyle="round"/>
                        <v:imagedata o:title=""/>
                        <o:lock v:ext="edit" aspectratio="f"/>
                        <v:textbox>
                          <w:txbxContent>
                            <w:p w14:paraId="0DA5D20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渗滤液</w:t>
                              </w:r>
                            </w:p>
                          </w:txbxContent>
                        </v:textbox>
                      </v:rect>
                      <v:shape id="直接箭头连接符 200" o:spid="_x0000_s1026" o:spt="32" type="#_x0000_t32" style="position:absolute;left:2350770;top:3680460;flip:y;height:4445;width:769620;" filled="f" stroked="t" coordsize="21600,21600" o:gfxdata="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0Cc25NQAAAAFAQAA&#10;DwAAAAAAAAABACAAAAAiAAAAZHJzL2Rvd25yZXYueG1sUEsBAhQAFAAAAAgAh07iQLkk2w0dAgAA&#10;9wMAAA4AAAAAAAAAAQAgAAAAIwEAAGRycy9lMm9Eb2MueG1sUEsFBgAAAAAGAAYAWQEAALIFAAAA&#10;AA==&#10;">
                        <v:fill on="f" focussize="0,0"/>
                        <v:stroke weight="1pt" color="#000000 [3213]" joinstyle="round" endarrow="classic" endarrowlength="long"/>
                        <v:imagedata o:title=""/>
                        <o:lock v:ext="edit" aspectratio="f"/>
                      </v:shape>
                      <v:rect id="矩形 201" o:spid="_x0000_s1026" o:spt="1" style="position:absolute;left:476885;top:94932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KCu&#10;09IAAAAFAQAADwAAAAAAAAABACAAAAAiAAAAZHJzL2Rvd25yZXYueG1sUEsBAhQAFAAAAAgAh07i&#10;QPpwBNJhAgAAowQAAA4AAAAAAAAAAQAgAAAAIQEAAGRycy9lMm9Eb2MueG1sUEsFBgAAAAAGAAYA&#10;WQEAAPQFAAAAAA==&#10;">
                        <v:fill on="f" focussize="0,0"/>
                        <v:stroke on="f" weight="1pt"/>
                        <v:imagedata o:title=""/>
                        <o:lock v:ext="edit" aspectratio="f"/>
                        <v:textbox>
                          <w:txbxContent>
                            <w:p w14:paraId="1D884B6C">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1.45</w:t>
                              </w:r>
                            </w:p>
                          </w:txbxContent>
                        </v:textbox>
                      </v:rect>
                      <v:rect id="矩形 202" o:spid="_x0000_s1026" o:spt="1" style="position:absolute;left:2397125;top:92646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yg&#10;rtPSAAAABQEAAA8AAAAAAAAAAQAgAAAAIgAAAGRycy9kb3ducmV2LnhtbFBLAQIUABQAAAAIAIdO&#10;4kBu20KwYgIAAKQEAAAOAAAAAAAAAAEAIAAAACEBAABkcnMvZTJvRG9jLnhtbFBLBQYAAAAABgAG&#10;AFkBAAD1BQAAAAA=&#10;">
                        <v:fill on="f" focussize="0,0"/>
                        <v:stroke on="f" weight="1pt"/>
                        <v:imagedata o:title=""/>
                        <o:lock v:ext="edit" aspectratio="f"/>
                        <v:textbox>
                          <w:txbxContent>
                            <w:p w14:paraId="48EEF94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1.16</w:t>
                              </w:r>
                            </w:p>
                          </w:txbxContent>
                        </v:textbox>
                      </v:rect>
                      <v:shape id="曲线连接符 203" o:spid="_x0000_s1026" o:spt="37" type="#_x0000_t37" style="position:absolute;left:1923415;top:796925;height:262255;width:210185;rotation:-5898240f;" filled="f" stroked="t" coordsize="21600,21600" o:gfxdata="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erRinVAAAABQEAAA8AAAAAAAAAAQAgAAAAIgAAAGRycy9kb3ducmV2LnhtbFBLAQIUABQA&#10;AAAIAIdO4kDMyzYZLAIAAB0EAAAOAAAAAAAAAAEAIAAAACQBAABkcnMvZTJvRG9jLnhtbFBLBQYA&#10;AAAABgAGAFkBAADCBQAAAAA=&#10;">
                        <v:fill on="f" focussize="0,0"/>
                        <v:stroke weight="1pt" color="#000000 [3213]" joinstyle="round" endarrow="classic" endarrowlength="long"/>
                        <v:imagedata o:title=""/>
                        <o:lock v:ext="edit" aspectratio="f"/>
                      </v:shape>
                      <v:rect id="矩形 204" o:spid="_x0000_s1026" o:spt="1" style="position:absolute;left:1878965;top:62928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yg&#10;rtPSAAAABQEAAA8AAAAAAAAAAQAgAAAAIgAAAGRycy9kb3ducmV2LnhtbFBLAQIUABQAAAAIAIdO&#10;4kBybRa2YgIAAKQEAAAOAAAAAAAAAAEAIAAAACEBAABkcnMvZTJvRG9jLnhtbFBLBQYAAAAABgAG&#10;AFkBAAD1BQAAAAA=&#10;">
                        <v:fill on="f" focussize="0,0"/>
                        <v:stroke on="f" weight="1pt"/>
                        <v:imagedata o:title=""/>
                        <o:lock v:ext="edit" aspectratio="f"/>
                        <v:textbox>
                          <w:txbxContent>
                            <w:p w14:paraId="56CA083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0.29</w:t>
                              </w:r>
                            </w:p>
                          </w:txbxContent>
                        </v:textbox>
                      </v:rect>
                      <v:rect id="矩形 205" o:spid="_x0000_s1026" o:spt="1" style="position:absolute;left:522605;top:161226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8oK7T&#10;0gAAAAUBAAAPAAAAAAAAAAEAIAAAACIAAABkcnMvZG93bnJldi54bWxQSwECFAAUAAAACACHTuJA&#10;CwwfPWACAACkBAAADgAAAAAAAAABACAAAAAhAQAAZHJzL2Uyb0RvYy54bWxQSwUGAAAAAAYABgBZ&#10;AQAA8wUAAAAA&#10;">
                        <v:fill on="f" focussize="0,0"/>
                        <v:stroke on="f" weight="1pt"/>
                        <v:imagedata o:title=""/>
                        <o:lock v:ext="edit" aspectratio="f"/>
                        <v:textbox>
                          <w:txbxContent>
                            <w:p w14:paraId="444F126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0.067</w:t>
                              </w:r>
                            </w:p>
                          </w:txbxContent>
                        </v:textbox>
                      </v:rect>
                      <v:rect id="矩形 206" o:spid="_x0000_s1026" o:spt="1" style="position:absolute;left:2397125;top:159702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PygrtPS&#10;AAAABQEAAA8AAAAAAAAAAQAgAAAAIgAAAGRycy9kb3ducmV2LnhtbFBLAQIUABQAAAAIAIdO4kDd&#10;oGb1XwIAAKUEAAAOAAAAAAAAAAEAIAAAACEBAABkcnMvZTJvRG9jLnhtbFBLBQYAAAAABgAGAFkB&#10;AADyBQAAAAA=&#10;">
                        <v:fill on="f" focussize="0,0"/>
                        <v:stroke on="f" weight="1pt"/>
                        <v:imagedata o:title=""/>
                        <o:lock v:ext="edit" aspectratio="f"/>
                        <v:textbox>
                          <w:txbxContent>
                            <w:p w14:paraId="55F26458">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0.053</w:t>
                              </w:r>
                            </w:p>
                          </w:txbxContent>
                        </v:textbox>
                      </v:rect>
                      <v:rect id="矩形 207" o:spid="_x0000_s1026" o:spt="1" style="position:absolute;left:1779905;top:133794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KCu&#10;09IAAAAFAQAADwAAAAAAAAABACAAAAAiAAAAZHJzL2Rvd25yZXYueG1sUEsBAhQAFAAAAAgAh07i&#10;QJsCwQhhAgAApQQAAA4AAAAAAAAAAQAgAAAAIQEAAGRycy9lMm9Eb2MueG1sUEsFBgAAAAAGAAYA&#10;WQEAAPQFAAAAAA==&#10;">
                        <v:fill on="f" focussize="0,0"/>
                        <v:stroke on="f" weight="1pt"/>
                        <v:imagedata o:title=""/>
                        <o:lock v:ext="edit" aspectratio="f"/>
                        <v:textbox>
                          <w:txbxContent>
                            <w:p w14:paraId="2A5705D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0.014</w:t>
                              </w:r>
                            </w:p>
                          </w:txbxContent>
                        </v:textbox>
                      </v:rect>
                      <v:shape id="曲线连接符 208" o:spid="_x0000_s1026" o:spt="37" type="#_x0000_t37" style="position:absolute;left:1818005;top:1482725;height:262255;width:210185;rotation:-5898240f;" filled="f" stroked="t" coordsize="21600,21600" o:gfxdata="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96tGKdUAAAAFAQAADwAA&#10;AAAAAAABACAAAAAiAAAAZHJzL2Rvd25yZXYueG1sUEsBAhQAFAAAAAgAh07iQM6/XSQZAgAA9gMA&#10;AA4AAAAAAAAAAQAgAAAAJAEAAGRycy9lMm9Eb2MueG1sUEsFBgAAAAAGAAYAWQEAAK8FAAAAAA==&#10;">
                        <v:fill on="f" focussize="0,0"/>
                        <v:stroke weight="1pt" color="#000000 [3213]" joinstyle="round" endarrow="classic" endarrowlength="long"/>
                        <v:imagedata o:title=""/>
                        <o:lock v:ext="edit" aspectratio="f"/>
                      </v:shape>
                      <v:shape id="曲线连接符 210" o:spid="_x0000_s1026" o:spt="37" type="#_x0000_t37" style="position:absolute;left:1985645;top:2839085;height:262255;width:210185;rotation:-5898240f;" filled="f" stroked="t" coordsize="21600,21600" o:gfxdata="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erRinVAAAABQEAAA8A&#10;AAAAAAAAAQAgAAAAIgAAAGRycy9kb3ducmV2LnhtbFBLAQIUABQAAAAIAIdO4kD/rv8eGgIAAPYD&#10;AAAOAAAAAAAAAAEAIAAAACQBAABkcnMvZTJvRG9jLnhtbFBLBQYAAAAABgAGAFkBAACwBQAAAAA=&#10;">
                        <v:fill on="f" focussize="0,0"/>
                        <v:stroke weight="1pt" color="#000000 [3213]" joinstyle="round" endarrow="classic" endarrowlength="long"/>
                        <v:imagedata o:title=""/>
                        <o:lock v:ext="edit" aspectratio="f"/>
                      </v:shape>
                      <v:shape id="曲线连接符 211" o:spid="_x0000_s1026" o:spt="37" type="#_x0000_t37" style="position:absolute;left:1696085;top:2107565;height:262255;width:210185;rotation:-5898240f;" filled="f" stroked="t" coordsize="21600,21600" o:gfxdata="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3q0Yp1QAAAAUBAAAPAAAA&#10;AAAAAAEAIAAAACIAAABkcnMvZG93bnJldi54bWxQSwECFAAUAAAACACHTuJANaz5sxgCAAD2AwAA&#10;DgAAAAAAAAABACAAAAAkAQAAZHJzL2Uyb0RvYy54bWxQSwUGAAAAAAYABgBZAQAArgUAAAAA&#10;">
                        <v:fill on="f" focussize="0,0"/>
                        <v:stroke weight="1pt" color="#000000 [3213]" joinstyle="round" endarrow="classic" endarrowlength="long"/>
                        <v:imagedata o:title=""/>
                        <o:lock v:ext="edit" aspectratio="f"/>
                      </v:shape>
                      <v:rect id="矩形 212" o:spid="_x0000_s1026" o:spt="1" style="position:absolute;left:545465;top:220662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8oK7T&#10;0gAAAAUBAAAPAAAAAAAAAAEAIAAAACIAAABkcnMvZG93bnJldi54bWxQSwECFAAUAAAACACHTuJA&#10;fSEprWACAACkBAAADgAAAAAAAAABACAAAAAhAQAAZHJzL2Uyb0RvYy54bWxQSwUGAAAAAAYABgBZ&#10;AQAA8wUAAAAA&#10;">
                        <v:fill on="f" focussize="0,0"/>
                        <v:stroke on="f" weight="1pt"/>
                        <v:imagedata o:title=""/>
                        <o:lock v:ext="edit" aspectratio="f"/>
                        <v:textbox>
                          <w:txbxContent>
                            <w:p w14:paraId="075EC7F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0.22</w:t>
                              </w:r>
                            </w:p>
                          </w:txbxContent>
                        </v:textbox>
                      </v:rect>
                      <v:rect id="矩形 213" o:spid="_x0000_s1026" o:spt="1" style="position:absolute;left:1383665;top:270192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KCu&#10;09IAAAAFAQAADwAAAAAAAAABACAAAAAiAAAAZHJzL2Rvd25yZXYueG1sUEsBAhQAFAAAAAgAh07i&#10;QGdzSOxhAgAApQQAAA4AAAAAAAAAAQAgAAAAIQEAAGRycy9lMm9Eb2MueG1sUEsFBgAAAAAGAAYA&#10;WQEAAPQFAAAAAA==&#10;">
                        <v:fill on="f" focussize="0,0"/>
                        <v:stroke on="f" weight="1pt"/>
                        <v:imagedata o:title=""/>
                        <o:lock v:ext="edit" aspectratio="f"/>
                        <v:textbox>
                          <w:txbxContent>
                            <w:p w14:paraId="747E706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0.05</w:t>
                              </w:r>
                            </w:p>
                          </w:txbxContent>
                        </v:textbox>
                      </v:rect>
                      <v:rect id="矩形 214" o:spid="_x0000_s1026" o:spt="1" style="position:absolute;left:2168525;top:222948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yg&#10;rtPSAAAABQEAAA8AAAAAAAAAAQAgAAAAIgAAAGRycy9kb3ducmV2LnhtbFBLAQIUABQAAAAIAIdO&#10;4kDzMXvXYgIAAKUEAAAOAAAAAAAAAAEAIAAAACEBAABkcnMvZTJvRG9jLnhtbFBLBQYAAAAABgAG&#10;AFkBAAD1BQAAAAA=&#10;">
                        <v:fill on="f" focussize="0,0"/>
                        <v:stroke on="f" weight="1pt"/>
                        <v:imagedata o:title=""/>
                        <o:lock v:ext="edit" aspectratio="f"/>
                        <v:textbox>
                          <w:txbxContent>
                            <w:p w14:paraId="5FC4623A">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0.005</w:t>
                              </w:r>
                            </w:p>
                          </w:txbxContent>
                        </v:textbox>
                      </v:rect>
                      <v:rect id="矩形 215" o:spid="_x0000_s1026" o:spt="1" style="position:absolute;left:1657985;top:194754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yg&#10;rtPSAAAABQEAAA8AAAAAAAAAAQAgAAAAIgAAAGRycy9kb3ducmV2LnhtbFBLAQIUABQAAAAIAIdO&#10;4kBIMAD0YgIAAKUEAAAOAAAAAAAAAAEAIAAAACEBAABkcnMvZTJvRG9jLnhtbFBLBQYAAAAABgAG&#10;AFkBAAD1BQAAAAA=&#10;">
                        <v:fill on="f" focussize="0,0"/>
                        <v:stroke on="f" weight="1pt"/>
                        <v:imagedata o:title=""/>
                        <o:lock v:ext="edit" aspectratio="f"/>
                        <v:textbox>
                          <w:txbxContent>
                            <w:p w14:paraId="41BC081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0.165</w:t>
                              </w:r>
                            </w:p>
                          </w:txbxContent>
                        </v:textbox>
                      </v:rect>
                      <v:rect id="矩形 216" o:spid="_x0000_s1026" o:spt="1" style="position:absolute;left:2183765;top:299148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KCu&#10;09IAAAAFAQAADwAAAAAAAAABACAAAAAiAAAAZHJzL2Rvd25yZXYueG1sUEsBAhQAFAAAAAgAh07i&#10;QD8OwzZhAgAApQQAAA4AAAAAAAAAAQAgAAAAIQEAAGRycy9lMm9Eb2MueG1sUEsFBgAAAAAGAAYA&#10;WQEAAPQFAAAAAA==&#10;">
                        <v:fill on="f" focussize="0,0"/>
                        <v:stroke on="f" weight="1pt"/>
                        <v:imagedata o:title=""/>
                        <o:lock v:ext="edit" aspectratio="f"/>
                        <v:textbox>
                          <w:txbxContent>
                            <w:p w14:paraId="0464A808">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0.04</w:t>
                              </w:r>
                            </w:p>
                          </w:txbxContent>
                        </v:textbox>
                      </v:rect>
                      <v:rect id="矩形 217" o:spid="_x0000_s1026" o:spt="1" style="position:absolute;left:2511425;top:344106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PygrtPS&#10;AAAABQEAAA8AAAAAAAAAAQAgAAAAIgAAAGRycy9kb3ducmV2LnhtbFBLAQIUABQAAAAIAIdO4kCW&#10;aiFTXwIAAKUEAAAOAAAAAAAAAAEAIAAAACEBAABkcnMvZTJvRG9jLnhtbFBLBQYAAAAABgAGAFkB&#10;AADyBQAAAAA=&#10;">
                        <v:fill on="f" focussize="0,0"/>
                        <v:stroke on="f" weight="1pt"/>
                        <v:imagedata o:title=""/>
                        <o:lock v:ext="edit" aspectratio="f"/>
                        <v:textbox>
                          <w:txbxContent>
                            <w:p w14:paraId="70F373A7">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18.24</w:t>
                              </w:r>
                            </w:p>
                          </w:txbxContent>
                        </v:textbox>
                      </v:rect>
                      <v:rect id="矩形 218" o:spid="_x0000_s1026" o:spt="1" style="position:absolute;left:1932305;top:270192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8oK7T&#10;0gAAAAUBAAAPAAAAAAAAAAEAIAAAACIAAABkcnMvZG93bnJldi54bWxQSwECFAAUAAAACACHTuJA&#10;/jUrymACAAClBAAADgAAAAAAAAABACAAAAAhAQAAZHJzL2Uyb0RvYy54bWxQSwUGAAAAAAYABgBZ&#10;AQAA8wUAAAAA&#10;">
                        <v:fill on="f" focussize="0,0"/>
                        <v:stroke on="f" weight="1pt"/>
                        <v:imagedata o:title=""/>
                        <o:lock v:ext="edit" aspectratio="f"/>
                        <v:textbox>
                          <w:txbxContent>
                            <w:p w14:paraId="1FD0742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0.01</w:t>
                              </w:r>
                            </w:p>
                          </w:txbxContent>
                        </v:textbox>
                      </v:rect>
                      <v:rect id="矩形 219" o:spid="_x0000_s1026" o:spt="1" style="position:absolute;left:57785;top:3517265;height:335280;width:899160;v-text-anchor:middle;" filled="f" stroked="t" coordsize="21600,21600" o:gfxdata="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P7B1jNQAAAAFAQAADwAAAAAAAAABACAAAAAiAAAAZHJzL2Rvd25yZXYu&#10;eG1sUEsBAhQAFAAAAAgAh07iQOMwjyhxAgAAzAQAAA4AAAAAAAAAAQAgAAAAIwEAAGRycy9lMm9E&#10;b2MueG1sUEsFBgAAAAAGAAYAWQEAAAYGAAAAAA==&#10;">
                        <v:fill on="f" focussize="0,0"/>
                        <v:stroke weight="1pt" color="#000000 [3213]" joinstyle="round"/>
                        <v:imagedata o:title=""/>
                        <o:lock v:ext="edit" aspectratio="f"/>
                        <v:textbox>
                          <w:txbxContent>
                            <w:p w14:paraId="3169233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果蔬渣发酵</w:t>
                              </w:r>
                            </w:p>
                          </w:txbxContent>
                        </v:textbox>
                      </v:rect>
                      <v:shape id="直接箭头连接符 220" o:spid="_x0000_s1026" o:spt="32" type="#_x0000_t32" style="position:absolute;left:979805;top:3692525;height:0;width:513715;" filled="f" stroked="t" coordsize="21600,21600" o:gfxdata="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6rBWhtIAAAAFAQAADwAAAAAAAAABACAA&#10;AAAiAAAAZHJzL2Rvd25yZXYueG1sUEsBAhQAFAAAAAgAh07iQG5+qyMTAgAA6QMAAA4AAAAAAAAA&#10;AQAgAAAAIQEAAGRycy9lMm9Eb2MueG1sUEsFBgAAAAAGAAYAWQEAAKYFAAAAAA==&#10;">
                        <v:fill on="f" focussize="0,0"/>
                        <v:stroke weight="1pt" color="#000000 [3213]" joinstyle="round" endarrow="classic" endarrowlength="long"/>
                        <v:imagedata o:title=""/>
                        <o:lock v:ext="edit" aspectratio="f"/>
                      </v:shape>
                      <v:shape id="直接箭头连接符 226" o:spid="_x0000_s1026" o:spt="32" type="#_x0000_t32" style="position:absolute;left:3448685;top:2511425;height:0;width:513715;" filled="f" stroked="t" coordsize="21600,21600" o:gfxdata="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qsFaG0gAAAAUBAAAPAAAAAAAAAAEA&#10;IAAAACIAAABkcnMvZG93bnJldi54bWxQSwECFAAUAAAACACHTuJAAW4UBhUCAADqAwAADgAAAAAA&#10;AAABACAAAAAhAQAAZHJzL2Uyb0RvYy54bWxQSwUGAAAAAAYABgBZAQAAqAUAAAAA&#10;">
                        <v:fill on="f" focussize="0,0"/>
                        <v:stroke weight="1pt" color="#000000 [3213]" joinstyle="round" endarrow="classic" endarrowlength="long"/>
                        <v:imagedata o:title=""/>
                        <o:lock v:ext="edit" aspectratio="f"/>
                      </v:shape>
                      <v:rect id="矩形 227" o:spid="_x0000_s1026" o:spt="1" style="position:absolute;left:3943985;top:964565;height:3023235;width:328295;v-text-anchor:middle;" filled="f" stroked="t" coordsize="21600,21600" o:gfxdata="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sHWM1AAAAAUBAAAPAAAAAAAAAAEAIAAAACIAAABkcnMvZG93bnJl&#10;di54bWxQSwECFAAUAAAACACHTuJAaOfyFnMCAADOBAAADgAAAAAAAAABACAAAAAjAQAAZHJzL2Uy&#10;b0RvYy54bWxQSwUGAAAAAAYABgBZAQAACAYAAAAA&#10;">
                        <v:fill on="f" focussize="0,0"/>
                        <v:stroke weight="1pt" color="#000000 [3213]" joinstyle="round"/>
                        <v:imagedata o:title=""/>
                        <o:lock v:ext="edit" aspectratio="f"/>
                        <v:textbox>
                          <w:txbxContent>
                            <w:p w14:paraId="74B418EA">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寻甸污水处理厂</w:t>
                              </w:r>
                            </w:p>
                          </w:txbxContent>
                        </v:textbox>
                      </v:rect>
                      <v:rect id="矩形 228" o:spid="_x0000_s1026" o:spt="1" style="position:absolute;left:3303905;top:2229485;height:335280;width:861060;v-text-anchor:middle;" filled="f" stroked="f" coordsize="21600,21600" o:gfxdata="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yg&#10;rtPSAAAABQEAAA8AAAAAAAAAAQAgAAAAIgAAAGRycy9kb3ducmV2LnhtbFBLAQIUABQAAAAIAIdO&#10;4kD3mAz9YgIAAKUEAAAOAAAAAAAAAAEAIAAAACEBAABkcnMvZTJvRG9jLnhtbFBLBQYAAAAABgAG&#10;AFkBAAD1BQAAAAA=&#10;">
                        <v:fill on="f" focussize="0,0"/>
                        <v:stroke on="f" weight="1pt"/>
                        <v:imagedata o:title=""/>
                        <o:lock v:ext="edit" aspectratio="f"/>
                        <v:textbox>
                          <w:txbxContent>
                            <w:p w14:paraId="5033465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19.498</w:t>
                              </w:r>
                            </w:p>
                          </w:txbxContent>
                        </v:textbox>
                      </v:rect>
                      <w10:wrap type="none"/>
                      <w10:anchorlock/>
                    </v:group>
                  </w:pict>
                </mc:Fallback>
              </mc:AlternateContent>
            </w:r>
          </w:p>
          <w:p w14:paraId="05124157">
            <w:pPr>
              <w:keepNext w:val="0"/>
              <w:keepLines w:val="0"/>
              <w:pageBreakBefore w:val="0"/>
              <w:widowControl w:val="0"/>
              <w:kinsoku/>
              <w:wordWrap/>
              <w:overflowPunct/>
              <w:topLinePunct w:val="0"/>
              <w:autoSpaceDE/>
              <w:autoSpaceDN/>
              <w:bidi w:val="0"/>
              <w:adjustRightInd/>
              <w:snapToGrid/>
              <w:spacing w:line="320" w:lineRule="exact"/>
              <w:ind w:firstLine="482" w:firstLineChars="200"/>
              <w:jc w:val="center"/>
              <w:textAlignment w:val="auto"/>
              <w:rPr>
                <w:rFonts w:hint="eastAsia"/>
                <w:b/>
                <w:bCs w:val="0"/>
                <w:color w:val="auto"/>
                <w:sz w:val="24"/>
                <w:highlight w:val="none"/>
                <w:lang w:val="en-US" w:eastAsia="zh-CN"/>
              </w:rPr>
            </w:pPr>
            <w:r>
              <w:rPr>
                <w:rFonts w:hint="eastAsia"/>
                <w:b/>
                <w:bCs w:val="0"/>
                <w:color w:val="auto"/>
                <w:sz w:val="24"/>
                <w:highlight w:val="none"/>
                <w:lang w:val="en-US" w:eastAsia="zh-CN"/>
              </w:rPr>
              <w:t>图2-2  本项目水量平衡（雨天）</w:t>
            </w:r>
          </w:p>
          <w:p w14:paraId="098A60A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bCs/>
                <w:color w:val="auto"/>
                <w:sz w:val="24"/>
                <w:highlight w:val="none"/>
                <w:lang w:val="en-US" w:eastAsia="zh-CN"/>
              </w:rPr>
            </w:pPr>
            <w:r>
              <w:rPr>
                <w:color w:val="auto"/>
                <w:sz w:val="24"/>
                <w:highlight w:val="none"/>
              </w:rPr>
              <mc:AlternateContent>
                <mc:Choice Requires="wpc">
                  <w:drawing>
                    <wp:inline distT="0" distB="0" distL="114300" distR="114300">
                      <wp:extent cx="5473700" cy="7719060"/>
                      <wp:effectExtent l="6350" t="6350" r="6350" b="16510"/>
                      <wp:docPr id="330" name="画布 330"/>
                      <wp:cNvGraphicFramePr/>
                      <a:graphic xmlns:a="http://schemas.openxmlformats.org/drawingml/2006/main">
                        <a:graphicData uri="http://schemas.microsoft.com/office/word/2010/wordprocessingCanvas">
                          <wpc:wpc>
                            <wpc:bg/>
                            <wpc:whole>
                              <a:ln w="12700">
                                <a:solidFill>
                                  <a:schemeClr val="tx1"/>
                                </a:solidFill>
                              </a:ln>
                            </wpc:whole>
                            <wpg:wgp>
                              <wpg:cNvPr id="331" name="组合 182"/>
                              <wpg:cNvGrpSpPr/>
                              <wpg:grpSpPr>
                                <a:xfrm rot="0">
                                  <a:off x="1652270" y="5249545"/>
                                  <a:ext cx="1414780" cy="335280"/>
                                  <a:chOff x="382" y="443"/>
                                  <a:chExt cx="2228" cy="528"/>
                                </a:xfrm>
                              </wpg:grpSpPr>
                              <wps:wsp>
                                <wps:cNvPr id="332" name="矩形 173"/>
                                <wps:cNvSpPr/>
                                <wps:spPr>
                                  <a:xfrm>
                                    <a:off x="382" y="443"/>
                                    <a:ext cx="1356" cy="528"/>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F60AEA7">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尾菜废水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33" name="直接箭头连接符 174"/>
                                <wps:cNvCnPr>
                                  <a:stCxn id="173" idx="3"/>
                                </wps:cNvCnPr>
                                <wps:spPr>
                                  <a:xfrm>
                                    <a:off x="1738" y="707"/>
                                    <a:ext cx="872" cy="2"/>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g:wgp>
                            <wps:wsp>
                              <wps:cNvPr id="334" name="矩形 175"/>
                              <wps:cNvSpPr/>
                              <wps:spPr>
                                <a:xfrm>
                                  <a:off x="1657985" y="4614545"/>
                                  <a:ext cx="861060"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23A6FD7">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液体发酵</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35" name="直接箭头连接符 180"/>
                              <wps:cNvCnPr/>
                              <wps:spPr>
                                <a:xfrm flipH="1" flipV="1">
                                  <a:off x="2080895" y="4936490"/>
                                  <a:ext cx="3810" cy="30289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336" name="矩形 181"/>
                              <wps:cNvSpPr/>
                              <wps:spPr>
                                <a:xfrm>
                                  <a:off x="2191385" y="42030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4C41A02">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进入产品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37" name="矩形 183"/>
                              <wps:cNvSpPr/>
                              <wps:spPr>
                                <a:xfrm>
                                  <a:off x="347345" y="1017905"/>
                                  <a:ext cx="328295" cy="1820545"/>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FF2072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新鲜用水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38" name="直接箭头连接符 184"/>
                              <wps:cNvCnPr/>
                              <wps:spPr>
                                <a:xfrm>
                                  <a:off x="690245" y="120078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339" name="直接箭头连接符 185"/>
                              <wps:cNvCnPr/>
                              <wps:spPr>
                                <a:xfrm>
                                  <a:off x="675005" y="187134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340" name="直接箭头连接符 186"/>
                              <wps:cNvCnPr/>
                              <wps:spPr>
                                <a:xfrm>
                                  <a:off x="690245" y="248856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341" name="矩形 187"/>
                              <wps:cNvSpPr/>
                              <wps:spPr>
                                <a:xfrm>
                                  <a:off x="1231265" y="1033145"/>
                                  <a:ext cx="133286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44CCAB7">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液体发酵设备清洗</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42" name="矩形 188"/>
                              <wps:cNvSpPr/>
                              <wps:spPr>
                                <a:xfrm>
                                  <a:off x="1216025" y="1711325"/>
                                  <a:ext cx="1310640"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60B649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固体发酵地面清洗</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43" name="矩形 189"/>
                              <wps:cNvSpPr/>
                              <wps:spPr>
                                <a:xfrm>
                                  <a:off x="1818005" y="49650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16979F8">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42.9</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44" name="矩形 190"/>
                              <wps:cNvSpPr/>
                              <wps:spPr>
                                <a:xfrm>
                                  <a:off x="1528445" y="433260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2C7E0AA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42.9</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45" name="直接箭头连接符 191"/>
                              <wps:cNvCnPr/>
                              <wps:spPr>
                                <a:xfrm>
                                  <a:off x="2572385" y="117792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346" name="直接箭头连接符 192"/>
                              <wps:cNvCnPr/>
                              <wps:spPr>
                                <a:xfrm>
                                  <a:off x="2541905" y="187134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347" name="矩形 193"/>
                              <wps:cNvSpPr/>
                              <wps:spPr>
                                <a:xfrm>
                                  <a:off x="3121025" y="911225"/>
                                  <a:ext cx="328295" cy="5423535"/>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06D661C">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污水处理站</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48" name="矩形 194"/>
                              <wps:cNvSpPr/>
                              <wps:spPr>
                                <a:xfrm>
                                  <a:off x="1223645" y="2336165"/>
                                  <a:ext cx="82359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63206E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纯水制备</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49" name="矩形 195"/>
                              <wps:cNvSpPr/>
                              <wps:spPr>
                                <a:xfrm>
                                  <a:off x="1231265" y="3060065"/>
                                  <a:ext cx="82359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1A2A466">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实验用水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50" name="直接箭头连接符 196"/>
                              <wps:cNvCnPr/>
                              <wps:spPr>
                                <a:xfrm flipH="1">
                                  <a:off x="1663065" y="2659380"/>
                                  <a:ext cx="1905" cy="39433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351" name="直接箭头连接符 197"/>
                              <wps:cNvCnPr/>
                              <wps:spPr>
                                <a:xfrm>
                                  <a:off x="2046605" y="2503805"/>
                                  <a:ext cx="1050925" cy="317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352" name="直接箭头连接符 198"/>
                              <wps:cNvCnPr/>
                              <wps:spPr>
                                <a:xfrm>
                                  <a:off x="2077085" y="3227705"/>
                                  <a:ext cx="1050925" cy="317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353" name="矩形 199"/>
                              <wps:cNvSpPr/>
                              <wps:spPr>
                                <a:xfrm>
                                  <a:off x="1505585" y="3662045"/>
                                  <a:ext cx="82359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621F2B6">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渗滤液</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54" name="直接箭头连接符 200"/>
                              <wps:cNvCnPr/>
                              <wps:spPr>
                                <a:xfrm flipV="1">
                                  <a:off x="2350770" y="3840480"/>
                                  <a:ext cx="769620" cy="444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355" name="矩形 201"/>
                              <wps:cNvSpPr/>
                              <wps:spPr>
                                <a:xfrm>
                                  <a:off x="476885" y="9493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F62FFFC">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1.45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56" name="矩形 202"/>
                              <wps:cNvSpPr/>
                              <wps:spPr>
                                <a:xfrm>
                                  <a:off x="2397125" y="9264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D0C179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1.16</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57" name="曲线连接符 203"/>
                              <wps:cNvCnPr>
                                <a:stCxn id="187" idx="0"/>
                              </wps:cNvCnPr>
                              <wps:spPr>
                                <a:xfrm rot="16200000">
                                  <a:off x="1923415" y="79692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358" name="矩形 204"/>
                              <wps:cNvSpPr/>
                              <wps:spPr>
                                <a:xfrm>
                                  <a:off x="1878965" y="6292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F62728D">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0.29</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59" name="矩形 205"/>
                              <wps:cNvSpPr/>
                              <wps:spPr>
                                <a:xfrm>
                                  <a:off x="522605" y="16122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37E6EB0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0.067</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60" name="矩形 206"/>
                              <wps:cNvSpPr/>
                              <wps:spPr>
                                <a:xfrm>
                                  <a:off x="2397125" y="15970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2B2DC572">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0.053</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61" name="矩形 207"/>
                              <wps:cNvSpPr/>
                              <wps:spPr>
                                <a:xfrm>
                                  <a:off x="1779905" y="133794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2186030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0.014</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62" name="曲线连接符 208"/>
                              <wps:cNvCnPr/>
                              <wps:spPr>
                                <a:xfrm rot="16200000">
                                  <a:off x="1818005" y="148272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363" name="曲线连接符 210"/>
                              <wps:cNvCnPr/>
                              <wps:spPr>
                                <a:xfrm rot="16200000">
                                  <a:off x="1985645" y="283908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364" name="曲线连接符 211"/>
                              <wps:cNvCnPr/>
                              <wps:spPr>
                                <a:xfrm rot="16200000">
                                  <a:off x="1696085" y="210756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365" name="矩形 212"/>
                              <wps:cNvSpPr/>
                              <wps:spPr>
                                <a:xfrm>
                                  <a:off x="545465" y="22066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611BB89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0.22</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66" name="矩形 213"/>
                              <wps:cNvSpPr/>
                              <wps:spPr>
                                <a:xfrm>
                                  <a:off x="1383665" y="27019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6459D04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67" name="矩形 214"/>
                              <wps:cNvSpPr/>
                              <wps:spPr>
                                <a:xfrm>
                                  <a:off x="2168525" y="22294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4B1D81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0.005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68" name="矩形 215"/>
                              <wps:cNvSpPr/>
                              <wps:spPr>
                                <a:xfrm>
                                  <a:off x="1657985" y="194754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665BBBB8">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0.165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69" name="矩形 216"/>
                              <wps:cNvSpPr/>
                              <wps:spPr>
                                <a:xfrm>
                                  <a:off x="2183765" y="29914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C8BADF7">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0.04</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70" name="矩形 217"/>
                              <wps:cNvSpPr/>
                              <wps:spPr>
                                <a:xfrm>
                                  <a:off x="2511425" y="35553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0B8970E">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18.24</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71" name="矩形 218"/>
                              <wps:cNvSpPr/>
                              <wps:spPr>
                                <a:xfrm>
                                  <a:off x="1932305" y="27019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41B0EE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0.01</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72" name="矩形 219"/>
                              <wps:cNvSpPr/>
                              <wps:spPr>
                                <a:xfrm>
                                  <a:off x="57785" y="3669665"/>
                                  <a:ext cx="899160"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AF9454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果蔬渣发酵</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73" name="直接箭头连接符 220"/>
                              <wps:cNvCnPr/>
                              <wps:spPr>
                                <a:xfrm>
                                  <a:off x="979805" y="3852545"/>
                                  <a:ext cx="513715" cy="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g:wgp>
                              <wpg:cNvPr id="436" name="组合 436"/>
                              <wpg:cNvGrpSpPr/>
                              <wpg:grpSpPr>
                                <a:xfrm>
                                  <a:off x="345440" y="217805"/>
                                  <a:ext cx="4023360" cy="335280"/>
                                  <a:chOff x="127" y="6895"/>
                                  <a:chExt cx="6336" cy="528"/>
                                </a:xfrm>
                              </wpg:grpSpPr>
                              <wps:wsp>
                                <wps:cNvPr id="374" name="矩形 221"/>
                                <wps:cNvSpPr/>
                                <wps:spPr>
                                  <a:xfrm>
                                    <a:off x="127" y="6926"/>
                                    <a:ext cx="2148" cy="456"/>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D94AD2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新鲜用水/初期雨水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75" name="直接箭头连接符 222"/>
                                <wps:cNvCnPr/>
                                <wps:spPr>
                                  <a:xfrm>
                                    <a:off x="2287" y="7147"/>
                                    <a:ext cx="809" cy="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376" name="矩形 223"/>
                                <wps:cNvSpPr/>
                                <wps:spPr>
                                  <a:xfrm>
                                    <a:off x="3091" y="6895"/>
                                    <a:ext cx="1297" cy="528"/>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AEFFF02">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道路降尘</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77" name="直接箭头连接符 224"/>
                                <wps:cNvCnPr/>
                                <wps:spPr>
                                  <a:xfrm>
                                    <a:off x="4399" y="7171"/>
                                    <a:ext cx="809" cy="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378" name="矩形 225"/>
                                <wps:cNvSpPr/>
                                <wps:spPr>
                                  <a:xfrm>
                                    <a:off x="5107" y="6895"/>
                                    <a:ext cx="1356" cy="528"/>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8D8ADD8">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蒸发</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s:wsp>
                              <wps:cNvPr id="379" name="直接箭头连接符 226"/>
                              <wps:cNvCnPr/>
                              <wps:spPr>
                                <a:xfrm>
                                  <a:off x="3456305" y="3982085"/>
                                  <a:ext cx="513715" cy="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380" name="矩形 227"/>
                              <wps:cNvSpPr/>
                              <wps:spPr>
                                <a:xfrm>
                                  <a:off x="3943985" y="911225"/>
                                  <a:ext cx="328295" cy="6597015"/>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22C4C9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寻甸污水处理厂</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81" name="矩形 228"/>
                              <wps:cNvSpPr/>
                              <wps:spPr>
                                <a:xfrm>
                                  <a:off x="3258185" y="373824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C4B9527">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687.038</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82" name="矩形 229"/>
                              <wps:cNvSpPr/>
                              <wps:spPr>
                                <a:xfrm>
                                  <a:off x="1536065" y="156845"/>
                                  <a:ext cx="861060" cy="464185"/>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31EDDBC6">
                                    <w:pPr>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3.15</w:t>
                                    </w:r>
                                  </w:p>
                                  <w:p w14:paraId="7397E88D">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（晴天）</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38" name="曲线连接符 208"/>
                              <wps:cNvCnPr/>
                              <wps:spPr>
                                <a:xfrm rot="16200000">
                                  <a:off x="2115185" y="435546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439" name="矩形 189"/>
                              <wps:cNvSpPr/>
                              <wps:spPr>
                                <a:xfrm>
                                  <a:off x="2305685" y="51631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240B94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657.1</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cNvPr id="440" name="组合 182"/>
                              <wpg:cNvGrpSpPr/>
                              <wpg:grpSpPr>
                                <a:xfrm rot="0">
                                  <a:off x="797560" y="5909945"/>
                                  <a:ext cx="2320925" cy="335280"/>
                                  <a:chOff x="382" y="443"/>
                                  <a:chExt cx="2228" cy="528"/>
                                </a:xfrm>
                              </wpg:grpSpPr>
                              <wps:wsp>
                                <wps:cNvPr id="441" name="矩形 173"/>
                                <wps:cNvSpPr/>
                                <wps:spPr>
                                  <a:xfrm>
                                    <a:off x="382" y="443"/>
                                    <a:ext cx="1356" cy="528"/>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F46BB8B">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现有项目生产废水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42" name="直接箭头连接符 174"/>
                                <wps:cNvCnPr>
                                  <a:stCxn id="173" idx="3"/>
                                </wps:cNvCnPr>
                                <wps:spPr>
                                  <a:xfrm>
                                    <a:off x="1738" y="707"/>
                                    <a:ext cx="872" cy="2"/>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g:wgp>
                            <wps:wsp>
                              <wps:cNvPr id="443" name="矩形 189"/>
                              <wps:cNvSpPr/>
                              <wps:spPr>
                                <a:xfrm>
                                  <a:off x="2305685" y="581850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F9E27E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10.44</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cNvPr id="504" name="组合 182"/>
                              <wpg:cNvGrpSpPr/>
                              <wpg:grpSpPr>
                                <a:xfrm rot="0">
                                  <a:off x="415925" y="6702425"/>
                                  <a:ext cx="1930400" cy="335280"/>
                                  <a:chOff x="382" y="443"/>
                                  <a:chExt cx="1853" cy="528"/>
                                </a:xfrm>
                              </wpg:grpSpPr>
                              <wps:wsp>
                                <wps:cNvPr id="505" name="矩形 173"/>
                                <wps:cNvSpPr/>
                                <wps:spPr>
                                  <a:xfrm>
                                    <a:off x="382" y="443"/>
                                    <a:ext cx="1356" cy="528"/>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E31D680">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现有项目生活污水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06" name="直接箭头连接符 174"/>
                                <wps:cNvCnPr>
                                  <a:stCxn id="173" idx="3"/>
                                </wps:cNvCnPr>
                                <wps:spPr>
                                  <a:xfrm flipV="1">
                                    <a:off x="1738" y="698"/>
                                    <a:ext cx="497" cy="9"/>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g:wgp>
                            <wps:wsp>
                              <wps:cNvPr id="507" name="矩形 175"/>
                              <wps:cNvSpPr/>
                              <wps:spPr>
                                <a:xfrm>
                                  <a:off x="2336165" y="6694805"/>
                                  <a:ext cx="108140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B7DA49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隔油池/化粪池</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08" name="直接箭头连接符 174"/>
                              <wps:cNvCnPr/>
                              <wps:spPr>
                                <a:xfrm flipV="1">
                                  <a:off x="3425825" y="6862445"/>
                                  <a:ext cx="517525" cy="571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509" name="矩形 189"/>
                              <wps:cNvSpPr/>
                              <wps:spPr>
                                <a:xfrm>
                                  <a:off x="1635125" y="66033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A76F80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2.732</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10" name="矩形 189"/>
                              <wps:cNvSpPr/>
                              <wps:spPr>
                                <a:xfrm>
                                  <a:off x="3242945" y="661860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2806788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2.732</w:t>
                                    </w:r>
                                  </w:p>
                                </w:txbxContent>
                              </wps:txbx>
                              <wps:bodyPr rot="0" spcFirstLastPara="0" vertOverflow="overflow" horzOverflow="overflow" vert="horz" wrap="square" lIns="91440" tIns="45720" rIns="91440" bIns="45720" numCol="1" spcCol="0" rtlCol="0" fromWordArt="0" anchor="ctr" anchorCtr="0" forceAA="0" compatLnSpc="1">
                                <a:noAutofit/>
                              </wps:bodyPr>
                            </wps:wsp>
                          </wpc:wpc>
                        </a:graphicData>
                      </a:graphic>
                    </wp:inline>
                  </w:drawing>
                </mc:Choice>
                <mc:Fallback>
                  <w:pict>
                    <v:group id="_x0000_s1026" o:spid="_x0000_s1026" o:spt="203" style="height:607.8pt;width:431pt;" coordsize="5473700,7719060" editas="canvas" o:gfxdata="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">
                      <o:lock v:ext="edit" aspectratio="f"/>
                      <v:shape id="_x0000_s1026" o:spid="_x0000_s1026" style="position:absolute;left:0;top:0;height:7719060;width:5473700;" filled="f" stroked="t" coordsize="21600,21600" o:gfxdata="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">
                        <v:fill on="f" focussize="0,0"/>
                        <v:stroke weight="1pt" color="#000000 [3213]" joinstyle="round"/>
                        <v:imagedata o:title=""/>
                        <o:lock v:ext="edit" aspectratio="f"/>
                      </v:shape>
                      <v:group id="组合 182" o:spid="_x0000_s1026" o:spt="203" style="position:absolute;left:1652270;top:5249545;height:335280;width:1414780;" coordorigin="382,443" coordsize="2228,528" o:gfxdata="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">
                        <o:lock v:ext="edit" aspectratio="f"/>
                        <v:rect id="矩形 173" o:spid="_x0000_s1026" o:spt="1" style="position:absolute;left:382;top:443;height:528;width:1356;v-text-anchor:middle;" filled="f" stroked="t" coordsize="21600,21600" o:gfxdata="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ZgMB74A&#10;AADc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textbox>
                            <w:txbxContent>
                              <w:p w14:paraId="7F60AEA7">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尾菜废水</w:t>
                                </w:r>
                              </w:p>
                            </w:txbxContent>
                          </v:textbox>
                        </v:rect>
                        <v:shape id="直接箭头连接符 174" o:spid="_x0000_s1026" o:spt="32" type="#_x0000_t32" style="position:absolute;left:1738;top:707;height:2;width:872;" filled="f" stroked="t" coordsize="21600,21600" o:gfxdata="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kvLgq8AAAA&#10;3AAAAA8AAAAAAAAAAQAgAAAAIgAAAGRycy9kb3ducmV2LnhtbFBLAQIUABQAAAAIAIdO4kAzLwWe&#10;OwAAADkAAAAQAAAAAAAAAAEAIAAAAAsBAABkcnMvc2hhcGV4bWwueG1sUEsFBgAAAAAGAAYAWwEA&#10;ALUDAAAAAA==&#10;">
                          <v:fill on="f" focussize="0,0"/>
                          <v:stroke weight="1pt" color="#000000 [3213]" joinstyle="round" endarrow="classic" endarrowlength="long"/>
                          <v:imagedata o:title=""/>
                          <o:lock v:ext="edit" aspectratio="f"/>
                        </v:shape>
                      </v:group>
                      <v:rect id="矩形 175" o:spid="_x0000_s1026" o:spt="1" style="position:absolute;left:1657985;top:4614545;height:335280;width:861060;v-text-anchor:middle;" filled="f" stroked="t" coordsize="21600,21600" o:gfxdata="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K7YVHNQAAAAGAQAADwAAAAAAAAABACAAAAAiAAAAZHJzL2Rvd25y&#10;ZXYueG1sUEsBAhQAFAAAAAgAh07iQNeftV90AgAAzgQAAA4AAAAAAAAAAQAgAAAAIwEAAGRycy9l&#10;Mm9Eb2MueG1sUEsFBgAAAAAGAAYAWQEAAAkGAAAAAA==&#10;">
                        <v:fill on="f" focussize="0,0"/>
                        <v:stroke weight="1pt" color="#000000 [3213]" joinstyle="round"/>
                        <v:imagedata o:title=""/>
                        <o:lock v:ext="edit" aspectratio="f"/>
                        <v:textbox>
                          <w:txbxContent>
                            <w:p w14:paraId="323A6FD7">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液体发酵</w:t>
                              </w:r>
                            </w:p>
                          </w:txbxContent>
                        </v:textbox>
                      </v:rect>
                      <v:shape id="直接箭头连接符 180" o:spid="_x0000_s1026" o:spt="32" type="#_x0000_t32" style="position:absolute;left:2080895;top:4936490;flip:x y;height:302895;width:3810;" filled="f" stroked="t" coordsize="21600,21600" o:gfxdata="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AfsZzWAAAA&#10;BgEAAA8AAAAAAAAAAQAgAAAAIgAAAGRycy9kb3ducmV2LnhtbFBLAQIUABQAAAAIAIdO4kC/PvBF&#10;HwIAAAEEAAAOAAAAAAAAAAEAIAAAACUBAABkcnMvZTJvRG9jLnhtbFBLBQYAAAAABgAGAFkBAAC2&#10;BQAAAAA=&#10;">
                        <v:fill on="f" focussize="0,0"/>
                        <v:stroke weight="1pt" color="#000000 [3213]" joinstyle="round" endarrow="classic" endarrowlength="long"/>
                        <v:imagedata o:title=""/>
                        <o:lock v:ext="edit" aspectratio="f"/>
                      </v:shape>
                      <v:rect id="矩形 181" o:spid="_x0000_s1026" o:spt="1" style="position:absolute;left:2191385;top:420306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Mf4nHtMAAAAGAQAADwAAAAAAAAABACAAAAAiAAAAZHJzL2Rvd25yZXYueG1sUEsBAhQAFAAAAAgA&#10;h07iQEcfhgpjAgAApQQAAA4AAAAAAAAAAQAgAAAAIgEAAGRycy9lMm9Eb2MueG1sUEsFBgAAAAAG&#10;AAYAWQEAAPcFAAAAAA==&#10;">
                        <v:fill on="f" focussize="0,0"/>
                        <v:stroke on="f" weight="1pt"/>
                        <v:imagedata o:title=""/>
                        <o:lock v:ext="edit" aspectratio="f"/>
                        <v:textbox>
                          <w:txbxContent>
                            <w:p w14:paraId="74C41A02">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进入产品</w:t>
                              </w:r>
                            </w:p>
                          </w:txbxContent>
                        </v:textbox>
                      </v:rect>
                      <v:rect id="矩形 183" o:spid="_x0000_s1026" o:spt="1" style="position:absolute;left:347345;top:1017905;height:1820545;width:328295;v-text-anchor:middle;" filled="f" stroked="t" coordsize="21600,21600" o:gfxdata="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rthUc1AAAAAYBAAAPAAAAAAAAAAEAIAAAACIAAABkcnMvZG93bnJldi54&#10;bWxQSwECFAAUAAAACACHTuJAr03NS3ACAADOBAAADgAAAAAAAAABACAAAAAjAQAAZHJzL2Uyb0Rv&#10;Yy54bWxQSwUGAAAAAAYABgBZAQAABQYAAAAA&#10;">
                        <v:fill on="f" focussize="0,0"/>
                        <v:stroke weight="1pt" color="#000000 [3213]" joinstyle="round"/>
                        <v:imagedata o:title=""/>
                        <o:lock v:ext="edit" aspectratio="f"/>
                        <v:textbox>
                          <w:txbxContent>
                            <w:p w14:paraId="4FF2072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新鲜用水</w:t>
                              </w:r>
                            </w:p>
                          </w:txbxContent>
                        </v:textbox>
                      </v:rect>
                      <v:shape id="直接箭头连接符 184" o:spid="_x0000_s1026" o:spt="32" type="#_x0000_t32" style="position:absolute;left:690245;top:1200785;height:1270;width:553720;" filled="f" stroked="t" coordsize="21600,21600" o:gfxdata="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CzpurSAAAABgEAAA8AAAAAAAAAAQAg&#10;AAAAIgAAAGRycy9kb3ducmV2LnhtbFBLAQIUABQAAAAIAIdO4kD0GVKIFAIAAOwDAAAOAAAAAAAA&#10;AAEAIAAAACEBAABkcnMvZTJvRG9jLnhtbFBLBQYAAAAABgAGAFkBAACnBQAAAAA=&#10;">
                        <v:fill on="f" focussize="0,0"/>
                        <v:stroke weight="1pt" color="#000000 [3213]" joinstyle="round" endarrow="classic" endarrowlength="long"/>
                        <v:imagedata o:title=""/>
                        <o:lock v:ext="edit" aspectratio="f"/>
                      </v:shape>
                      <v:shape id="直接箭头连接符 185" o:spid="_x0000_s1026" o:spt="32" type="#_x0000_t32" style="position:absolute;left:675005;top:1871345;height:1270;width:553720;" filled="f" stroked="t" coordsize="21600,21600" o:gfxdata="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CzpurSAAAABgEAAA8AAAAAAAAAAQAg&#10;AAAAIgAAAGRycy9kb3ducmV2LnhtbFBLAQIUABQAAAAIAIdO4kB0zi3kFAIAAOwDAAAOAAAAAAAA&#10;AAEAIAAAACEBAABkcnMvZTJvRG9jLnhtbFBLBQYAAAAABgAGAFkBAACnBQAAAAA=&#10;">
                        <v:fill on="f" focussize="0,0"/>
                        <v:stroke weight="1pt" color="#000000 [3213]" joinstyle="round" endarrow="classic" endarrowlength="long"/>
                        <v:imagedata o:title=""/>
                        <o:lock v:ext="edit" aspectratio="f"/>
                      </v:shape>
                      <v:shape id="直接箭头连接符 186" o:spid="_x0000_s1026" o:spt="32" type="#_x0000_t32" style="position:absolute;left:690245;top:2488565;height:1270;width:553720;" filled="f" stroked="t" coordsize="21600,21600" o:gfxdata="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CzpurSAAAABgEAAA8AAAAAAAAAAQAg&#10;AAAAIgAAAGRycy9kb3ducmV2LnhtbFBLAQIUABQAAAAIAIdO4kDS1TQTFAIAAOwDAAAOAAAAAAAA&#10;AAEAIAAAACEBAABkcnMvZTJvRG9jLnhtbFBLBQYAAAAABgAGAFkBAACnBQAAAAA=&#10;">
                        <v:fill on="f" focussize="0,0"/>
                        <v:stroke weight="1pt" color="#000000 [3213]" joinstyle="round" endarrow="classic" endarrowlength="long"/>
                        <v:imagedata o:title=""/>
                        <o:lock v:ext="edit" aspectratio="f"/>
                      </v:shape>
                      <v:rect id="矩形 187" o:spid="_x0000_s1026" o:spt="1" style="position:absolute;left:1231265;top:1033145;height:335280;width:1332865;v-text-anchor:middle;" filled="f" stroked="t" coordsize="21600,21600" o:gfxdata="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7YVHNQAAAAGAQAADwAAAAAAAAABACAAAAAiAAAAZHJzL2Rvd25yZXYu&#10;eG1sUEsBAhQAFAAAAAgAh07iQLPS9ydxAgAAzwQAAA4AAAAAAAAAAQAgAAAAIwEAAGRycy9lMm9E&#10;b2MueG1sUEsFBgAAAAAGAAYAWQEAAAYGAAAAAA==&#10;">
                        <v:fill on="f" focussize="0,0"/>
                        <v:stroke weight="1pt" color="#000000 [3213]" joinstyle="round"/>
                        <v:imagedata o:title=""/>
                        <o:lock v:ext="edit" aspectratio="f"/>
                        <v:textbox>
                          <w:txbxContent>
                            <w:p w14:paraId="344CCAB7">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液体发酵设备清洗</w:t>
                              </w:r>
                            </w:p>
                          </w:txbxContent>
                        </v:textbox>
                      </v:rect>
                      <v:rect id="矩形 188" o:spid="_x0000_s1026" o:spt="1" style="position:absolute;left:1216025;top:1711325;height:335280;width:1310640;v-text-anchor:middle;" filled="f" stroked="t" coordsize="21600,21600" o:gfxdata="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Cu2FRzUAAAABgEAAA8AAAAAAAAAAQAgAAAAIgAAAGRycy9kb3ducmV2Lnht&#10;bFBLAQIUABQAAAAIAIdO4kAeY0yLbwIAAM8EAAAOAAAAAAAAAAEAIAAAACMBAABkcnMvZTJvRG9j&#10;LnhtbFBLBQYAAAAABgAGAFkBAAAEBgAAAAA=&#10;">
                        <v:fill on="f" focussize="0,0"/>
                        <v:stroke weight="1pt" color="#000000 [3213]" joinstyle="round"/>
                        <v:imagedata o:title=""/>
                        <o:lock v:ext="edit" aspectratio="f"/>
                        <v:textbox>
                          <w:txbxContent>
                            <w:p w14:paraId="060B649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固体发酵地面清洗</w:t>
                              </w:r>
                            </w:p>
                          </w:txbxContent>
                        </v:textbox>
                      </v:rect>
                      <v:rect id="矩形 189" o:spid="_x0000_s1026" o:spt="1" style="position:absolute;left:1818005;top:496506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Mf4nHtMAAAAGAQAADwAAAAAAAAABACAAAAAiAAAAZHJzL2Rvd25yZXYueG1sUEsBAhQAFAAAAAgA&#10;h07iQNatqg5jAgAApQQAAA4AAAAAAAAAAQAgAAAAIgEAAGRycy9lMm9Eb2MueG1sUEsFBgAAAAAG&#10;AAYAWQEAAPcFAAAAAA==&#10;">
                        <v:fill on="f" focussize="0,0"/>
                        <v:stroke on="f" weight="1pt"/>
                        <v:imagedata o:title=""/>
                        <o:lock v:ext="edit" aspectratio="f"/>
                        <v:textbox>
                          <w:txbxContent>
                            <w:p w14:paraId="116979F8">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42.9</w:t>
                              </w:r>
                            </w:p>
                          </w:txbxContent>
                        </v:textbox>
                      </v:rect>
                      <v:rect id="矩形 190" o:spid="_x0000_s1026" o:spt="1" style="position:absolute;left:1528445;top:433260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H+&#10;Jx7TAAAABgEAAA8AAAAAAAAAAQAgAAAAIgAAAGRycy9kb3ducmV2LnhtbFBLAQIUABQAAAAIAIdO&#10;4kB9sbb/YQIAAKUEAAAOAAAAAAAAAAEAIAAAACIBAABkcnMvZTJvRG9jLnhtbFBLBQYAAAAABgAG&#10;AFkBAAD1BQAAAAA=&#10;">
                        <v:fill on="f" focussize="0,0"/>
                        <v:stroke on="f" weight="1pt"/>
                        <v:imagedata o:title=""/>
                        <o:lock v:ext="edit" aspectratio="f"/>
                        <v:textbox>
                          <w:txbxContent>
                            <w:p w14:paraId="2C7E0AA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42.9</w:t>
                              </w:r>
                            </w:p>
                          </w:txbxContent>
                        </v:textbox>
                      </v:rect>
                      <v:shape id="直接箭头连接符 191" o:spid="_x0000_s1026" o:spt="32" type="#_x0000_t32" style="position:absolute;left:2572385;top:1177925;height:1270;width:553720;" filled="f" stroked="t" coordsize="21600,21600" o:gfxdata="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CzpurSAAAABgEAAA8AAAAAAAAAAQAg&#10;AAAAIgAAAGRycy9kb3ducmV2LnhtbFBLAQIUABQAAAAIAIdO4kCUPZU0FAIAAO0DAAAOAAAAAAAA&#10;AAEAIAAAACEBAABkcnMvZTJvRG9jLnhtbFBLBQYAAAAABgAGAFkBAACnBQAAAAA=&#10;">
                        <v:fill on="f" focussize="0,0"/>
                        <v:stroke weight="1pt" color="#000000 [3213]" joinstyle="round" endarrow="classic" endarrowlength="long"/>
                        <v:imagedata o:title=""/>
                        <o:lock v:ext="edit" aspectratio="f"/>
                      </v:shape>
                      <v:shape id="直接箭头连接符 192" o:spid="_x0000_s1026" o:spt="32" type="#_x0000_t32" style="position:absolute;left:2541905;top:1871345;height:1270;width:553720;" filled="f" stroked="t" coordsize="21600,21600" o:gfxdata="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cLOm6tIAAAAGAQAADwAAAAAAAAAB&#10;ACAAAAAiAAAAZHJzL2Rvd25yZXYueG1sUEsBAhQAFAAAAAgAh07iQF3egTQWAgAA7QMAAA4AAAAA&#10;AAAAAQAgAAAAIQEAAGRycy9lMm9Eb2MueG1sUEsFBgAAAAAGAAYAWQEAAKkFAAAAAA==&#10;">
                        <v:fill on="f" focussize="0,0"/>
                        <v:stroke weight="1pt" color="#000000 [3213]" joinstyle="round" endarrow="classic" endarrowlength="long"/>
                        <v:imagedata o:title=""/>
                        <o:lock v:ext="edit" aspectratio="f"/>
                      </v:shape>
                      <v:rect id="矩形 193" o:spid="_x0000_s1026" o:spt="1" style="position:absolute;left:3121025;top:911225;height:5423535;width:328295;v-text-anchor:middle;" filled="f" stroked="t" coordsize="21600,21600" o:gfxdata="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rthUc1AAAAAYBAAAPAAAAAAAAAAEAIAAAACIAAABkcnMvZG93bnJldi54&#10;bWxQSwECFAAUAAAACACHTuJAiYQxgnACAADOBAAADgAAAAAAAAABACAAAAAjAQAAZHJzL2Uyb0Rv&#10;Yy54bWxQSwUGAAAAAAYABgBZAQAABQYAAAAA&#10;">
                        <v:fill on="f" focussize="0,0"/>
                        <v:stroke weight="1pt" color="#000000 [3213]" joinstyle="round"/>
                        <v:imagedata o:title=""/>
                        <o:lock v:ext="edit" aspectratio="f"/>
                        <v:textbox>
                          <w:txbxContent>
                            <w:p w14:paraId="606D661C">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污水处理站</w:t>
                              </w:r>
                            </w:p>
                          </w:txbxContent>
                        </v:textbox>
                      </v:rect>
                      <v:rect id="矩形 194" o:spid="_x0000_s1026" o:spt="1" style="position:absolute;left:1223645;top:2336165;height:335280;width:823595;v-text-anchor:middle;" filled="f" stroked="t" coordsize="21600,21600" o:gfxdata="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rthUc1AAAAAYBAAAPAAAAAAAAAAEAIAAAACIAAABkcnMvZG93bnJl&#10;di54bWxQSwECFAAUAAAACACHTuJAaQSmzHMCAADOBAAADgAAAAAAAAABACAAAAAjAQAAZHJzL2Uy&#10;b0RvYy54bWxQSwUGAAAAAAYABgBZAQAACAYAAAAA&#10;">
                        <v:fill on="f" focussize="0,0"/>
                        <v:stroke weight="1pt" color="#000000 [3213]" joinstyle="round"/>
                        <v:imagedata o:title=""/>
                        <o:lock v:ext="edit" aspectratio="f"/>
                        <v:textbox>
                          <w:txbxContent>
                            <w:p w14:paraId="663206E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纯水制备</w:t>
                              </w:r>
                            </w:p>
                          </w:txbxContent>
                        </v:textbox>
                      </v:rect>
                      <v:rect id="矩形 195" o:spid="_x0000_s1026" o:spt="1" style="position:absolute;left:1231265;top:3060065;height:335280;width:823595;v-text-anchor:middle;" filled="f" stroked="t" coordsize="21600,21600" o:gfxdata="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7YVHNQAAAAGAQAADwAAAAAAAAABACAAAAAiAAAAZHJzL2Rvd25yZXYu&#10;eG1sUEsBAhQAFAAAAAgAh07iQAx+EgZxAgAAzgQAAA4AAAAAAAAAAQAgAAAAIwEAAGRycy9lMm9E&#10;b2MueG1sUEsFBgAAAAAGAAYAWQEAAAYGAAAAAA==&#10;">
                        <v:fill on="f" focussize="0,0"/>
                        <v:stroke weight="1pt" color="#000000 [3213]" joinstyle="round"/>
                        <v:imagedata o:title=""/>
                        <o:lock v:ext="edit" aspectratio="f"/>
                        <v:textbox>
                          <w:txbxContent>
                            <w:p w14:paraId="61A2A466">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实验用水</w:t>
                              </w:r>
                            </w:p>
                          </w:txbxContent>
                        </v:textbox>
                      </v:rect>
                      <v:shape id="直接箭头连接符 196" o:spid="_x0000_s1026" o:spt="32" type="#_x0000_t32" style="position:absolute;left:1663065;top:2659380;flip:x;height:394335;width:1905;" filled="f" stroked="t" coordsize="21600,21600" o:gfxdata="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VQrILNUAAAAGAQAA&#10;DwAAAAAAAAABACAAAAAiAAAAZHJzL2Rvd25yZXYueG1sUEsBAhQAFAAAAAgAh07iQItOQ/4cAgAA&#10;9wMAAA4AAAAAAAAAAQAgAAAAJAEAAGRycy9lMm9Eb2MueG1sUEsFBgAAAAAGAAYAWQEAALIFAAAA&#10;AA==&#10;">
                        <v:fill on="f" focussize="0,0"/>
                        <v:stroke weight="1pt" color="#000000 [3213]" joinstyle="round" endarrow="classic" endarrowlength="long"/>
                        <v:imagedata o:title=""/>
                        <o:lock v:ext="edit" aspectratio="f"/>
                      </v:shape>
                      <v:shape id="直接箭头连接符 197" o:spid="_x0000_s1026" o:spt="32" type="#_x0000_t32" style="position:absolute;left:2046605;top:2503805;height:3175;width:1050925;" filled="f" stroked="t" coordsize="21600,21600" o:gfxdata="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CzpurSAAAABgEAAA8AAAAAAAAA&#10;AQAgAAAAIgAAAGRycy9kb3ducmV2LnhtbFBLAQIUABQAAAAIAIdO4kAIKf8sFwIAAO4DAAAOAAAA&#10;AAAAAAEAIAAAACEBAABkcnMvZTJvRG9jLnhtbFBLBQYAAAAABgAGAFkBAACqBQAAAAA=&#10;">
                        <v:fill on="f" focussize="0,0"/>
                        <v:stroke weight="1pt" color="#000000 [3213]" joinstyle="round" endarrow="classic" endarrowlength="long"/>
                        <v:imagedata o:title=""/>
                        <o:lock v:ext="edit" aspectratio="f"/>
                      </v:shape>
                      <v:shape id="直接箭头连接符 198" o:spid="_x0000_s1026" o:spt="32" type="#_x0000_t32" style="position:absolute;left:2077085;top:3227705;height:3175;width:1050925;" filled="f" stroked="t" coordsize="21600,21600" o:gfxdata="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ws6bq0gAAAAYBAAAPAAAAAAAAAAEA&#10;IAAAACIAAABkcnMvZG93bnJldi54bWxQSwECFAAUAAAACACHTuJA2c9u4hUCAADuAwAADgAAAAAA&#10;AAABACAAAAAhAQAAZHJzL2Uyb0RvYy54bWxQSwUGAAAAAAYABgBZAQAAqAUAAAAA&#10;">
                        <v:fill on="f" focussize="0,0"/>
                        <v:stroke weight="1pt" color="#000000 [3213]" joinstyle="round" endarrow="classic" endarrowlength="long"/>
                        <v:imagedata o:title=""/>
                        <o:lock v:ext="edit" aspectratio="f"/>
                      </v:shape>
                      <v:rect id="矩形 199" o:spid="_x0000_s1026" o:spt="1" style="position:absolute;left:1505585;top:3662045;height:335280;width:823595;v-text-anchor:middle;" filled="f" stroked="t" coordsize="21600,21600" o:gfxdata="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Cu2FRzUAAAABgEAAA8AAAAAAAAAAQAgAAAAIgAAAGRycy9kb3ducmV2&#10;LnhtbFBLAQIUABQAAAAIAIdO4kBYQCQWcgIAAM4EAAAOAAAAAAAAAAEAIAAAACMBAABkcnMvZTJv&#10;RG9jLnhtbFBLBQYAAAAABgAGAFkBAAAHBgAAAAA=&#10;">
                        <v:fill on="f" focussize="0,0"/>
                        <v:stroke weight="1pt" color="#000000 [3213]" joinstyle="round"/>
                        <v:imagedata o:title=""/>
                        <o:lock v:ext="edit" aspectratio="f"/>
                        <v:textbox>
                          <w:txbxContent>
                            <w:p w14:paraId="7621F2B6">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渗滤液</w:t>
                              </w:r>
                            </w:p>
                          </w:txbxContent>
                        </v:textbox>
                      </v:rect>
                      <v:shape id="直接箭头连接符 200" o:spid="_x0000_s1026" o:spt="32" type="#_x0000_t32" style="position:absolute;left:2350770;top:3840480;flip:y;height:4445;width:769620;" filled="f" stroked="t" coordsize="21600,21600" o:gfxdata="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FUKyCzVAAAABgEA&#10;AA8AAAAAAAAAAQAgAAAAIgAAAGRycy9kb3ducmV2LnhtbFBLAQIUABQAAAAIAIdO4kCWh17PHQIA&#10;APcDAAAOAAAAAAAAAAEAIAAAACQBAABkcnMvZTJvRG9jLnhtbFBLBQYAAAAABgAGAFkBAACzBQAA&#10;AAA=&#10;">
                        <v:fill on="f" focussize="0,0"/>
                        <v:stroke weight="1pt" color="#000000 [3213]" joinstyle="round" endarrow="classic" endarrowlength="long"/>
                        <v:imagedata o:title=""/>
                        <o:lock v:ext="edit" aspectratio="f"/>
                      </v:shape>
                      <v:rect id="矩形 201" o:spid="_x0000_s1026" o:spt="1" style="position:absolute;left:476885;top:94932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x/ice&#10;0wAAAAYBAAAPAAAAAAAAAAEAIAAAACIAAABkcnMvZG93bnJldi54bWxQSwECFAAUAAAACACHTuJA&#10;oRaYUl8CAACjBAAADgAAAAAAAAABACAAAAAiAQAAZHJzL2Uyb0RvYy54bWxQSwUGAAAAAAYABgBZ&#10;AQAA8wUAAAAA&#10;">
                        <v:fill on="f" focussize="0,0"/>
                        <v:stroke on="f" weight="1pt"/>
                        <v:imagedata o:title=""/>
                        <o:lock v:ext="edit" aspectratio="f"/>
                        <v:textbox>
                          <w:txbxContent>
                            <w:p w14:paraId="7F62FFFC">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1.45</w:t>
                              </w:r>
                            </w:p>
                          </w:txbxContent>
                        </v:textbox>
                      </v:rect>
                      <v:rect id="矩形 202" o:spid="_x0000_s1026" o:spt="1" style="position:absolute;left:2397125;top:92646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Mf4nHtMAAAAGAQAADwAAAAAAAAABACAAAAAiAAAAZHJzL2Rvd25yZXYueG1sUEsBAhQAFAAAAAgA&#10;h07iQHTPe0xjAgAApAQAAA4AAAAAAAAAAQAgAAAAIgEAAGRycy9lMm9Eb2MueG1sUEsFBgAAAAAG&#10;AAYAWQEAAPcFAAAAAA==&#10;">
                        <v:fill on="f" focussize="0,0"/>
                        <v:stroke on="f" weight="1pt"/>
                        <v:imagedata o:title=""/>
                        <o:lock v:ext="edit" aspectratio="f"/>
                        <v:textbox>
                          <w:txbxContent>
                            <w:p w14:paraId="7D0C179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1.16</w:t>
                              </w:r>
                            </w:p>
                          </w:txbxContent>
                        </v:textbox>
                      </v:rect>
                      <v:shape id="曲线连接符 203" o:spid="_x0000_s1026" o:spt="37" type="#_x0000_t37" style="position:absolute;left:1923415;top:796925;height:262255;width:210185;rotation:-5898240f;" filled="f" stroked="t" coordsize="21600,21600" o:gfxdata="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LPD4nVAAAABgEAAA8AAAAAAAAAAQAgAAAAIgAAAGRycy9kb3ducmV2LnhtbFBLAQIUABQA&#10;AAAIAIdO4kDcndL9LAIAAB0EAAAOAAAAAAAAAAEAIAAAACQBAABkcnMvZTJvRG9jLnhtbFBLBQYA&#10;AAAABgAGAFkBAADCBQAAAAA=&#10;">
                        <v:fill on="f" focussize="0,0"/>
                        <v:stroke weight="1pt" color="#000000 [3213]" joinstyle="round" endarrow="classic" endarrowlength="long"/>
                        <v:imagedata o:title=""/>
                        <o:lock v:ext="edit" aspectratio="f"/>
                      </v:shape>
                      <v:rect id="矩形 204" o:spid="_x0000_s1026" o:spt="1" style="position:absolute;left:1878965;top:62928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x&#10;/ice0wAAAAYBAAAPAAAAAAAAAAEAIAAAACIAAABkcnMvZG93bnJldi54bWxQSwECFAAUAAAACACH&#10;TuJAaHkvSmICAACkBAAADgAAAAAAAAABACAAAAAiAQAAZHJzL2Uyb0RvYy54bWxQSwUGAAAAAAYA&#10;BgBZAQAA9gUAAAAA&#10;">
                        <v:fill on="f" focussize="0,0"/>
                        <v:stroke on="f" weight="1pt"/>
                        <v:imagedata o:title=""/>
                        <o:lock v:ext="edit" aspectratio="f"/>
                        <v:textbox>
                          <w:txbxContent>
                            <w:p w14:paraId="7F62728D">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0.29</w:t>
                              </w:r>
                            </w:p>
                          </w:txbxContent>
                        </v:textbox>
                      </v:rect>
                      <v:rect id="矩形 205" o:spid="_x0000_s1026" o:spt="1" style="position:absolute;left:522605;top:161226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f4n&#10;HtMAAAAGAQAADwAAAAAAAAABACAAAAAiAAAAZHJzL2Rvd25yZXYueG1sUEsBAhQAFAAAAAgAh07i&#10;QBEYJsFgAgAApAQAAA4AAAAAAAAAAQAgAAAAIgEAAGRycy9lMm9Eb2MueG1sUEsFBgAAAAAGAAYA&#10;WQEAAPQFAAAAAA==&#10;">
                        <v:fill on="f" focussize="0,0"/>
                        <v:stroke on="f" weight="1pt"/>
                        <v:imagedata o:title=""/>
                        <o:lock v:ext="edit" aspectratio="f"/>
                        <v:textbox>
                          <w:txbxContent>
                            <w:p w14:paraId="37E6EB0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0.067</w:t>
                              </w:r>
                            </w:p>
                          </w:txbxContent>
                        </v:textbox>
                      </v:rect>
                      <v:rect id="矩形 206" o:spid="_x0000_s1026" o:spt="1" style="position:absolute;left:2397125;top:159702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f4n&#10;HtMAAAAGAQAADwAAAAAAAAABACAAAAAiAAAAZHJzL2Rvd25yZXYueG1sUEsBAhQAFAAAAAgAh07i&#10;QLNg+AhgAgAApQQAAA4AAAAAAAAAAQAgAAAAIgEAAGRycy9lMm9Eb2MueG1sUEsFBgAAAAAGAAYA&#10;WQEAAPQFAAAAAA==&#10;">
                        <v:fill on="f" focussize="0,0"/>
                        <v:stroke on="f" weight="1pt"/>
                        <v:imagedata o:title=""/>
                        <o:lock v:ext="edit" aspectratio="f"/>
                        <v:textbox>
                          <w:txbxContent>
                            <w:p w14:paraId="2B2DC572">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0.053</w:t>
                              </w:r>
                            </w:p>
                          </w:txbxContent>
                        </v:textbox>
                      </v:rect>
                      <v:rect id="矩形 207" o:spid="_x0000_s1026" o:spt="1" style="position:absolute;left:1779905;top:133794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H+&#10;Jx7TAAAABgEAAA8AAAAAAAAAAQAgAAAAIgAAAGRycy9kb3ducmV2LnhtbFBLAQIUABQAAAAIAIdO&#10;4kD1wl/1YQIAAKUEAAAOAAAAAAAAAAEAIAAAACIBAABkcnMvZTJvRG9jLnhtbFBLBQYAAAAABgAG&#10;AFkBAAD1BQAAAAA=&#10;">
                        <v:fill on="f" focussize="0,0"/>
                        <v:stroke on="f" weight="1pt"/>
                        <v:imagedata o:title=""/>
                        <o:lock v:ext="edit" aspectratio="f"/>
                        <v:textbox>
                          <w:txbxContent>
                            <w:p w14:paraId="2186030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0.014</w:t>
                              </w:r>
                            </w:p>
                          </w:txbxContent>
                        </v:textbox>
                      </v:rect>
                      <v:shape id="曲线连接符 208" o:spid="_x0000_s1026" o:spt="37" type="#_x0000_t37" style="position:absolute;left:1818005;top:1482725;height:262255;width:210185;rotation:-5898240f;" filled="f" stroked="t" coordsize="21600,21600" o:gfxdata="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LPD4nVAAAABgEAAA8A&#10;AAAAAAAAAQAgAAAAIgAAAGRycy9kb3ducmV2LnhtbFBLAQIUABQAAAAIAIdO4kDEbinuGgIAAPYD&#10;AAAOAAAAAAAAAAEAIAAAACQBAABkcnMvZTJvRG9jLnhtbFBLBQYAAAAABgAGAFkBAACwBQAAAAA=&#10;">
                        <v:fill on="f" focussize="0,0"/>
                        <v:stroke weight="1pt" color="#000000 [3213]" joinstyle="round" endarrow="classic" endarrowlength="long"/>
                        <v:imagedata o:title=""/>
                        <o:lock v:ext="edit" aspectratio="f"/>
                      </v:shape>
                      <v:shape id="曲线连接符 210" o:spid="_x0000_s1026" o:spt="37" type="#_x0000_t37" style="position:absolute;left:1985645;top:2839085;height:262255;width:210185;rotation:-5898240f;" filled="f" stroked="t" coordsize="21600,21600" o:gfxdata="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LPD4nVAAAABgEAAA8A&#10;AAAAAAAAAQAgAAAAIgAAAGRycy9kb3ducmV2LnhtbFBLAQIUABQAAAAIAIdO4kD1f4vUGgIAAPYD&#10;AAAOAAAAAAAAAAEAIAAAACQBAABkcnMvZTJvRG9jLnhtbFBLBQYAAAAABgAGAFkBAACwBQAAAAA=&#10;">
                        <v:fill on="f" focussize="0,0"/>
                        <v:stroke weight="1pt" color="#000000 [3213]" joinstyle="round" endarrow="classic" endarrowlength="long"/>
                        <v:imagedata o:title=""/>
                        <o:lock v:ext="edit" aspectratio="f"/>
                      </v:shape>
                      <v:shape id="曲线连接符 211" o:spid="_x0000_s1026" o:spt="37" type="#_x0000_t37" style="position:absolute;left:1696085;top:2107565;height:262255;width:210185;rotation:-5898240f;" filled="f" stroked="t" coordsize="21600,21600" o:gfxdata="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ss8PidUAAAAGAQAADwAA&#10;AAAAAAABACAAAAAiAAAAZHJzL2Rvd25yZXYueG1sUEsBAhQAFAAAAAgAh07iQD99jXkZAgAA9gMA&#10;AA4AAAAAAAAAAQAgAAAAJAEAAGRycy9lMm9Eb2MueG1sUEsFBgAAAAAGAAYAWQEAAK8FAAAAAA==&#10;">
                        <v:fill on="f" focussize="0,0"/>
                        <v:stroke weight="1pt" color="#000000 [3213]" joinstyle="round" endarrow="classic" endarrowlength="long"/>
                        <v:imagedata o:title=""/>
                        <o:lock v:ext="edit" aspectratio="f"/>
                      </v:shape>
                      <v:rect id="矩形 212" o:spid="_x0000_s1026" o:spt="1" style="position:absolute;left:545465;top:220662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H+&#10;Jx7TAAAABgEAAA8AAAAAAAAAAQAgAAAAIgAAAGRycy9kb3ducmV2LnhtbFBLAQIUABQAAAAIAIdO&#10;4kBnNRBRYQIAAKQEAAAOAAAAAAAAAAEAIAAAACIBAABkcnMvZTJvRG9jLnhtbFBLBQYAAAAABgAG&#10;AFkBAAD1BQAAAAA=&#10;">
                        <v:fill on="f" focussize="0,0"/>
                        <v:stroke on="f" weight="1pt"/>
                        <v:imagedata o:title=""/>
                        <o:lock v:ext="edit" aspectratio="f"/>
                        <v:textbox>
                          <w:txbxContent>
                            <w:p w14:paraId="611BB89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0.22</w:t>
                              </w:r>
                            </w:p>
                          </w:txbxContent>
                        </v:textbox>
                      </v:rect>
                      <v:rect id="矩形 213" o:spid="_x0000_s1026" o:spt="1" style="position:absolute;left:1383665;top:270192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H+&#10;Jx7TAAAABgEAAA8AAAAAAAAAAQAgAAAAIgAAAGRycy9kb3ducmV2LnhtbFBLAQIUABQAAAAIAIdO&#10;4kAJs9YRYQIAAKUEAAAOAAAAAAAAAAEAIAAAACIBAABkcnMvZTJvRG9jLnhtbFBLBQYAAAAABgAG&#10;AFkBAAD1BQAAAAA=&#10;">
                        <v:fill on="f" focussize="0,0"/>
                        <v:stroke on="f" weight="1pt"/>
                        <v:imagedata o:title=""/>
                        <o:lock v:ext="edit" aspectratio="f"/>
                        <v:textbox>
                          <w:txbxContent>
                            <w:p w14:paraId="6459D04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0.05</w:t>
                              </w:r>
                            </w:p>
                          </w:txbxContent>
                        </v:textbox>
                      </v:rect>
                      <v:rect id="矩形 214" o:spid="_x0000_s1026" o:spt="1" style="position:absolute;left:2168525;top:222948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Mf4nHtMAAAAGAQAADwAAAAAAAAABACAAAAAiAAAAZHJzL2Rvd25yZXYueG1sUEsBAhQAFAAAAAgA&#10;h07iQJ3x5SpjAgAApQQAAA4AAAAAAAAAAQAgAAAAIgEAAGRycy9lMm9Eb2MueG1sUEsFBgAAAAAG&#10;AAYAWQEAAPcFAAAAAA==&#10;">
                        <v:fill on="f" focussize="0,0"/>
                        <v:stroke on="f" weight="1pt"/>
                        <v:imagedata o:title=""/>
                        <o:lock v:ext="edit" aspectratio="f"/>
                        <v:textbox>
                          <w:txbxContent>
                            <w:p w14:paraId="74B1D81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0.005</w:t>
                              </w:r>
                            </w:p>
                          </w:txbxContent>
                        </v:textbox>
                      </v:rect>
                      <v:rect id="矩形 215" o:spid="_x0000_s1026" o:spt="1" style="position:absolute;left:1657985;top:194754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x&#10;/ice0wAAAAYBAAAPAAAAAAAAAAEAIAAAACIAAABkcnMvZG93bnJldi54bWxQSwECFAAUAAAACACH&#10;TuJAJvCeCWICAAClBAAADgAAAAAAAAABACAAAAAiAQAAZHJzL2Uyb0RvYy54bWxQSwUGAAAAAAYA&#10;BgBZAQAA9gUAAAAA&#10;">
                        <v:fill on="f" focussize="0,0"/>
                        <v:stroke on="f" weight="1pt"/>
                        <v:imagedata o:title=""/>
                        <o:lock v:ext="edit" aspectratio="f"/>
                        <v:textbox>
                          <w:txbxContent>
                            <w:p w14:paraId="665BBBB8">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0.165</w:t>
                              </w:r>
                            </w:p>
                          </w:txbxContent>
                        </v:textbox>
                      </v:rect>
                      <v:rect id="矩形 216" o:spid="_x0000_s1026" o:spt="1" style="position:absolute;left:2183765;top:299148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x&#10;/ice0wAAAAYBAAAPAAAAAAAAAAEAIAAAACIAAABkcnMvZG93bnJldi54bWxQSwECFAAUAAAACACH&#10;TuJAUc5dy2ICAAClBAAADgAAAAAAAAABACAAAAAiAQAAZHJzL2Uyb0RvYy54bWxQSwUGAAAAAAYA&#10;BgBZAQAA9gUAAAAA&#10;">
                        <v:fill on="f" focussize="0,0"/>
                        <v:stroke on="f" weight="1pt"/>
                        <v:imagedata o:title=""/>
                        <o:lock v:ext="edit" aspectratio="f"/>
                        <v:textbox>
                          <w:txbxContent>
                            <w:p w14:paraId="5C8BADF7">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0.04</w:t>
                              </w:r>
                            </w:p>
                          </w:txbxContent>
                        </v:textbox>
                      </v:rect>
                      <v:rect id="矩形 217" o:spid="_x0000_s1026" o:spt="1" style="position:absolute;left:2511425;top:355536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H+&#10;Jx7TAAAABgEAAA8AAAAAAAAAAQAgAAAAIgAAAGRycy9kb3ducmV2LnhtbFBLAQIUABQAAAAIAIdO&#10;4kBLVaT+YQIAAKUEAAAOAAAAAAAAAAEAIAAAACIBAABkcnMvZTJvRG9jLnhtbFBLBQYAAAAABgAG&#10;AFkBAAD1BQAAAAA=&#10;">
                        <v:fill on="f" focussize="0,0"/>
                        <v:stroke on="f" weight="1pt"/>
                        <v:imagedata o:title=""/>
                        <o:lock v:ext="edit" aspectratio="f"/>
                        <v:textbox>
                          <w:txbxContent>
                            <w:p w14:paraId="40B8970E">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18.24</w:t>
                              </w:r>
                            </w:p>
                          </w:txbxContent>
                        </v:textbox>
                      </v:rect>
                      <v:rect id="矩形 218" o:spid="_x0000_s1026" o:spt="1" style="position:absolute;left:1932305;top:270192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x&#10;/ice0wAAAAYBAAAPAAAAAAAAAAEAIAAAACIAAABkcnMvZG93bnJldi54bWxQSwECFAAUAAAACACH&#10;TuJAkPW1N2ICAAClBAAADgAAAAAAAAABACAAAAAiAQAAZHJzL2Uyb0RvYy54bWxQSwUGAAAAAAYA&#10;BgBZAQAA9gUAAAAA&#10;">
                        <v:fill on="f" focussize="0,0"/>
                        <v:stroke on="f" weight="1pt"/>
                        <v:imagedata o:title=""/>
                        <o:lock v:ext="edit" aspectratio="f"/>
                        <v:textbox>
                          <w:txbxContent>
                            <w:p w14:paraId="141B0EE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0.01</w:t>
                              </w:r>
                            </w:p>
                          </w:txbxContent>
                        </v:textbox>
                      </v:rect>
                      <v:rect id="矩形 219" o:spid="_x0000_s1026" o:spt="1" style="position:absolute;left:57785;top:3669665;height:335280;width:899160;v-text-anchor:middle;" filled="f" stroked="t" coordsize="21600,21600" o:gfxdata="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rthUc1AAAAAYBAAAPAAAAAAAAAAEAIAAAACIAAABkcnMvZG93bnJldi54&#10;bWxQSwECFAAUAAAACACHTuJAX0Cd+HACAADMBAAADgAAAAAAAAABACAAAAAjAQAAZHJzL2Uyb0Rv&#10;Yy54bWxQSwUGAAAAAAYABgBZAQAABQYAAAAA&#10;">
                        <v:fill on="f" focussize="0,0"/>
                        <v:stroke weight="1pt" color="#000000 [3213]" joinstyle="round"/>
                        <v:imagedata o:title=""/>
                        <o:lock v:ext="edit" aspectratio="f"/>
                        <v:textbox>
                          <w:txbxContent>
                            <w:p w14:paraId="6AF9454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果蔬渣发酵</w:t>
                              </w:r>
                            </w:p>
                          </w:txbxContent>
                        </v:textbox>
                      </v:rect>
                      <v:shape id="直接箭头连接符 220" o:spid="_x0000_s1026" o:spt="32" type="#_x0000_t32" style="position:absolute;left:979805;top:3852545;height:0;width:513715;" filled="f" stroked="t" coordsize="21600,21600" o:gfxdata="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LOm6tIAAAAGAQAADwAAAAAAAAABACAA&#10;AAAiAAAAZHJzL2Rvd25yZXYueG1sUEsBAhQAFAAAAAgAh07iQMvMRjcTAgAA6QMAAA4AAAAAAAAA&#10;AQAgAAAAIQEAAGRycy9lMm9Eb2MueG1sUEsFBgAAAAAGAAYAWQEAAKYFAAAAAA==&#10;">
                        <v:fill on="f" focussize="0,0"/>
                        <v:stroke weight="1pt" color="#000000 [3213]" joinstyle="round" endarrow="classic" endarrowlength="long"/>
                        <v:imagedata o:title=""/>
                        <o:lock v:ext="edit" aspectratio="f"/>
                      </v:shape>
                      <v:group id="_x0000_s1026" o:spid="_x0000_s1026" o:spt="203" style="position:absolute;left:345440;top:217805;height:335280;width:4023360;" coordorigin="127,6895" coordsize="6336,528" o:gfxdata="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">
                        <o:lock v:ext="edit" aspectratio="f"/>
                        <v:rect id="矩形 221" o:spid="_x0000_s1026" o:spt="1" style="position:absolute;left:127;top:6926;height:456;width:2148;v-text-anchor:middle;" filled="f" stroked="t" coordsize="21600,21600" o:gfxdata="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tXiCi/&#10;AAAA3AAAAA8AAAAAAAAAAQAgAAAAIgAAAGRycy9kb3ducmV2LnhtbFBLAQIUABQAAAAIAIdO4kAz&#10;LwWeOwAAADkAAAAQAAAAAAAAAAEAIAAAAA4BAABkcnMvc2hhcGV4bWwueG1sUEsFBgAAAAAGAAYA&#10;WwEAALgDAAAAAA==&#10;">
                          <v:fill on="f" focussize="0,0"/>
                          <v:stroke weight="1pt" color="#000000 [3213]" joinstyle="round"/>
                          <v:imagedata o:title=""/>
                          <o:lock v:ext="edit" aspectratio="f"/>
                          <v:textbox>
                            <w:txbxContent>
                              <w:p w14:paraId="1D94AD2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新鲜用水/初期雨水</w:t>
                                </w:r>
                              </w:p>
                            </w:txbxContent>
                          </v:textbox>
                        </v:rect>
                        <v:shape id="直接箭头连接符 222" o:spid="_x0000_s1026" o:spt="32" type="#_x0000_t32" style="position:absolute;left:2287;top:7147;height:0;width:809;" filled="f" stroked="t" coordsize="21600,21600" o:gfxdata="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gqiW8AAAA&#10;3AAAAA8AAAAAAAAAAQAgAAAAIgAAAGRycy9kb3ducmV2LnhtbFBLAQIUABQAAAAIAIdO4kAzLwWe&#10;OwAAADkAAAAQAAAAAAAAAAEAIAAAAAsBAABkcnMvc2hhcGV4bWwueG1sUEsFBgAAAAAGAAYAWwEA&#10;ALUDAAAAAA==&#10;">
                          <v:fill on="f" focussize="0,0"/>
                          <v:stroke weight="1pt" color="#000000 [3213]" joinstyle="round" endarrow="classic" endarrowlength="long"/>
                          <v:imagedata o:title=""/>
                          <o:lock v:ext="edit" aspectratio="f"/>
                        </v:shape>
                        <v:rect id="矩形 223" o:spid="_x0000_s1026" o:spt="1" style="position:absolute;left:3091;top:6895;height:528;width:1297;v-text-anchor:middle;" filled="f" stroked="t" coordsize="21600,21600" o:gfxdata="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TJs8S/&#10;AAAA3AAAAA8AAAAAAAAAAQAgAAAAIgAAAGRycy9kb3ducmV2LnhtbFBLAQIUABQAAAAIAIdO4kAz&#10;LwWeOwAAADkAAAAQAAAAAAAAAAEAIAAAAA4BAABkcnMvc2hhcGV4bWwueG1sUEsFBgAAAAAGAAYA&#10;WwEAALgDAAAAAA==&#10;">
                          <v:fill on="f" focussize="0,0"/>
                          <v:stroke weight="1pt" color="#000000 [3213]" joinstyle="round"/>
                          <v:imagedata o:title=""/>
                          <o:lock v:ext="edit" aspectratio="f"/>
                          <v:textbox>
                            <w:txbxContent>
                              <w:p w14:paraId="7AEFFF02">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道路降尘</w:t>
                                </w:r>
                              </w:p>
                            </w:txbxContent>
                          </v:textbox>
                        </v:rect>
                        <v:shape id="直接箭头连接符 224" o:spid="_x0000_s1026" o:spt="32" type="#_x0000_t32" style="position:absolute;left:4399;top:7171;height:0;width:809;" filled="f" stroked="t" coordsize="21600,21600" o:gfxdata="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B+kcm8AAAA&#10;3AAAAA8AAAAAAAAAAQAgAAAAIgAAAGRycy9kb3ducmV2LnhtbFBLAQIUABQAAAAIAIdO4kAzLwWe&#10;OwAAADkAAAAQAAAAAAAAAAEAIAAAAAsBAABkcnMvc2hhcGV4bWwueG1sUEsFBgAAAAAGAAYAWwEA&#10;ALUDAAAAAA==&#10;">
                          <v:fill on="f" focussize="0,0"/>
                          <v:stroke weight="1pt" color="#000000 [3213]" joinstyle="round" endarrow="classic" endarrowlength="long"/>
                          <v:imagedata o:title=""/>
                          <o:lock v:ext="edit" aspectratio="f"/>
                        </v:shape>
                        <v:rect id="矩形 225" o:spid="_x0000_s1026" o:spt="1" style="position:absolute;left:5107;top:6895;height:528;width:1356;v-text-anchor:middle;" filled="f" stroked="f" coordsize="21600,21600" o:gfxdata="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U6RIG5AAAA3AAA&#10;AA8AAAAAAAAAAQAgAAAAIgAAAGRycy9kb3ducmV2LnhtbFBLAQIUABQAAAAIAIdO4kAzLwWeOwAA&#10;ADkAAAAQAAAAAAAAAAEAIAAAAAgBAABkcnMvc2hhcGV4bWwueG1sUEsFBgAAAAAGAAYAWwEAALID&#10;AAAAAA==&#10;">
                          <v:fill on="f" focussize="0,0"/>
                          <v:stroke on="f" weight="1pt"/>
                          <v:imagedata o:title=""/>
                          <o:lock v:ext="edit" aspectratio="f"/>
                          <v:textbox>
                            <w:txbxContent>
                              <w:p w14:paraId="08D8ADD8">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蒸发</w:t>
                                </w:r>
                              </w:p>
                            </w:txbxContent>
                          </v:textbox>
                        </v:rect>
                      </v:group>
                      <v:shape id="直接箭头连接符 226" o:spid="_x0000_s1026" o:spt="32" type="#_x0000_t32" style="position:absolute;left:3456305;top:3982085;height:0;width:513715;" filled="f" stroked="t" coordsize="21600,21600" o:gfxdata="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ws6bq0gAAAAYBAAAPAAAAAAAAAAEA&#10;IAAAACIAAABkcnMvZG93bnJldi54bWxQSwECFAAUAAAACACHTuJAbBX37RUCAADqAwAADgAAAAAA&#10;AAABACAAAAAhAQAAZHJzL2Uyb0RvYy54bWxQSwUGAAAAAAYABgBZAQAAqAUAAAAA&#10;">
                        <v:fill on="f" focussize="0,0"/>
                        <v:stroke weight="1pt" color="#000000 [3213]" joinstyle="round" endarrow="classic" endarrowlength="long"/>
                        <v:imagedata o:title=""/>
                        <o:lock v:ext="edit" aspectratio="f"/>
                      </v:shape>
                      <v:rect id="矩形 227" o:spid="_x0000_s1026" o:spt="1" style="position:absolute;left:3943985;top:911225;height:6597015;width:328295;v-text-anchor:middle;" filled="f" stroked="t" coordsize="21600,21600" o:gfxdata="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7YVHNQAAAAGAQAADwAAAAAAAAABACAAAAAiAAAAZHJzL2Rvd25yZXYu&#10;eG1sUEsBAhQAFAAAAAgAh07iQLwC2oxxAgAAzgQAAA4AAAAAAAAAAQAgAAAAIwEAAGRycy9lMm9E&#10;b2MueG1sUEsFBgAAAAAGAAYAWQEAAAYGAAAAAA==&#10;">
                        <v:fill on="f" focussize="0,0"/>
                        <v:stroke weight="1pt" color="#000000 [3213]" joinstyle="round"/>
                        <v:imagedata o:title=""/>
                        <o:lock v:ext="edit" aspectratio="f"/>
                        <v:textbox>
                          <w:txbxContent>
                            <w:p w14:paraId="522C4C9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寻甸污水处理厂</w:t>
                              </w:r>
                            </w:p>
                          </w:txbxContent>
                        </v:textbox>
                      </v:rect>
                      <v:rect id="矩形 228" o:spid="_x0000_s1026" o:spt="1" style="position:absolute;left:3258185;top:373824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f4n&#10;HtMAAAAGAQAADwAAAAAAAAABACAAAAAiAAAAZHJzL2Rvd25yZXYueG1sUEsBAhQAFAAAAAgAh07i&#10;QKB9zd5gAgAApQQAAA4AAAAAAAAAAQAgAAAAIgEAAGRycy9lMm9Eb2MueG1sUEsFBgAAAAAGAAYA&#10;WQEAAPQFAAAAAA==&#10;">
                        <v:fill on="f" focussize="0,0"/>
                        <v:stroke on="f" weight="1pt"/>
                        <v:imagedata o:title=""/>
                        <o:lock v:ext="edit" aspectratio="f"/>
                        <v:textbox>
                          <w:txbxContent>
                            <w:p w14:paraId="4C4B9527">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687.038</w:t>
                              </w:r>
                            </w:p>
                          </w:txbxContent>
                        </v:textbox>
                      </v:rect>
                      <v:rect id="矩形 229" o:spid="_x0000_s1026" o:spt="1" style="position:absolute;left:1536065;top:156845;height:464185;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f4n&#10;HtMAAAAGAQAADwAAAAAAAAABACAAAAAiAAAAZHJzL2Rvd25yZXYueG1sUEsBAhQAFAAAAAgAh07i&#10;QJJtbCxgAgAApAQAAA4AAAAAAAAAAQAgAAAAIgEAAGRycy9lMm9Eb2MueG1sUEsFBgAAAAAGAAYA&#10;WQEAAPQFAAAAAA==&#10;">
                        <v:fill on="f" focussize="0,0"/>
                        <v:stroke on="f" weight="1pt"/>
                        <v:imagedata o:title=""/>
                        <o:lock v:ext="edit" aspectratio="f"/>
                        <v:textbox>
                          <w:txbxContent>
                            <w:p w14:paraId="31EDDBC6">
                              <w:pPr>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3.15</w:t>
                              </w:r>
                            </w:p>
                            <w:p w14:paraId="7397E88D">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（晴天）</w:t>
                              </w:r>
                            </w:p>
                          </w:txbxContent>
                        </v:textbox>
                      </v:rect>
                      <v:shape id="曲线连接符 208" o:spid="_x0000_s1026" o:spt="37" type="#_x0000_t37" style="position:absolute;left:2115185;top:4355465;height:262255;width:210185;rotation:-5898240f;" filled="f" stroked="t" coordsize="21600,21600" o:gfxdata="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yzw+J1QAAAAYBAAAPAAAA&#10;AAAAAAEAIAAAACIAAABkcnMvZG93bnJldi54bWxQSwECFAAUAAAACACHTuJAA7dNchgCAAD2AwAA&#10;DgAAAAAAAAABACAAAAAkAQAAZHJzL2Uyb0RvYy54bWxQSwUGAAAAAAYABgBZAQAArgUAAAAA&#10;">
                        <v:fill on="f" focussize="0,0"/>
                        <v:stroke weight="1pt" color="#000000 [3213]" joinstyle="round" endarrow="classic" endarrowlength="long"/>
                        <v:imagedata o:title=""/>
                        <o:lock v:ext="edit" aspectratio="f"/>
                      </v:shape>
                      <v:rect id="矩形 189" o:spid="_x0000_s1026" o:spt="1" style="position:absolute;left:2305685;top:516318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H+&#10;Jx7TAAAABgEAAA8AAAAAAAAAAQAgAAAAIgAAAGRycy9kb3ducmV2LnhtbFBLAQIUABQAAAAIAIdO&#10;4kDiPPIMYQIAAKUEAAAOAAAAAAAAAAEAIAAAACIBAABkcnMvZTJvRG9jLnhtbFBLBQYAAAAABgAG&#10;AFkBAAD1BQAAAAA=&#10;">
                        <v:fill on="f" focussize="0,0"/>
                        <v:stroke on="f" weight="1pt"/>
                        <v:imagedata o:title=""/>
                        <o:lock v:ext="edit" aspectratio="f"/>
                        <v:textbox>
                          <w:txbxContent>
                            <w:p w14:paraId="4240B94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657.1</w:t>
                              </w:r>
                            </w:p>
                          </w:txbxContent>
                        </v:textbox>
                      </v:rect>
                      <v:group id="组合 182" o:spid="_x0000_s1026" o:spt="203" style="position:absolute;left:797560;top:5909945;height:335280;width:2320925;" coordorigin="382,443" coordsize="2228,528" o:gfxdata="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">
                        <o:lock v:ext="edit" aspectratio="f"/>
                        <v:rect id="矩形 173" o:spid="_x0000_s1026" o:spt="1" style="position:absolute;left:382;top:443;height:528;width:1356;v-text-anchor:middle;" filled="f" stroked="t" coordsize="21600,21600" o:gfxdata="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eYsaL4A&#10;AADc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textbox>
                            <w:txbxContent>
                              <w:p w14:paraId="7F46BB8B">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现有项目生产废水</w:t>
                                </w:r>
                              </w:p>
                            </w:txbxContent>
                          </v:textbox>
                        </v:rect>
                        <v:shape id="直接箭头连接符 174" o:spid="_x0000_s1026" o:spt="32" type="#_x0000_t32" style="position:absolute;left:1738;top:707;height:2;width:872;" filled="f" stroked="t" coordsize="21600,21600" o:gfxdata="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s81ibsAAADc&#10;AAAADwAAAAAAAAABACAAAAAiAAAAZHJzL2Rvd25yZXYueG1sUEsBAhQAFAAAAAgAh07iQDMvBZ47&#10;AAAAOQAAABAAAAAAAAAAAQAgAAAACgEAAGRycy9zaGFwZXhtbC54bWxQSwUGAAAAAAYABgBbAQAA&#10;tAMAAAAA&#10;">
                          <v:fill on="f" focussize="0,0"/>
                          <v:stroke weight="1pt" color="#000000 [3213]" joinstyle="round" endarrow="classic" endarrowlength="long"/>
                          <v:imagedata o:title=""/>
                          <o:lock v:ext="edit" aspectratio="f"/>
                        </v:shape>
                      </v:group>
                      <v:rect id="矩形 189" o:spid="_x0000_s1026" o:spt="1" style="position:absolute;left:2305685;top:581850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H+Jx7TAAAABgEAAA8AAAAAAAAAAQAgAAAAIgAAAGRycy9kb3ducmV2LnhtbFBLAQIUABQAAAAI&#10;AIdO4kAw2lc1ZAIAAKUEAAAOAAAAAAAAAAEAIAAAACIBAABkcnMvZTJvRG9jLnhtbFBLBQYAAAAA&#10;BgAGAFkBAAD4BQAAAAA=&#10;">
                        <v:fill on="f" focussize="0,0"/>
                        <v:stroke on="f" weight="1pt"/>
                        <v:imagedata o:title=""/>
                        <o:lock v:ext="edit" aspectratio="f"/>
                        <v:textbox>
                          <w:txbxContent>
                            <w:p w14:paraId="1F9E27E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10.44</w:t>
                              </w:r>
                            </w:p>
                          </w:txbxContent>
                        </v:textbox>
                      </v:rect>
                      <v:group id="组合 182" o:spid="_x0000_s1026" o:spt="203" style="position:absolute;left:415925;top:6702425;height:335280;width:1930400;" coordorigin="382,443" coordsize="1853,528" o:gfxdata="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">
                        <o:lock v:ext="edit" aspectratio="f"/>
                        <v:rect id="矩形 173" o:spid="_x0000_s1026" o:spt="1" style="position:absolute;left:382;top:443;height:528;width:1356;v-text-anchor:middle;" filled="f" stroked="t" coordsize="21600,21600" o:gfxdata="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lacNr4A&#10;AADc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textbox>
                            <w:txbxContent>
                              <w:p w14:paraId="1E31D680">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现有项目生活污水</w:t>
                                </w:r>
                              </w:p>
                            </w:txbxContent>
                          </v:textbox>
                        </v:rect>
                        <v:shape id="直接箭头连接符 174" o:spid="_x0000_s1026" o:spt="32" type="#_x0000_t32" style="position:absolute;left:1738;top:698;flip:y;height:9;width:497;" filled="f" stroked="t" coordsize="21600,21600" o:gfxdata="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ewR1b4A&#10;AADcAAAADwAAAAAAAAABACAAAAAiAAAAZHJzL2Rvd25yZXYueG1sUEsBAhQAFAAAAAgAh07iQDMv&#10;BZ47AAAAOQAAABAAAAAAAAAAAQAgAAAADQEAAGRycy9zaGFwZXhtbC54bWxQSwUGAAAAAAYABgBb&#10;AQAAtwMAAAAA&#10;">
                          <v:fill on="f" focussize="0,0"/>
                          <v:stroke weight="1pt" color="#000000 [3213]" joinstyle="round" endarrow="classic" endarrowlength="long"/>
                          <v:imagedata o:title=""/>
                          <o:lock v:ext="edit" aspectratio="f"/>
                        </v:shape>
                      </v:group>
                      <v:rect id="矩形 175" o:spid="_x0000_s1026" o:spt="1" style="position:absolute;left:2336165;top:6694805;height:335280;width:1081405;v-text-anchor:middle;" filled="f" stroked="t" coordsize="21600,21600" o:gfxdata="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K7YVHNQAAAAGAQAADwAAAAAAAAABACAAAAAiAAAAZHJzL2Rvd25y&#10;ZXYueG1sUEsBAhQAFAAAAAgAh07iQPF7nwh0AgAAzwQAAA4AAAAAAAAAAQAgAAAAIwEAAGRycy9l&#10;Mm9Eb2MueG1sUEsFBgAAAAAGAAYAWQEAAAkGAAAAAA==&#10;">
                        <v:fill on="f" focussize="0,0"/>
                        <v:stroke weight="1pt" color="#000000 [3213]" joinstyle="round"/>
                        <v:imagedata o:title=""/>
                        <o:lock v:ext="edit" aspectratio="f"/>
                        <v:textbox>
                          <w:txbxContent>
                            <w:p w14:paraId="7B7DA49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隔油池/化粪池</w:t>
                              </w:r>
                            </w:p>
                          </w:txbxContent>
                        </v:textbox>
                      </v:rect>
                      <v:shape id="直接箭头连接符 174" o:spid="_x0000_s1026" o:spt="32" type="#_x0000_t32" style="position:absolute;left:3425825;top:6862445;flip:y;height:5715;width:517525;" filled="f" stroked="t" coordsize="21600,21600" o:gfxdata="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VCsgs1QAAAAYB&#10;AAAPAAAAAAAAAAEAIAAAACIAAABkcnMvZG93bnJldi54bWxQSwECFAAUAAAACACHTuJA2aExQR4C&#10;AAD3AwAADgAAAAAAAAABACAAAAAkAQAAZHJzL2Uyb0RvYy54bWxQSwUGAAAAAAYABgBZAQAAtAUA&#10;AAAA&#10;">
                        <v:fill on="f" focussize="0,0"/>
                        <v:stroke weight="1pt" color="#000000 [3213]" joinstyle="round" endarrow="classic" endarrowlength="long"/>
                        <v:imagedata o:title=""/>
                        <o:lock v:ext="edit" aspectratio="f"/>
                      </v:shape>
                      <v:rect id="矩形 189" o:spid="_x0000_s1026" o:spt="1" style="position:absolute;left:1635125;top:660336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Mf4nHtMAAAAGAQAADwAAAAAAAAABACAAAAAiAAAAZHJzL2Rvd25yZXYueG1sUEsBAhQAFAAAAAgA&#10;h07iQNQY47JjAgAApQQAAA4AAAAAAAAAAQAgAAAAIgEAAGRycy9lMm9Eb2MueG1sUEsFBgAAAAAG&#10;AAYAWQEAAPcFAAAAAA==&#10;">
                        <v:fill on="f" focussize="0,0"/>
                        <v:stroke on="f" weight="1pt"/>
                        <v:imagedata o:title=""/>
                        <o:lock v:ext="edit" aspectratio="f"/>
                        <v:textbox>
                          <w:txbxContent>
                            <w:p w14:paraId="0A76F80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2.732</w:t>
                              </w:r>
                            </w:p>
                          </w:txbxContent>
                        </v:textbox>
                      </v:rect>
                      <v:rect id="矩形 189" o:spid="_x0000_s1026" o:spt="1" style="position:absolute;left:3242945;top:6618605;height:335280;width:861060;v-text-anchor:middle;" filled="f" stroked="f" coordsize="21600,21600" o:gfxdata="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Mf4nHtMAAAAGAQAADwAAAAAAAAABACAAAAAiAAAAZHJzL2Rvd25yZXYueG1sUEsBAhQAFAAAAAgA&#10;h07iQOB86jRjAgAApQQAAA4AAAAAAAAAAQAgAAAAIgEAAGRycy9lMm9Eb2MueG1sUEsFBgAAAAAG&#10;AAYAWQEAAPcFAAAAAA==&#10;">
                        <v:fill on="f" focussize="0,0"/>
                        <v:stroke on="f" weight="1pt"/>
                        <v:imagedata o:title=""/>
                        <o:lock v:ext="edit" aspectratio="f"/>
                        <v:textbox>
                          <w:txbxContent>
                            <w:p w14:paraId="2806788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2.732</w:t>
                              </w:r>
                            </w:p>
                          </w:txbxContent>
                        </v:textbox>
                      </v:rect>
                      <w10:wrap type="none"/>
                      <w10:anchorlock/>
                    </v:group>
                  </w:pict>
                </mc:Fallback>
              </mc:AlternateContent>
            </w:r>
          </w:p>
          <w:p w14:paraId="764396B2">
            <w:pPr>
              <w:ind w:firstLine="422" w:firstLineChars="200"/>
              <w:jc w:val="center"/>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图2-3  本项目建设完成后全厂水量平衡（晴天）</w:t>
            </w:r>
          </w:p>
          <w:p w14:paraId="1FC11B8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bCs/>
                <w:color w:val="auto"/>
                <w:sz w:val="24"/>
                <w:highlight w:val="none"/>
                <w:lang w:val="en-US" w:eastAsia="zh-CN"/>
              </w:rPr>
            </w:pPr>
            <w:r>
              <w:rPr>
                <w:color w:val="auto"/>
                <w:sz w:val="24"/>
                <w:highlight w:val="none"/>
              </w:rPr>
              <mc:AlternateContent>
                <mc:Choice Requires="wpc">
                  <w:drawing>
                    <wp:inline distT="0" distB="0" distL="114300" distR="114300">
                      <wp:extent cx="5473700" cy="7955280"/>
                      <wp:effectExtent l="6350" t="6350" r="6350" b="8890"/>
                      <wp:docPr id="511" name="画布 511"/>
                      <wp:cNvGraphicFramePr/>
                      <a:graphic xmlns:a="http://schemas.openxmlformats.org/drawingml/2006/main">
                        <a:graphicData uri="http://schemas.microsoft.com/office/word/2010/wordprocessingCanvas">
                          <wpc:wpc>
                            <wpc:bg/>
                            <wpc:whole>
                              <a:ln w="12700">
                                <a:solidFill>
                                  <a:schemeClr val="tx1"/>
                                </a:solidFill>
                              </a:ln>
                            </wpc:whole>
                            <wpg:wgp>
                              <wpg:cNvPr id="512" name="组合 182"/>
                              <wpg:cNvGrpSpPr/>
                              <wpg:grpSpPr>
                                <a:xfrm rot="0">
                                  <a:off x="1652270" y="5249545"/>
                                  <a:ext cx="1414780" cy="335280"/>
                                  <a:chOff x="382" y="443"/>
                                  <a:chExt cx="2228" cy="528"/>
                                </a:xfrm>
                              </wpg:grpSpPr>
                              <wps:wsp>
                                <wps:cNvPr id="513" name="矩形 173"/>
                                <wps:cNvSpPr/>
                                <wps:spPr>
                                  <a:xfrm>
                                    <a:off x="382" y="443"/>
                                    <a:ext cx="1356" cy="528"/>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59ACC62">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尾菜废水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14" name="直接箭头连接符 174"/>
                                <wps:cNvCnPr>
                                  <a:stCxn id="173" idx="3"/>
                                </wps:cNvCnPr>
                                <wps:spPr>
                                  <a:xfrm>
                                    <a:off x="1738" y="707"/>
                                    <a:ext cx="872" cy="2"/>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g:wgp>
                            <wps:wsp>
                              <wps:cNvPr id="515" name="矩形 175"/>
                              <wps:cNvSpPr/>
                              <wps:spPr>
                                <a:xfrm>
                                  <a:off x="1657985" y="4614545"/>
                                  <a:ext cx="861060"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7E1587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液体发酵</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16" name="直接箭头连接符 180"/>
                              <wps:cNvCnPr/>
                              <wps:spPr>
                                <a:xfrm flipH="1" flipV="1">
                                  <a:off x="2080895" y="4936490"/>
                                  <a:ext cx="3810" cy="30289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517" name="矩形 181"/>
                              <wps:cNvSpPr/>
                              <wps:spPr>
                                <a:xfrm>
                                  <a:off x="2191385" y="42030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CF5D08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进入产品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18" name="矩形 183"/>
                              <wps:cNvSpPr/>
                              <wps:spPr>
                                <a:xfrm>
                                  <a:off x="347345" y="1017905"/>
                                  <a:ext cx="328295" cy="1820545"/>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C5E1A4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新鲜用水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19" name="直接箭头连接符 184"/>
                              <wps:cNvCnPr/>
                              <wps:spPr>
                                <a:xfrm>
                                  <a:off x="690245" y="120078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520" name="直接箭头连接符 185"/>
                              <wps:cNvCnPr/>
                              <wps:spPr>
                                <a:xfrm>
                                  <a:off x="675005" y="187134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521" name="直接箭头连接符 186"/>
                              <wps:cNvCnPr/>
                              <wps:spPr>
                                <a:xfrm>
                                  <a:off x="690245" y="248856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522" name="矩形 187"/>
                              <wps:cNvSpPr/>
                              <wps:spPr>
                                <a:xfrm>
                                  <a:off x="1231265" y="1033145"/>
                                  <a:ext cx="133286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DCE74A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液体发酵设备清洗</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23" name="矩形 188"/>
                              <wps:cNvSpPr/>
                              <wps:spPr>
                                <a:xfrm>
                                  <a:off x="1216025" y="1711325"/>
                                  <a:ext cx="1310640"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9979C9C">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固体发酵地面清洗</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24" name="矩形 189"/>
                              <wps:cNvSpPr/>
                              <wps:spPr>
                                <a:xfrm>
                                  <a:off x="1818005" y="49650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2DE1D34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42.9</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25" name="矩形 190"/>
                              <wps:cNvSpPr/>
                              <wps:spPr>
                                <a:xfrm>
                                  <a:off x="1528445" y="433260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85C756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42.9</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26" name="直接箭头连接符 191"/>
                              <wps:cNvCnPr/>
                              <wps:spPr>
                                <a:xfrm>
                                  <a:off x="2572385" y="117792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527" name="直接箭头连接符 192"/>
                              <wps:cNvCnPr/>
                              <wps:spPr>
                                <a:xfrm>
                                  <a:off x="2541905" y="1871345"/>
                                  <a:ext cx="553720" cy="127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528" name="矩形 193"/>
                              <wps:cNvSpPr/>
                              <wps:spPr>
                                <a:xfrm>
                                  <a:off x="3121025" y="911225"/>
                                  <a:ext cx="328295" cy="5423535"/>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294BD46">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污水处理站</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29" name="矩形 194"/>
                              <wps:cNvSpPr/>
                              <wps:spPr>
                                <a:xfrm>
                                  <a:off x="1223645" y="2336165"/>
                                  <a:ext cx="82359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2B24E7D">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纯水制备</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30" name="矩形 195"/>
                              <wps:cNvSpPr/>
                              <wps:spPr>
                                <a:xfrm>
                                  <a:off x="1231265" y="3060065"/>
                                  <a:ext cx="82359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AF5055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实验用水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31" name="直接箭头连接符 196"/>
                              <wps:cNvCnPr/>
                              <wps:spPr>
                                <a:xfrm flipH="1">
                                  <a:off x="1663065" y="2659380"/>
                                  <a:ext cx="1905" cy="39433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532" name="直接箭头连接符 197"/>
                              <wps:cNvCnPr/>
                              <wps:spPr>
                                <a:xfrm>
                                  <a:off x="2046605" y="2503805"/>
                                  <a:ext cx="1050925" cy="317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533" name="直接箭头连接符 198"/>
                              <wps:cNvCnPr/>
                              <wps:spPr>
                                <a:xfrm>
                                  <a:off x="2077085" y="3227705"/>
                                  <a:ext cx="1050925" cy="317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534" name="矩形 199"/>
                              <wps:cNvSpPr/>
                              <wps:spPr>
                                <a:xfrm>
                                  <a:off x="1505585" y="3662045"/>
                                  <a:ext cx="82359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3C51F6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渗滤液</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35" name="直接箭头连接符 200"/>
                              <wps:cNvCnPr/>
                              <wps:spPr>
                                <a:xfrm flipV="1">
                                  <a:off x="2350770" y="3840480"/>
                                  <a:ext cx="769620" cy="444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536" name="矩形 201"/>
                              <wps:cNvSpPr/>
                              <wps:spPr>
                                <a:xfrm>
                                  <a:off x="476885" y="9493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056540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1.45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37" name="矩形 202"/>
                              <wps:cNvSpPr/>
                              <wps:spPr>
                                <a:xfrm>
                                  <a:off x="2397125" y="9264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967191C">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1.16</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38" name="曲线连接符 203"/>
                              <wps:cNvCnPr>
                                <a:stCxn id="187" idx="0"/>
                              </wps:cNvCnPr>
                              <wps:spPr>
                                <a:xfrm rot="16200000">
                                  <a:off x="1923415" y="79692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539" name="矩形 204"/>
                              <wps:cNvSpPr/>
                              <wps:spPr>
                                <a:xfrm>
                                  <a:off x="1878965" y="6292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E8A3A1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0.29</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40" name="矩形 205"/>
                              <wps:cNvSpPr/>
                              <wps:spPr>
                                <a:xfrm>
                                  <a:off x="522605" y="16122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21B52DD">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0.067</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41" name="矩形 206"/>
                              <wps:cNvSpPr/>
                              <wps:spPr>
                                <a:xfrm>
                                  <a:off x="2397125" y="15970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1A77617">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0.053</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42" name="矩形 207"/>
                              <wps:cNvSpPr/>
                              <wps:spPr>
                                <a:xfrm>
                                  <a:off x="1779905" y="133794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876589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0.014</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43" name="曲线连接符 208"/>
                              <wps:cNvCnPr/>
                              <wps:spPr>
                                <a:xfrm rot="16200000">
                                  <a:off x="1818005" y="148272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544" name="曲线连接符 210"/>
                              <wps:cNvCnPr/>
                              <wps:spPr>
                                <a:xfrm rot="16200000">
                                  <a:off x="1985645" y="283908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545" name="曲线连接符 211"/>
                              <wps:cNvCnPr/>
                              <wps:spPr>
                                <a:xfrm rot="16200000">
                                  <a:off x="1696085" y="210756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546" name="矩形 212"/>
                              <wps:cNvSpPr/>
                              <wps:spPr>
                                <a:xfrm>
                                  <a:off x="545465" y="22066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507C436">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0.22</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47" name="矩形 213"/>
                              <wps:cNvSpPr/>
                              <wps:spPr>
                                <a:xfrm>
                                  <a:off x="1383665" y="27019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639FE94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48" name="矩形 214"/>
                              <wps:cNvSpPr/>
                              <wps:spPr>
                                <a:xfrm>
                                  <a:off x="2168525" y="22294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F50E5D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0.005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49" name="矩形 215"/>
                              <wps:cNvSpPr/>
                              <wps:spPr>
                                <a:xfrm>
                                  <a:off x="1657985" y="194754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2DF60D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0.165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50" name="矩形 216"/>
                              <wps:cNvSpPr/>
                              <wps:spPr>
                                <a:xfrm>
                                  <a:off x="2183765" y="29914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68357D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0.04</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51" name="矩形 217"/>
                              <wps:cNvSpPr/>
                              <wps:spPr>
                                <a:xfrm>
                                  <a:off x="2511425" y="35553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443D653">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18.24</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52" name="矩形 218"/>
                              <wps:cNvSpPr/>
                              <wps:spPr>
                                <a:xfrm>
                                  <a:off x="1932305" y="270192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387CBA9C">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0.01</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53" name="矩形 219"/>
                              <wps:cNvSpPr/>
                              <wps:spPr>
                                <a:xfrm>
                                  <a:off x="57785" y="3669665"/>
                                  <a:ext cx="899160"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9CFD38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果蔬渣发酵</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54" name="直接箭头连接符 220"/>
                              <wps:cNvCnPr/>
                              <wps:spPr>
                                <a:xfrm>
                                  <a:off x="979805" y="3852545"/>
                                  <a:ext cx="513715" cy="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561" name="直接箭头连接符 226"/>
                              <wps:cNvCnPr/>
                              <wps:spPr>
                                <a:xfrm>
                                  <a:off x="3456305" y="3982085"/>
                                  <a:ext cx="513715" cy="0"/>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562" name="矩形 227"/>
                              <wps:cNvSpPr/>
                              <wps:spPr>
                                <a:xfrm>
                                  <a:off x="3943985" y="911225"/>
                                  <a:ext cx="328295" cy="6597015"/>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C7D71D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寻甸污水处理厂</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63" name="矩形 228"/>
                              <wps:cNvSpPr/>
                              <wps:spPr>
                                <a:xfrm>
                                  <a:off x="3258185" y="373824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568F2F2">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687.038</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65" name="曲线连接符 208"/>
                              <wps:cNvCnPr/>
                              <wps:spPr>
                                <a:xfrm rot="16200000">
                                  <a:off x="2115185" y="4355465"/>
                                  <a:ext cx="210185" cy="262255"/>
                                </a:xfrm>
                                <a:prstGeom prst="curvedConnector2">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566" name="矩形 189"/>
                              <wps:cNvSpPr/>
                              <wps:spPr>
                                <a:xfrm>
                                  <a:off x="2305685" y="516318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BCAA7B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657.1</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cNvPr id="567" name="组合 182"/>
                              <wpg:cNvGrpSpPr/>
                              <wpg:grpSpPr>
                                <a:xfrm rot="0">
                                  <a:off x="797560" y="5909945"/>
                                  <a:ext cx="2320925" cy="335280"/>
                                  <a:chOff x="382" y="443"/>
                                  <a:chExt cx="2228" cy="528"/>
                                </a:xfrm>
                              </wpg:grpSpPr>
                              <wps:wsp>
                                <wps:cNvPr id="568" name="矩形 173"/>
                                <wps:cNvSpPr/>
                                <wps:spPr>
                                  <a:xfrm>
                                    <a:off x="382" y="443"/>
                                    <a:ext cx="1356" cy="528"/>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45FAC4F">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现有项目生产废水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69" name="直接箭头连接符 174"/>
                                <wps:cNvCnPr>
                                  <a:stCxn id="173" idx="3"/>
                                </wps:cNvCnPr>
                                <wps:spPr>
                                  <a:xfrm>
                                    <a:off x="1738" y="707"/>
                                    <a:ext cx="872" cy="2"/>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g:wgp>
                            <wps:wsp>
                              <wps:cNvPr id="570" name="矩形 189"/>
                              <wps:cNvSpPr/>
                              <wps:spPr>
                                <a:xfrm>
                                  <a:off x="2305685" y="581850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E54AEDB">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10.44</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cNvPr id="571" name="组合 182"/>
                              <wpg:cNvGrpSpPr/>
                              <wpg:grpSpPr>
                                <a:xfrm rot="0">
                                  <a:off x="415925" y="6702425"/>
                                  <a:ext cx="1930400" cy="335280"/>
                                  <a:chOff x="382" y="443"/>
                                  <a:chExt cx="1853" cy="528"/>
                                </a:xfrm>
                              </wpg:grpSpPr>
                              <wps:wsp>
                                <wps:cNvPr id="572" name="矩形 173"/>
                                <wps:cNvSpPr/>
                                <wps:spPr>
                                  <a:xfrm>
                                    <a:off x="382" y="443"/>
                                    <a:ext cx="1356" cy="528"/>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665B9C2">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现有项目生活污水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73" name="直接箭头连接符 174"/>
                                <wps:cNvCnPr>
                                  <a:stCxn id="173" idx="3"/>
                                </wps:cNvCnPr>
                                <wps:spPr>
                                  <a:xfrm flipV="1">
                                    <a:off x="1738" y="698"/>
                                    <a:ext cx="497" cy="9"/>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g:wgp>
                            <wps:wsp>
                              <wps:cNvPr id="574" name="矩形 175"/>
                              <wps:cNvSpPr/>
                              <wps:spPr>
                                <a:xfrm>
                                  <a:off x="2336165" y="6694805"/>
                                  <a:ext cx="1081405" cy="33528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005839D">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隔油池/化粪池</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75" name="直接箭头连接符 174"/>
                              <wps:cNvCnPr/>
                              <wps:spPr>
                                <a:xfrm flipV="1">
                                  <a:off x="3425825" y="6862445"/>
                                  <a:ext cx="517525" cy="5715"/>
                                </a:xfrm>
                                <a:prstGeom prst="straightConnector1">
                                  <a:avLst/>
                                </a:prstGeom>
                                <a:ln w="12700" cmpd="sng">
                                  <a:solidFill>
                                    <a:schemeClr val="tx1"/>
                                  </a:solidFill>
                                  <a:prstDash val="solid"/>
                                  <a:tailEnd type="stealth" w="med" len="lg"/>
                                </a:ln>
                              </wps:spPr>
                              <wps:style>
                                <a:lnRef idx="2">
                                  <a:schemeClr val="accent1"/>
                                </a:lnRef>
                                <a:fillRef idx="0">
                                  <a:srgbClr val="FFFFFF"/>
                                </a:fillRef>
                                <a:effectRef idx="0">
                                  <a:srgbClr val="FFFFFF"/>
                                </a:effectRef>
                                <a:fontRef idx="minor">
                                  <a:schemeClr val="tx1"/>
                                </a:fontRef>
                              </wps:style>
                              <wps:bodyPr/>
                            </wps:wsp>
                            <wps:wsp>
                              <wps:cNvPr id="576" name="矩形 189"/>
                              <wps:cNvSpPr/>
                              <wps:spPr>
                                <a:xfrm>
                                  <a:off x="1635125" y="660336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727552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2.732</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77" name="矩形 189"/>
                              <wps:cNvSpPr/>
                              <wps:spPr>
                                <a:xfrm>
                                  <a:off x="3242945" y="6618605"/>
                                  <a:ext cx="861060" cy="33528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699E667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2.732</w:t>
                                    </w:r>
                                  </w:p>
                                </w:txbxContent>
                              </wps:txbx>
                              <wps:bodyPr rot="0" spcFirstLastPara="0" vertOverflow="overflow" horzOverflow="overflow" vert="horz" wrap="square" lIns="91440" tIns="45720" rIns="91440" bIns="45720" numCol="1" spcCol="0" rtlCol="0" fromWordArt="0" anchor="ctr" anchorCtr="0" forceAA="0" compatLnSpc="1">
                                <a:noAutofit/>
                              </wps:bodyPr>
                            </wps:wsp>
                          </wpc:wpc>
                        </a:graphicData>
                      </a:graphic>
                    </wp:inline>
                  </w:drawing>
                </mc:Choice>
                <mc:Fallback>
                  <w:pict>
                    <v:group id="_x0000_s1026" o:spid="_x0000_s1026" o:spt="203" style="height:626.4pt;width:431pt;" coordsize="5473700,7955280" editas="canvas" o:gfxdata="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">
                      <o:lock v:ext="edit" aspectratio="f"/>
                      <v:shape id="_x0000_s1026" o:spid="_x0000_s1026" style="position:absolute;left:0;top:0;height:7955280;width:5473700;" filled="f" stroked="t" coordsize="21600,21600" o:gfxdata="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">
                        <v:fill on="f" focussize="0,0"/>
                        <v:stroke weight="1pt" color="#000000 [3213]" joinstyle="round"/>
                        <v:imagedata o:title=""/>
                        <o:lock v:ext="edit" aspectratio="f"/>
                      </v:shape>
                      <v:group id="组合 182" o:spid="_x0000_s1026" o:spt="203" style="position:absolute;left:1652270;top:5249545;height:335280;width:1414780;" coordorigin="382,443" coordsize="2228,528" o:gfxdata="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">
                        <o:lock v:ext="edit" aspectratio="f"/>
                        <v:rect id="矩形 173" o:spid="_x0000_s1026" o:spt="1" style="position:absolute;left:382;top:443;height:528;width:1356;v-text-anchor:middle;" filled="f" stroked="t" coordsize="21600,21600" o:gfxdata="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8qNwS/&#10;AAAA3AAAAA8AAAAAAAAAAQAgAAAAIgAAAGRycy9kb3ducmV2LnhtbFBLAQIUABQAAAAIAIdO4kAz&#10;LwWeOwAAADkAAAAQAAAAAAAAAAEAIAAAAA4BAABkcnMvc2hhcGV4bWwueG1sUEsFBgAAAAAGAAYA&#10;WwEAALgDAAAAAA==&#10;">
                          <v:fill on="f" focussize="0,0"/>
                          <v:stroke weight="1pt" color="#000000 [3213]" joinstyle="round"/>
                          <v:imagedata o:title=""/>
                          <o:lock v:ext="edit" aspectratio="f"/>
                          <v:textbox>
                            <w:txbxContent>
                              <w:p w14:paraId="059ACC62">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尾菜废水</w:t>
                                </w:r>
                              </w:p>
                            </w:txbxContent>
                          </v:textbox>
                        </v:rect>
                        <v:shape id="直接箭头连接符 174" o:spid="_x0000_s1026" o:spt="32" type="#_x0000_t32" style="position:absolute;left:1738;top:707;height:2;width:872;" filled="f" stroked="t" coordsize="21600,21600" o:gfxdata="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s4KOa8AAAA&#10;3AAAAA8AAAAAAAAAAQAgAAAAIgAAAGRycy9kb3ducmV2LnhtbFBLAQIUABQAAAAIAIdO4kAzLwWe&#10;OwAAADkAAAAQAAAAAAAAAAEAIAAAAAsBAABkcnMvc2hhcGV4bWwueG1sUEsFBgAAAAAGAAYAWwEA&#10;ALUDAAAAAA==&#10;">
                          <v:fill on="f" focussize="0,0"/>
                          <v:stroke weight="1pt" color="#000000 [3213]" joinstyle="round" endarrow="classic" endarrowlength="long"/>
                          <v:imagedata o:title=""/>
                          <o:lock v:ext="edit" aspectratio="f"/>
                        </v:shape>
                      </v:group>
                      <v:rect id="矩形 175" o:spid="_x0000_s1026" o:spt="1" style="position:absolute;left:1657985;top:4614545;height:335280;width:861060;v-text-anchor:middle;" filled="f" stroked="t" coordsize="21600,21600" o:gfxdata="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VAtV71AAAAAYBAAAPAAAAAAAAAAEAIAAAACIAAABkcnMvZG93bnJl&#10;di54bWxQSwECFAAUAAAACACHTuJAQV+dtHMCAADOBAAADgAAAAAAAAABACAAAAAjAQAAZHJzL2Uy&#10;b0RvYy54bWxQSwUGAAAAAAYABgBZAQAACAYAAAAA&#10;">
                        <v:fill on="f" focussize="0,0"/>
                        <v:stroke weight="1pt" color="#000000 [3213]" joinstyle="round"/>
                        <v:imagedata o:title=""/>
                        <o:lock v:ext="edit" aspectratio="f"/>
                        <v:textbox>
                          <w:txbxContent>
                            <w:p w14:paraId="77E1587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液体发酵</w:t>
                              </w:r>
                            </w:p>
                          </w:txbxContent>
                        </v:textbox>
                      </v:rect>
                      <v:shape id="直接箭头连接符 180" o:spid="_x0000_s1026" o:spt="32" type="#_x0000_t32" style="position:absolute;left:2080895;top:4936490;flip:x y;height:302895;width:3810;" filled="f" stroked="t" coordsize="21600,21600" o:gfxdata="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q3H71gAA&#10;AAYBAAAPAAAAAAAAAAEAIAAAACIAAABkcnMvZG93bnJldi54bWxQSwECFAAUAAAACACHTuJAIm56&#10;VyACAAABBAAADgAAAAAAAAABACAAAAAlAQAAZHJzL2Uyb0RvYy54bWxQSwUGAAAAAAYABgBZAQAA&#10;twUAAAAA&#10;">
                        <v:fill on="f" focussize="0,0"/>
                        <v:stroke weight="1pt" color="#000000 [3213]" joinstyle="round" endarrow="classic" endarrowlength="long"/>
                        <v:imagedata o:title=""/>
                        <o:lock v:ext="edit" aspectratio="f"/>
                      </v:shape>
                      <v:rect id="矩形 181" o:spid="_x0000_s1026" o:spt="1" style="position:absolute;left:2191385;top:420306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0rnedMAAAAGAQAADwAAAAAAAAABACAAAAAiAAAAZHJzL2Rvd25yZXYueG1sUEsBAhQAFAAAAAgA&#10;h07iQM7czMljAgAApQQAAA4AAAAAAAAAAQAgAAAAIgEAAGRycy9lMm9Eb2MueG1sUEsFBgAAAAAG&#10;AAYAWQEAAPcFAAAAAA==&#10;">
                        <v:fill on="f" focussize="0,0"/>
                        <v:stroke on="f" weight="1pt"/>
                        <v:imagedata o:title=""/>
                        <o:lock v:ext="edit" aspectratio="f"/>
                        <v:textbox>
                          <w:txbxContent>
                            <w:p w14:paraId="5CF5D08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进入产品</w:t>
                              </w:r>
                            </w:p>
                          </w:txbxContent>
                        </v:textbox>
                      </v:rect>
                      <v:rect id="矩形 183" o:spid="_x0000_s1026" o:spt="1" style="position:absolute;left:347345;top:1017905;height:1820545;width:328295;v-text-anchor:middle;" filled="f" stroked="t" coordsize="21600,21600" o:gfxdata="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lQLVe9QAAAAGAQAADwAAAAAAAAABACAAAAAiAAAAZHJzL2Rvd25yZXYu&#10;eG1sUEsBAhQAFAAAAAgAh07iQF2vTYFxAgAAzgQAAA4AAAAAAAAAAQAgAAAAIwEAAGRycy9lMm9E&#10;b2MueG1sUEsFBgAAAAAGAAYAWQEAAAYGAAAAAA==&#10;">
                        <v:fill on="f" focussize="0,0"/>
                        <v:stroke weight="1pt" color="#000000 [3213]" joinstyle="round"/>
                        <v:imagedata o:title=""/>
                        <o:lock v:ext="edit" aspectratio="f"/>
                        <v:textbox>
                          <w:txbxContent>
                            <w:p w14:paraId="7C5E1A4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新鲜用水</w:t>
                              </w:r>
                            </w:p>
                          </w:txbxContent>
                        </v:textbox>
                      </v:rect>
                      <v:shape id="直接箭头连接符 184" o:spid="_x0000_s1026" o:spt="32" type="#_x0000_t32" style="position:absolute;left:690245;top:1200785;height:1270;width:553720;" filled="f" stroked="t" coordsize="21600,21600" o:gfxdata="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4HZo3SAAAABgEAAA8AAAAAAAAAAQAg&#10;AAAAIgAAAGRycy9kb3ducmV2LnhtbFBLAQIUABQAAAAIAIdO4kBPrWSPFAIAAOwDAAAOAAAAAAAA&#10;AAEAIAAAACEBAABkcnMvZTJvRG9jLnhtbFBLBQYAAAAABgAGAFkBAACnBQAAAAA=&#10;">
                        <v:fill on="f" focussize="0,0"/>
                        <v:stroke weight="1pt" color="#000000 [3213]" joinstyle="round" endarrow="classic" endarrowlength="long"/>
                        <v:imagedata o:title=""/>
                        <o:lock v:ext="edit" aspectratio="f"/>
                      </v:shape>
                      <v:shape id="直接箭头连接符 185" o:spid="_x0000_s1026" o:spt="32" type="#_x0000_t32" style="position:absolute;left:675005;top:1871345;height:1270;width:553720;" filled="f" stroked="t" coordsize="21600,21600" o:gfxdata="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zgdmjdIAAAAGAQAADwAAAAAAAAABACAA&#10;AAAiAAAAZHJzL2Rvd25yZXYueG1sUEsBAhQAFAAAAAgAh07iQCkArIkTAgAA7AMAAA4AAAAAAAAA&#10;AQAgAAAAIQEAAGRycy9lMm9Eb2MueG1sUEsFBgAAAAAGAAYAWQEAAKYFAAAAAA==&#10;">
                        <v:fill on="f" focussize="0,0"/>
                        <v:stroke weight="1pt" color="#000000 [3213]" joinstyle="round" endarrow="classic" endarrowlength="long"/>
                        <v:imagedata o:title=""/>
                        <o:lock v:ext="edit" aspectratio="f"/>
                      </v:shape>
                      <v:shape id="直接箭头连接符 186" o:spid="_x0000_s1026" o:spt="32" type="#_x0000_t32" style="position:absolute;left:690245;top:2488565;height:1270;width:553720;" filled="f" stroked="t" coordsize="21600,21600" o:gfxdata="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OB2aN0gAAAAYBAAAPAAAAAAAAAAEA&#10;IAAAACIAAABkcnMvZG93bnJldi54bWxQSwECFAAUAAAACACHTuJAwKGlDhUCAADsAwAADgAAAAAA&#10;AAABACAAAAAhAQAAZHJzL2Uyb0RvYy54bWxQSwUGAAAAAAYABgBZAQAAqAUAAAAA&#10;">
                        <v:fill on="f" focussize="0,0"/>
                        <v:stroke weight="1pt" color="#000000 [3213]" joinstyle="round" endarrow="classic" endarrowlength="long"/>
                        <v:imagedata o:title=""/>
                        <o:lock v:ext="edit" aspectratio="f"/>
                      </v:shape>
                      <v:rect id="矩形 187" o:spid="_x0000_s1026" o:spt="1" style="position:absolute;left:1231265;top:1033145;height:335280;width:1332865;v-text-anchor:middle;" filled="f" stroked="t" coordsize="21600,21600" o:gfxdata="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lQLVe9QAAAAGAQAADwAAAAAAAAABACAAAAAiAAAAZHJzL2Rvd25yZXYu&#10;eG1sUEsBAhQAFAAAAAgAh07iQAtIVPlxAgAAzwQAAA4AAAAAAAAAAQAgAAAAIwEAAGRycy9lMm9E&#10;b2MueG1sUEsFBgAAAAAGAAYAWQEAAAYGAAAAAA==&#10;">
                        <v:fill on="f" focussize="0,0"/>
                        <v:stroke weight="1pt" color="#000000 [3213]" joinstyle="round"/>
                        <v:imagedata o:title=""/>
                        <o:lock v:ext="edit" aspectratio="f"/>
                        <v:textbox>
                          <w:txbxContent>
                            <w:p w14:paraId="4DCE74A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液体发酵设备清洗</w:t>
                              </w:r>
                            </w:p>
                          </w:txbxContent>
                        </v:textbox>
                      </v:rect>
                      <v:rect id="矩形 188" o:spid="_x0000_s1026" o:spt="1" style="position:absolute;left:1216025;top:1711325;height:335280;width:1310640;v-text-anchor:middle;" filled="f" stroked="t" coordsize="21600,21600" o:gfxdata="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JUC1XvUAAAABgEAAA8AAAAAAAAAAQAgAAAAIgAAAGRycy9kb3ducmV2Lnht&#10;bFBLAQIUABQAAAAIAIdO4kBdlDDHbwIAAM8EAAAOAAAAAAAAAAEAIAAAACMBAABkcnMvZTJvRG9j&#10;LnhtbFBLBQYAAAAABgAGAFkBAAAEBgAAAAA=&#10;">
                        <v:fill on="f" focussize="0,0"/>
                        <v:stroke weight="1pt" color="#000000 [3213]" joinstyle="round"/>
                        <v:imagedata o:title=""/>
                        <o:lock v:ext="edit" aspectratio="f"/>
                        <v:textbox>
                          <w:txbxContent>
                            <w:p w14:paraId="49979C9C">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固体发酵地面清洗</w:t>
                              </w:r>
                            </w:p>
                          </w:txbxContent>
                        </v:textbox>
                      </v:rect>
                      <v:rect id="矩形 189" o:spid="_x0000_s1026" o:spt="1" style="position:absolute;left:1818005;top:496506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0rnedMAAAAGAQAADwAAAAAAAAABACAAAAAiAAAAZHJzL2Rvd25yZXYueG1sUEsBAhQAFAAAAAgA&#10;h07iQO1rTT5jAgAApQQAAA4AAAAAAAAAAQAgAAAAIgEAAGRycy9lMm9Eb2MueG1sUEsFBgAAAAAG&#10;AAYAWQEAAPcFAAAAAA==&#10;">
                        <v:fill on="f" focussize="0,0"/>
                        <v:stroke on="f" weight="1pt"/>
                        <v:imagedata o:title=""/>
                        <o:lock v:ext="edit" aspectratio="f"/>
                        <v:textbox>
                          <w:txbxContent>
                            <w:p w14:paraId="2DE1D34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42.9</w:t>
                              </w:r>
                            </w:p>
                          </w:txbxContent>
                        </v:textbox>
                      </v:rect>
                      <v:rect id="矩形 190" o:spid="_x0000_s1026" o:spt="1" style="position:absolute;left:1528445;top:433260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j0rn&#10;edMAAAAGAQAADwAAAAAAAAABACAAAAAiAAAAZHJzL2Rvd25yZXYueG1sUEsBAhQAFAAAAAgAh07i&#10;QB4u+npgAgAApQQAAA4AAAAAAAAAAQAgAAAAIgEAAGRycy9lMm9Eb2MueG1sUEsFBgAAAAAGAAYA&#10;WQEAAPQFAAAAAA==&#10;">
                        <v:fill on="f" focussize="0,0"/>
                        <v:stroke on="f" weight="1pt"/>
                        <v:imagedata o:title=""/>
                        <o:lock v:ext="edit" aspectratio="f"/>
                        <v:textbox>
                          <w:txbxContent>
                            <w:p w14:paraId="585C756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42.9</w:t>
                              </w:r>
                            </w:p>
                          </w:txbxContent>
                        </v:textbox>
                      </v:rect>
                      <v:shape id="直接箭头连接符 191" o:spid="_x0000_s1026" o:spt="32" type="#_x0000_t32" style="position:absolute;left:2572385;top:1177925;height:1270;width:553720;" filled="f" stroked="t" coordsize="21600,21600" o:gfxdata="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4HZo3SAAAABgEAAA8AAAAAAAAAAQAg&#10;AAAAIgAAAGRycy9kb3ducmV2LnhtbFBLAQIUABQAAAAIAIdO4kDcvtonFAIAAO0DAAAOAAAAAAAA&#10;AAEAIAAAACEBAABkcnMvZTJvRG9jLnhtbFBLBQYAAAAABgAGAFkBAACnBQAAAAA=&#10;">
                        <v:fill on="f" focussize="0,0"/>
                        <v:stroke weight="1pt" color="#000000 [3213]" joinstyle="round" endarrow="classic" endarrowlength="long"/>
                        <v:imagedata o:title=""/>
                        <o:lock v:ext="edit" aspectratio="f"/>
                      </v:shape>
                      <v:shape id="直接箭头连接符 192" o:spid="_x0000_s1026" o:spt="32" type="#_x0000_t32" style="position:absolute;left:2541905;top:1871345;height:1270;width:553720;" filled="f" stroked="t" coordsize="21600,21600" o:gfxdata="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OB2aN0gAAAAYBAAAPAAAAAAAAAAEA&#10;IAAAACIAAABkcnMvZG93bnJldi54bWxQSwECFAAUAAAACACHTuJAYT4lxxUCAADtAwAADgAAAAAA&#10;AAABACAAAAAhAQAAZHJzL2Uyb0RvYy54bWxQSwUGAAAAAAYABgBZAQAAqAUAAAAA&#10;">
                        <v:fill on="f" focussize="0,0"/>
                        <v:stroke weight="1pt" color="#000000 [3213]" joinstyle="round" endarrow="classic" endarrowlength="long"/>
                        <v:imagedata o:title=""/>
                        <o:lock v:ext="edit" aspectratio="f"/>
                      </v:shape>
                      <v:rect id="矩形 193" o:spid="_x0000_s1026" o:spt="1" style="position:absolute;left:3121025;top:911225;height:5423535;width:328295;v-text-anchor:middle;" filled="f" stroked="t" coordsize="21600,21600" o:gfxdata="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VAtV71AAAAAYBAAAPAAAAAAAAAAEAIAAAACIAAABkcnMvZG93bnJldi54&#10;bWxQSwECFAAUAAAACACHTuJAzLt+tnACAADOBAAADgAAAAAAAAABACAAAAAjAQAAZHJzL2Uyb0Rv&#10;Yy54bWxQSwUGAAAAAAYABgBZAQAABQYAAAAA&#10;">
                        <v:fill on="f" focussize="0,0"/>
                        <v:stroke weight="1pt" color="#000000 [3213]" joinstyle="round"/>
                        <v:imagedata o:title=""/>
                        <o:lock v:ext="edit" aspectratio="f"/>
                        <v:textbox>
                          <w:txbxContent>
                            <w:p w14:paraId="7294BD46">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污水处理站</w:t>
                              </w:r>
                            </w:p>
                          </w:txbxContent>
                        </v:textbox>
                      </v:rect>
                      <v:rect id="矩形 194" o:spid="_x0000_s1026" o:spt="1" style="position:absolute;left:1223645;top:2336165;height:335280;width:823595;v-text-anchor:middle;" filled="f" stroked="t" coordsize="21600,21600" o:gfxdata="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VAtV71AAAAAYBAAAPAAAAAAAAAAEAIAAAACIAAABkcnMvZG93bnJl&#10;di54bWxQSwECFAAUAAAACACHTuJASBlB2XMCAADOBAAADgAAAAAAAAABACAAAAAjAQAAZHJzL2Uy&#10;b0RvYy54bWxQSwUGAAAAAAYABgBZAQAACAYAAAAA&#10;">
                        <v:fill on="f" focussize="0,0"/>
                        <v:stroke weight="1pt" color="#000000 [3213]" joinstyle="round"/>
                        <v:imagedata o:title=""/>
                        <o:lock v:ext="edit" aspectratio="f"/>
                        <v:textbox>
                          <w:txbxContent>
                            <w:p w14:paraId="32B24E7D">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纯水制备</w:t>
                              </w:r>
                            </w:p>
                          </w:txbxContent>
                        </v:textbox>
                      </v:rect>
                      <v:rect id="矩形 195" o:spid="_x0000_s1026" o:spt="1" style="position:absolute;left:1231265;top:3060065;height:335280;width:823595;v-text-anchor:middle;" filled="f" stroked="t" coordsize="21600,21600" o:gfxdata="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lQLVe9QAAAAGAQAADwAAAAAAAAABACAAAAAiAAAAZHJzL2Rvd25yZXYu&#10;eG1sUEsBAhQAFAAAAAgAh07iQMDVr4BxAgAAzgQAAA4AAAAAAAAAAQAgAAAAIwEAAGRycy9lMm9E&#10;b2MueG1sUEsFBgAAAAAGAAYAWQEAAAYGAAAAAA==&#10;">
                        <v:fill on="f" focussize="0,0"/>
                        <v:stroke weight="1pt" color="#000000 [3213]" joinstyle="round"/>
                        <v:imagedata o:title=""/>
                        <o:lock v:ext="edit" aspectratio="f"/>
                        <v:textbox>
                          <w:txbxContent>
                            <w:p w14:paraId="4AF5055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实验用水</w:t>
                              </w:r>
                            </w:p>
                          </w:txbxContent>
                        </v:textbox>
                      </v:rect>
                      <v:shape id="直接箭头连接符 196" o:spid="_x0000_s1026" o:spt="32" type="#_x0000_t32" style="position:absolute;left:1663065;top:2659380;flip:x;height:394335;width:1905;" filled="f" stroked="t" coordsize="21600,21600" o:gfxdata="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674IS9QAAAAGAQAA&#10;DwAAAAAAAAABACAAAAAiAAAAZHJzL2Rvd25yZXYueG1sUEsBAhQAFAAAAAgAh07iQORkK80dAgAA&#10;9wMAAA4AAAAAAAAAAQAgAAAAIwEAAGRycy9lMm9Eb2MueG1sUEsFBgAAAAAGAAYAWQEAALIFAAAA&#10;AA==&#10;">
                        <v:fill on="f" focussize="0,0"/>
                        <v:stroke weight="1pt" color="#000000 [3213]" joinstyle="round" endarrow="classic" endarrowlength="long"/>
                        <v:imagedata o:title=""/>
                        <o:lock v:ext="edit" aspectratio="f"/>
                      </v:shape>
                      <v:shape id="直接箭头连接符 197" o:spid="_x0000_s1026" o:spt="32" type="#_x0000_t32" style="position:absolute;left:2046605;top:2503805;height:3175;width:1050925;" filled="f" stroked="t" coordsize="21600,21600" o:gfxdata="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4HZo3SAAAABgEAAA8AAAAAAAAA&#10;AQAgAAAAIgAAAGRycy9kb3ducmV2LnhtbFBLAQIUABQAAAAIAIdO4kApr+tUFwIAAO4DAAAOAAAA&#10;AAAAAAEAIAAAACEBAABkcnMvZTJvRG9jLnhtbFBLBQYAAAAABgAGAFkBAACqBQAAAAA=&#10;">
                        <v:fill on="f" focussize="0,0"/>
                        <v:stroke weight="1pt" color="#000000 [3213]" joinstyle="round" endarrow="classic" endarrowlength="long"/>
                        <v:imagedata o:title=""/>
                        <o:lock v:ext="edit" aspectratio="f"/>
                      </v:shape>
                      <v:shape id="直接箭头连接符 198" o:spid="_x0000_s1026" o:spt="32" type="#_x0000_t32" style="position:absolute;left:2077085;top:3227705;height:3175;width:1050925;" filled="f" stroked="t" coordsize="21600,21600" o:gfxdata="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zgdmjdIAAAAGAQAADwAAAAAAAAAB&#10;ACAAAAAiAAAAZHJzL2Rvd25yZXYueG1sUEsBAhQAFAAAAAgAh07iQL4X8s0WAgAA7gMAAA4AAAAA&#10;AAAAAQAgAAAAIQEAAGRycy9lMm9Eb2MueG1sUEsFBgAAAAAGAAYAWQEAAKkFAAAAAA==&#10;">
                        <v:fill on="f" focussize="0,0"/>
                        <v:stroke weight="1pt" color="#000000 [3213]" joinstyle="round" endarrow="classic" endarrowlength="long"/>
                        <v:imagedata o:title=""/>
                        <o:lock v:ext="edit" aspectratio="f"/>
                      </v:shape>
                      <v:rect id="矩形 199" o:spid="_x0000_s1026" o:spt="1" style="position:absolute;left:1505585;top:3662045;height:335280;width:823595;v-text-anchor:middle;" filled="f" stroked="t" coordsize="21600,21600" o:gfxdata="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VAtV71AAAAAYBAAAPAAAAAAAAAAEAIAAAACIAAABkcnMvZG93bnJl&#10;di54bWxQSwECFAAUAAAACACHTuJALfzmFXMCAADOBAAADgAAAAAAAAABACAAAAAjAQAAZHJzL2Uy&#10;b0RvYy54bWxQSwUGAAAAAAYABgBZAQAACAYAAAAA&#10;">
                        <v:fill on="f" focussize="0,0"/>
                        <v:stroke weight="1pt" color="#000000 [3213]" joinstyle="round"/>
                        <v:imagedata o:title=""/>
                        <o:lock v:ext="edit" aspectratio="f"/>
                        <v:textbox>
                          <w:txbxContent>
                            <w:p w14:paraId="73C51F6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渗滤液</w:t>
                              </w:r>
                            </w:p>
                          </w:txbxContent>
                        </v:textbox>
                      </v:rect>
                      <v:shape id="直接箭头连接符 200" o:spid="_x0000_s1026" o:spt="32" type="#_x0000_t32" style="position:absolute;left:2350770;top:3840480;flip:y;height:4445;width:769620;" filled="f" stroked="t" coordsize="21600,21600" o:gfxdata="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rvghL1AAAAAYBAAAP&#10;AAAAAAAAAAEAIAAAACIAAABkcnMvZG93bnJldi54bWxQSwECFAAUAAAACACHTuJA+a02/BwCAAD3&#10;AwAADgAAAAAAAAABACAAAAAjAQAAZHJzL2Uyb0RvYy54bWxQSwUGAAAAAAYABgBZAQAAsQUAAAAA&#10;">
                        <v:fill on="f" focussize="0,0"/>
                        <v:stroke weight="1pt" color="#000000 [3213]" joinstyle="round" endarrow="classic" endarrowlength="long"/>
                        <v:imagedata o:title=""/>
                        <o:lock v:ext="edit" aspectratio="f"/>
                      </v:shape>
                      <v:rect id="矩形 201" o:spid="_x0000_s1026" o:spt="1" style="position:absolute;left:476885;top:94932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j0rn&#10;edMAAAAGAQAADwAAAAAAAAABACAAAAAiAAAAZHJzL2Rvd25yZXYueG1sUEsBAhQAFAAAAAgAh07i&#10;QKEvBI9gAgAAowQAAA4AAAAAAAAAAQAgAAAAIgEAAGRycy9lMm9Eb2MueG1sUEsFBgAAAAAGAAYA&#10;WQEAAPQFAAAAAA==&#10;">
                        <v:fill on="f" focussize="0,0"/>
                        <v:stroke on="f" weight="1pt"/>
                        <v:imagedata o:title=""/>
                        <o:lock v:ext="edit" aspectratio="f"/>
                        <v:textbox>
                          <w:txbxContent>
                            <w:p w14:paraId="4056540F">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1.45</w:t>
                              </w:r>
                            </w:p>
                          </w:txbxContent>
                        </v:textbox>
                      </v:rect>
                      <v:rect id="矩形 202" o:spid="_x0000_s1026" o:spt="1" style="position:absolute;left:2397125;top:92646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P&#10;Sud50wAAAAYBAAAPAAAAAAAAAAEAIAAAACIAAABkcnMvZG93bnJldi54bWxQSwECFAAUAAAACACH&#10;TuJAJnTUZWICAACkBAAADgAAAAAAAAABACAAAAAiAQAAZHJzL2Uyb0RvYy54bWxQSwUGAAAAAAYA&#10;BgBZAQAA9gUAAAAA&#10;">
                        <v:fill on="f" focussize="0,0"/>
                        <v:stroke on="f" weight="1pt"/>
                        <v:imagedata o:title=""/>
                        <o:lock v:ext="edit" aspectratio="f"/>
                        <v:textbox>
                          <w:txbxContent>
                            <w:p w14:paraId="1967191C">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1.16</w:t>
                              </w:r>
                            </w:p>
                          </w:txbxContent>
                        </v:textbox>
                      </v:rect>
                      <v:shape id="曲线连接符 203" o:spid="_x0000_s1026" o:spt="37" type="#_x0000_t37" style="position:absolute;left:1923415;top:796925;height:262255;width:210185;rotation:-5898240f;" filled="f" stroked="t" coordsize="21600,21600" o:gfxdata="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Me8/u1QAAAAYBAAAPAAAAAAAAAAEAIAAAACIAAABkcnMvZG93bnJldi54bWxQSwECFAAU&#10;AAAACACHTuJAqphN6S0CAAAdBAAADgAAAAAAAAABACAAAAAkAQAAZHJzL2Uyb0RvYy54bWxQSwUG&#10;AAAAAAYABgBZAQAAwwUAAAAA&#10;">
                        <v:fill on="f" focussize="0,0"/>
                        <v:stroke weight="1pt" color="#000000 [3213]" joinstyle="round" endarrow="classic" endarrowlength="long"/>
                        <v:imagedata o:title=""/>
                        <o:lock v:ext="edit" aspectratio="f"/>
                      </v:shape>
                      <v:rect id="矩形 204" o:spid="_x0000_s1026" o:spt="1" style="position:absolute;left:1878965;top:62928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0rnedMAAAAGAQAADwAAAAAAAAABACAAAAAiAAAAZHJzL2Rvd25yZXYueG1sUEsBAhQAFAAAAAgA&#10;h07iQDrCgGNjAgAApAQAAA4AAAAAAAAAAQAgAAAAIgEAAGRycy9lMm9Eb2MueG1sUEsFBgAAAAAG&#10;AAYAWQEAAPcFAAAAAA==&#10;">
                        <v:fill on="f" focussize="0,0"/>
                        <v:stroke on="f" weight="1pt"/>
                        <v:imagedata o:title=""/>
                        <o:lock v:ext="edit" aspectratio="f"/>
                        <v:textbox>
                          <w:txbxContent>
                            <w:p w14:paraId="0E8A3A11">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0.29</w:t>
                              </w:r>
                            </w:p>
                          </w:txbxContent>
                        </v:textbox>
                      </v:rect>
                      <v:rect id="矩形 205" o:spid="_x0000_s1026" o:spt="1" style="position:absolute;left:522605;top:161226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I9K53nT&#10;AAAABgEAAA8AAAAAAAAAAQAgAAAAIgAAAGRycy9kb3ducmV2LnhtbFBLAQIUABQAAAAIAIdO4kDs&#10;AXZ4XgIAAKQEAAAOAAAAAAAAAAEAIAAAACIBAABkcnMvZTJvRG9jLnhtbFBLBQYAAAAABgAGAFkB&#10;AADyBQAAAAA=&#10;">
                        <v:fill on="f" focussize="0,0"/>
                        <v:stroke on="f" weight="1pt"/>
                        <v:imagedata o:title=""/>
                        <o:lock v:ext="edit" aspectratio="f"/>
                        <v:textbox>
                          <w:txbxContent>
                            <w:p w14:paraId="521B52DD">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0.067</w:t>
                              </w:r>
                            </w:p>
                          </w:txbxContent>
                        </v:textbox>
                      </v:rect>
                      <v:rect id="矩形 206" o:spid="_x0000_s1026" o:spt="1" style="position:absolute;left:2397125;top:159702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j0rn&#10;edMAAAAGAQAADwAAAAAAAAABACAAAAAiAAAAZHJzL2Rvd25yZXYueG1sUEsBAhQAFAAAAAgAh07i&#10;QDqjsstgAgAApQQAAA4AAAAAAAAAAQAgAAAAIgEAAGRycy9lMm9Eb2MueG1sUEsFBgAAAAAGAAYA&#10;WQEAAPQFAAAAAA==&#10;">
                        <v:fill on="f" focussize="0,0"/>
                        <v:stroke on="f" weight="1pt"/>
                        <v:imagedata o:title=""/>
                        <o:lock v:ext="edit" aspectratio="f"/>
                        <v:textbox>
                          <w:txbxContent>
                            <w:p w14:paraId="71A77617">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0.053</w:t>
                              </w:r>
                            </w:p>
                          </w:txbxContent>
                        </v:textbox>
                      </v:rect>
                      <v:rect id="矩形 207" o:spid="_x0000_s1026" o:spt="1" style="position:absolute;left:1779905;top:133794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P&#10;Sud50wAAAAYBAAAPAAAAAAAAAAEAIAAAACIAAABkcnMvZG93bnJldi54bWxQSwECFAAUAAAACACH&#10;TuJAi8tc7GICAAClBAAADgAAAAAAAAABACAAAAAiAQAAZHJzL2Uyb0RvYy54bWxQSwUGAAAAAAYA&#10;BgBZAQAA9gUAAAAA&#10;">
                        <v:fill on="f" focussize="0,0"/>
                        <v:stroke on="f" weight="1pt"/>
                        <v:imagedata o:title=""/>
                        <o:lock v:ext="edit" aspectratio="f"/>
                        <v:textbox>
                          <w:txbxContent>
                            <w:p w14:paraId="1876589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0.014</w:t>
                              </w:r>
                            </w:p>
                          </w:txbxContent>
                        </v:textbox>
                      </v:rect>
                      <v:shape id="曲线连接符 208" o:spid="_x0000_s1026" o:spt="37" type="#_x0000_t37" style="position:absolute;left:1818005;top:1482725;height:262255;width:210185;rotation:-5898240f;" filled="f" stroked="t" coordsize="21600,21600" o:gfxdata="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Me8/u1QAAAAYBAAAP&#10;AAAAAAAAAAEAIAAAACIAAABkcnMvZG93bnJldi54bWxQSwECFAAUAAAACACHTuJA7+uyCxsCAAD2&#10;AwAADgAAAAAAAAABACAAAAAkAQAAZHJzL2Uyb0RvYy54bWxQSwUGAAAAAAYABgBZAQAAsQUAAAAA&#10;">
                        <v:fill on="f" focussize="0,0"/>
                        <v:stroke weight="1pt" color="#000000 [3213]" joinstyle="round" endarrow="classic" endarrowlength="long"/>
                        <v:imagedata o:title=""/>
                        <o:lock v:ext="edit" aspectratio="f"/>
                      </v:shape>
                      <v:shape id="曲线连接符 210" o:spid="_x0000_s1026" o:spt="37" type="#_x0000_t37" style="position:absolute;left:1985645;top:2839085;height:262255;width:210185;rotation:-5898240f;" filled="f" stroked="t" coordsize="21600,21600" o:gfxdata="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x7z+7VAAAABgEAAA8A&#10;AAAAAAAAAQAgAAAAIgAAAGRycy9kb3ducmV2LnhtbFBLAQIUABQAAAAIAIdO4kCtmTjHGgIAAPYD&#10;AAAOAAAAAAAAAAEAIAAAACQBAABkcnMvZTJvRG9jLnhtbFBLBQYAAAAABgAGAFkBAACwBQAAAAA=&#10;">
                        <v:fill on="f" focussize="0,0"/>
                        <v:stroke weight="1pt" color="#000000 [3213]" joinstyle="round" endarrow="classic" endarrowlength="long"/>
                        <v:imagedata o:title=""/>
                        <o:lock v:ext="edit" aspectratio="f"/>
                      </v:shape>
                      <v:shape id="曲线连接符 211" o:spid="_x0000_s1026" o:spt="37" type="#_x0000_t37" style="position:absolute;left:1696085;top:2107565;height:262255;width:210185;rotation:-5898240f;" filled="f" stroked="t" coordsize="21600,21600" o:gfxdata="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Me8/u1QAAAAYBAAAPAAAA&#10;AAAAAAEAIAAAACIAAABkcnMvZG93bnJldi54bWxQSwECFAAUAAAACACHTuJAFPgWnBgCAAD2AwAA&#10;DgAAAAAAAAABACAAAAAkAQAAZHJzL2Uyb0RvYy54bWxQSwUGAAAAAAYABgBZAQAArgUAAAAA&#10;">
                        <v:fill on="f" focussize="0,0"/>
                        <v:stroke weight="1pt" color="#000000 [3213]" joinstyle="round" endarrow="classic" endarrowlength="long"/>
                        <v:imagedata o:title=""/>
                        <o:lock v:ext="edit" aspectratio="f"/>
                      </v:shape>
                      <v:rect id="矩形 212" o:spid="_x0000_s1026" o:spt="1" style="position:absolute;left:545465;top:220662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j0rn&#10;edMAAAAGAQAADwAAAAAAAAABACAAAAAiAAAAZHJzL2Rvd25yZXYueG1sUEsBAhQAFAAAAAgAh07i&#10;QPE6Lz5gAgAApAQAAA4AAAAAAAAAAQAgAAAAIgEAAGRycy9lMm9Eb2MueG1sUEsFBgAAAAAGAAYA&#10;WQEAAPQFAAAAAA==&#10;">
                        <v:fill on="f" focussize="0,0"/>
                        <v:stroke on="f" weight="1pt"/>
                        <v:imagedata o:title=""/>
                        <o:lock v:ext="edit" aspectratio="f"/>
                        <v:textbox>
                          <w:txbxContent>
                            <w:p w14:paraId="5507C436">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0.22</w:t>
                              </w:r>
                            </w:p>
                          </w:txbxContent>
                        </v:textbox>
                      </v:rect>
                      <v:rect id="矩形 213" o:spid="_x0000_s1026" o:spt="1" style="position:absolute;left:1383665;top:270192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P&#10;Sud50wAAAAYBAAAPAAAAAAAAAAEAIAAAACIAAABkcnMvZG93bnJldi54bWxQSwECFAAUAAAACACH&#10;TuJAgHCc0mICAAClBAAADgAAAAAAAAABACAAAAAiAQAAZHJzL2Uyb0RvYy54bWxQSwUGAAAAAAYA&#10;BgBZAQAA9gUAAAAA&#10;">
                        <v:fill on="f" focussize="0,0"/>
                        <v:stroke on="f" weight="1pt"/>
                        <v:imagedata o:title=""/>
                        <o:lock v:ext="edit" aspectratio="f"/>
                        <v:textbox>
                          <w:txbxContent>
                            <w:p w14:paraId="639FE94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0.05</w:t>
                              </w:r>
                            </w:p>
                          </w:txbxContent>
                        </v:textbox>
                      </v:rect>
                      <v:rect id="矩形 214" o:spid="_x0000_s1026" o:spt="1" style="position:absolute;left:2168525;top:222948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P&#10;Sud50wAAAAYBAAAPAAAAAAAAAAEAIAAAACIAAABkcnMvZG93bnJldi54bWxQSwECFAAUAAAACACH&#10;TuJAEkzBg2ICAAClBAAADgAAAAAAAAABACAAAAAiAQAAZHJzL2Uyb0RvYy54bWxQSwUGAAAAAAYA&#10;BgBZAQAA9gUAAAAA&#10;">
                        <v:fill on="f" focussize="0,0"/>
                        <v:stroke on="f" weight="1pt"/>
                        <v:imagedata o:title=""/>
                        <o:lock v:ext="edit" aspectratio="f"/>
                        <v:textbox>
                          <w:txbxContent>
                            <w:p w14:paraId="7F50E5D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0.005</w:t>
                              </w:r>
                            </w:p>
                          </w:txbxContent>
                        </v:textbox>
                      </v:rect>
                      <v:rect id="矩形 215" o:spid="_x0000_s1026" o:spt="1" style="position:absolute;left:1657985;top:194754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P&#10;Sud50wAAAAYBAAAPAAAAAAAAAAEAIAAAACIAAABkcnMvZG93bnJldi54bWxQSwECFAAUAAAACACH&#10;TuJArzPUymICAAClBAAADgAAAAAAAAABACAAAAAiAQAAZHJzL2Uyb0RvYy54bWxQSwUGAAAAAAYA&#10;BgBZAQAA9gUAAAAA&#10;">
                        <v:fill on="f" focussize="0,0"/>
                        <v:stroke on="f" weight="1pt"/>
                        <v:imagedata o:title=""/>
                        <o:lock v:ext="edit" aspectratio="f"/>
                        <v:textbox>
                          <w:txbxContent>
                            <w:p w14:paraId="02DF60D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0.165</w:t>
                              </w:r>
                            </w:p>
                          </w:txbxContent>
                        </v:textbox>
                      </v:rect>
                      <v:rect id="矩形 216" o:spid="_x0000_s1026" o:spt="1" style="position:absolute;left:2183765;top:299148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P&#10;Sud50wAAAAYBAAAPAAAAAAAAAAEAIAAAACIAAABkcnMvZG93bnJldi54bWxQSwECFAAUAAAACACH&#10;TuJAnD7rK2ICAAClBAAADgAAAAAAAAABACAAAAAiAQAAZHJzL2Uyb0RvYy54bWxQSwUGAAAAAAYA&#10;BgBZAQAA9gUAAAAA&#10;">
                        <v:fill on="f" focussize="0,0"/>
                        <v:stroke on="f" weight="1pt"/>
                        <v:imagedata o:title=""/>
                        <o:lock v:ext="edit" aspectratio="f"/>
                        <v:textbox>
                          <w:txbxContent>
                            <w:p w14:paraId="168357D9">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0.04</w:t>
                              </w:r>
                            </w:p>
                          </w:txbxContent>
                        </v:textbox>
                      </v:rect>
                      <v:rect id="矩形 217" o:spid="_x0000_s1026" o:spt="1" style="position:absolute;left:2511425;top:355536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P&#10;Sud50wAAAAYBAAAPAAAAAAAAAAEAIAAAACIAAABkcnMvZG93bnJldi54bWxQSwECFAAUAAAACACH&#10;TuJAwpbuPWICAAClBAAADgAAAAAAAAABACAAAAAiAQAAZHJzL2Uyb0RvYy54bWxQSwUGAAAAAAYA&#10;BgBZAQAA9gUAAAAA&#10;">
                        <v:fill on="f" focussize="0,0"/>
                        <v:stroke on="f" weight="1pt"/>
                        <v:imagedata o:title=""/>
                        <o:lock v:ext="edit" aspectratio="f"/>
                        <v:textbox>
                          <w:txbxContent>
                            <w:p w14:paraId="1443D653">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18.24</w:t>
                              </w:r>
                            </w:p>
                          </w:txbxContent>
                        </v:textbox>
                      </v:rect>
                      <v:rect id="矩形 218" o:spid="_x0000_s1026" o:spt="1" style="position:absolute;left:1932305;top:270192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P&#10;Sud50wAAAAYBAAAPAAAAAAAAAAEAIAAAACIAAABkcnMvZG93bnJldi54bWxQSwECFAAUAAAACACH&#10;TuJA7vy2LmICAAClBAAADgAAAAAAAAABACAAAAAiAQAAZHJzL2Uyb0RvYy54bWxQSwUGAAAAAAYA&#10;BgBZAQAA9gUAAAAA&#10;">
                        <v:fill on="f" focussize="0,0"/>
                        <v:stroke on="f" weight="1pt"/>
                        <v:imagedata o:title=""/>
                        <o:lock v:ext="edit" aspectratio="f"/>
                        <v:textbox>
                          <w:txbxContent>
                            <w:p w14:paraId="387CBA9C">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0.01</w:t>
                              </w:r>
                            </w:p>
                          </w:txbxContent>
                        </v:textbox>
                      </v:rect>
                      <v:rect id="矩形 219" o:spid="_x0000_s1026" o:spt="1" style="position:absolute;left:57785;top:3669665;height:335280;width:899160;v-text-anchor:middle;" filled="f" stroked="t" coordsize="21600,21600" o:gfxdata="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VAtV71AAAAAYBAAAPAAAAAAAAAAEAIAAAACIAAABkcnMvZG93bnJldi54&#10;bWxQSwECFAAUAAAACACHTuJAbykE13ACAADMBAAADgAAAAAAAAABACAAAAAjAQAAZHJzL2Uyb0Rv&#10;Yy54bWxQSwUGAAAAAAYABgBZAQAABQYAAAAA&#10;">
                        <v:fill on="f" focussize="0,0"/>
                        <v:stroke weight="1pt" color="#000000 [3213]" joinstyle="round"/>
                        <v:imagedata o:title=""/>
                        <o:lock v:ext="edit" aspectratio="f"/>
                        <v:textbox>
                          <w:txbxContent>
                            <w:p w14:paraId="09CFD384">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果蔬渣发酵</w:t>
                              </w:r>
                            </w:p>
                          </w:txbxContent>
                        </v:textbox>
                      </v:rect>
                      <v:shape id="直接箭头连接符 220" o:spid="_x0000_s1026" o:spt="32" type="#_x0000_t32" style="position:absolute;left:979805;top:3852545;height:0;width:513715;" filled="f" stroked="t" coordsize="21600,21600" o:gfxdata="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4HZo3SAAAABgEAAA8AAAAAAAAAAQAg&#10;AAAAIgAAAGRycy9kb3ducmV2LnhtbFBLAQIUABQAAAAIAIdO4kALV6h8FAIAAOkDAAAOAAAAAAAA&#10;AAEAIAAAACEBAABkcnMvZTJvRG9jLnhtbFBLBQYAAAAABgAGAFkBAACnBQAAAAA=&#10;">
                        <v:fill on="f" focussize="0,0"/>
                        <v:stroke weight="1pt" color="#000000 [3213]" joinstyle="round" endarrow="classic" endarrowlength="long"/>
                        <v:imagedata o:title=""/>
                        <o:lock v:ext="edit" aspectratio="f"/>
                      </v:shape>
                      <v:shape id="直接箭头连接符 226" o:spid="_x0000_s1026" o:spt="32" type="#_x0000_t32" style="position:absolute;left:3456305;top:3982085;height:0;width:513715;" filled="f" stroked="t" coordsize="21600,21600" o:gfxdata="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OB2aN0gAAAAYBAAAPAAAAAAAAAAEA&#10;IAAAACIAAABkcnMvZG93bnJldi54bWxQSwECFAAUAAAACACHTuJAkXKkfRUCAADqAwAADgAAAAAA&#10;AAABACAAAAAhAQAAZHJzL2Uyb0RvYy54bWxQSwUGAAAAAAYABgBZAQAAqAUAAAAA&#10;">
                        <v:fill on="f" focussize="0,0"/>
                        <v:stroke weight="1pt" color="#000000 [3213]" joinstyle="round" endarrow="classic" endarrowlength="long"/>
                        <v:imagedata o:title=""/>
                        <o:lock v:ext="edit" aspectratio="f"/>
                      </v:shape>
                      <v:rect id="矩形 227" o:spid="_x0000_s1026" o:spt="1" style="position:absolute;left:3943985;top:911225;height:6597015;width:328295;v-text-anchor:middle;" filled="f" stroked="t" coordsize="21600,21600" o:gfxdata="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VAtV71AAAAAYBAAAPAAAAAAAAAAEAIAAAACIAAABkcnMvZG93bnJl&#10;di54bWxQSwECFAAUAAAACACHTuJAGHLBtHMCAADOBAAADgAAAAAAAAABACAAAAAjAQAAZHJzL2Uy&#10;b0RvYy54bWxQSwUGAAAAAAYABgBZAQAACAYAAAAA&#10;">
                        <v:fill on="f" focussize="0,0"/>
                        <v:stroke weight="1pt" color="#000000 [3213]" joinstyle="round"/>
                        <v:imagedata o:title=""/>
                        <o:lock v:ext="edit" aspectratio="f"/>
                        <v:textbox>
                          <w:txbxContent>
                            <w:p w14:paraId="7C7D71D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寻甸污水处理厂</w:t>
                              </w:r>
                            </w:p>
                          </w:txbxContent>
                        </v:textbox>
                      </v:rect>
                      <v:rect id="矩形 228" o:spid="_x0000_s1026" o:spt="1" style="position:absolute;left:3258185;top:373824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P&#10;Sud50wAAAAYBAAAPAAAAAAAAAAEAIAAAACIAAABkcnMvZG93bnJldi54bWxQSwECFAAUAAAACACH&#10;TuJAu/dYjWICAAClBAAADgAAAAAAAAABACAAAAAiAQAAZHJzL2Uyb0RvYy54bWxQSwUGAAAAAAYA&#10;BgBZAQAA9gUAAAAA&#10;">
                        <v:fill on="f" focussize="0,0"/>
                        <v:stroke on="f" weight="1pt"/>
                        <v:imagedata o:title=""/>
                        <o:lock v:ext="edit" aspectratio="f"/>
                        <v:textbox>
                          <w:txbxContent>
                            <w:p w14:paraId="0568F2F2">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687.038</w:t>
                              </w:r>
                            </w:p>
                          </w:txbxContent>
                        </v:textbox>
                      </v:rect>
                      <v:shape id="曲线连接符 208" o:spid="_x0000_s1026" o:spt="37" type="#_x0000_t37" style="position:absolute;left:2115185;top:4355465;height:262255;width:210185;rotation:-5898240f;" filled="f" stroked="t" coordsize="21600,21600" o:gfxdata="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DHvP7tUAAAAGAQAADwAA&#10;AAAAAAABACAAAAAiAAAAZHJzL2Rvd25yZXYueG1sUEsBAhQAFAAAAAgAh07iQG5Hw70ZAgAA9gMA&#10;AA4AAAAAAAAAAQAgAAAAJAEAAGRycy9lMm9Eb2MueG1sUEsFBgAAAAAGAAYAWQEAAK8FAAAAAA==&#10;">
                        <v:fill on="f" focussize="0,0"/>
                        <v:stroke weight="1pt" color="#000000 [3213]" joinstyle="round" endarrow="classic" endarrowlength="long"/>
                        <v:imagedata o:title=""/>
                        <o:lock v:ext="edit" aspectratio="f"/>
                      </v:shape>
                      <v:rect id="矩形 189" o:spid="_x0000_s1026" o:spt="1" style="position:absolute;left:2305685;top:516318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I9K&#10;53nTAAAABgEAAA8AAAAAAAAAAQAgAAAAIgAAAGRycy9kb3ducmV2LnhtbFBLAQIUABQAAAAIAIdO&#10;4kAhrKGhYQIAAKUEAAAOAAAAAAAAAAEAIAAAACIBAABkcnMvZTJvRG9jLnhtbFBLBQYAAAAABgAG&#10;AFkBAAD1BQAAAAA=&#10;">
                        <v:fill on="f" focussize="0,0"/>
                        <v:stroke on="f" weight="1pt"/>
                        <v:imagedata o:title=""/>
                        <o:lock v:ext="edit" aspectratio="f"/>
                        <v:textbox>
                          <w:txbxContent>
                            <w:p w14:paraId="7BCAA7B3">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657.1</w:t>
                              </w:r>
                            </w:p>
                          </w:txbxContent>
                        </v:textbox>
                      </v:rect>
                      <v:group id="组合 182" o:spid="_x0000_s1026" o:spt="203" style="position:absolute;left:797560;top:5909945;height:335280;width:2320925;" coordorigin="382,443" coordsize="2228,528" o:gfxdata="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">
                        <o:lock v:ext="edit" aspectratio="f"/>
                        <v:rect id="矩形 173" o:spid="_x0000_s1026" o:spt="1" style="position:absolute;left:382;top:443;height:528;width:1356;v-text-anchor:middle;" filled="f" stroked="t" coordsize="21600,21600" o:gfxdata="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YjWCLsAAADc&#10;AAAADwAAAAAAAAABACAAAAAiAAAAZHJzL2Rvd25yZXYueG1sUEsBAhQAFAAAAAgAh07iQDMvBZ47&#10;AAAAOQAAABAAAAAAAAAAAQAgAAAACgEAAGRycy9zaGFwZXhtbC54bWxQSwUGAAAAAAYABgBbAQAA&#10;tAMAAAAA&#10;">
                          <v:fill on="f" focussize="0,0"/>
                          <v:stroke weight="1pt" color="#000000 [3213]" joinstyle="round"/>
                          <v:imagedata o:title=""/>
                          <o:lock v:ext="edit" aspectratio="f"/>
                          <v:textbox>
                            <w:txbxContent>
                              <w:p w14:paraId="045FAC4F">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现有项目生产废水</w:t>
                                </w:r>
                              </w:p>
                            </w:txbxContent>
                          </v:textbox>
                        </v:rect>
                        <v:shape id="直接箭头连接符 174" o:spid="_x0000_s1026" o:spt="32" type="#_x0000_t32" style="position:absolute;left:1738;top:707;height:2;width:872;" filled="f" stroked="t" coordsize="21600,21600" o:gfxdata="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T/0BbsAAADc&#10;AAAADwAAAAAAAAABACAAAAAiAAAAZHJzL2Rvd25yZXYueG1sUEsBAhQAFAAAAAgAh07iQDMvBZ47&#10;AAAAOQAAABAAAAAAAAAAAQAgAAAACgEAAGRycy9zaGFwZXhtbC54bWxQSwUGAAAAAAYABgBbAQAA&#10;tAMAAAAA&#10;">
                          <v:fill on="f" focussize="0,0"/>
                          <v:stroke weight="1pt" color="#000000 [3213]" joinstyle="round" endarrow="classic" endarrowlength="long"/>
                          <v:imagedata o:title=""/>
                          <o:lock v:ext="edit" aspectratio="f"/>
                        </v:shape>
                      </v:group>
                      <v:rect id="矩形 189" o:spid="_x0000_s1026" o:spt="1" style="position:absolute;left:2305685;top:581850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0rnedMAAAAGAQAADwAAAAAAAAABACAAAAAiAAAAZHJzL2Rvd25yZXYueG1sUEsBAhQAFAAAAAgA&#10;h07iQJ2MJk1jAgAApQQAAA4AAAAAAAAAAQAgAAAAIgEAAGRycy9lMm9Eb2MueG1sUEsFBgAAAAAG&#10;AAYAWQEAAPcFAAAAAA==&#10;">
                        <v:fill on="f" focussize="0,0"/>
                        <v:stroke on="f" weight="1pt"/>
                        <v:imagedata o:title=""/>
                        <o:lock v:ext="edit" aspectratio="f"/>
                        <v:textbox>
                          <w:txbxContent>
                            <w:p w14:paraId="0E54AEDB">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10.44</w:t>
                              </w:r>
                            </w:p>
                          </w:txbxContent>
                        </v:textbox>
                      </v:rect>
                      <v:group id="组合 182" o:spid="_x0000_s1026" o:spt="203" style="position:absolute;left:415925;top:6702425;height:335280;width:1930400;" coordorigin="382,443" coordsize="1853,528" o:gfxdata="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">
                        <o:lock v:ext="edit" aspectratio="f"/>
                        <v:rect id="矩形 173" o:spid="_x0000_s1026" o:spt="1" style="position:absolute;left:382;top:443;height:528;width:1356;v-text-anchor:middle;" filled="f" stroked="t" coordsize="21600,21600" o:gfxdata="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bl3P74A&#10;AADc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textbox>
                            <w:txbxContent>
                              <w:p w14:paraId="0665B9C2">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现有项目生活污水</w:t>
                                </w:r>
                              </w:p>
                            </w:txbxContent>
                          </v:textbox>
                        </v:rect>
                        <v:shape id="直接箭头连接符 174" o:spid="_x0000_s1026" o:spt="32" type="#_x0000_t32" style="position:absolute;left:1738;top:698;flip:y;height:9;width:497;" filled="f" stroked="t" coordsize="21600,21600" o:gfxdata="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GdwTC/&#10;AAAA3AAAAA8AAAAAAAAAAQAgAAAAIgAAAGRycy9kb3ducmV2LnhtbFBLAQIUABQAAAAIAIdO4kAz&#10;LwWeOwAAADkAAAAQAAAAAAAAAAEAIAAAAA4BAABkcnMvc2hhcGV4bWwueG1sUEsFBgAAAAAGAAYA&#10;WwEAALgDAAAAAA==&#10;">
                          <v:fill on="f" focussize="0,0"/>
                          <v:stroke weight="1pt" color="#000000 [3213]" joinstyle="round" endarrow="classic" endarrowlength="long"/>
                          <v:imagedata o:title=""/>
                          <o:lock v:ext="edit" aspectratio="f"/>
                        </v:shape>
                      </v:group>
                      <v:rect id="矩形 175" o:spid="_x0000_s1026" o:spt="1" style="position:absolute;left:2336165;top:6694805;height:335280;width:1081405;v-text-anchor:middle;" filled="f" stroked="t" coordsize="21600,21600" o:gfxdata="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lQLVe9QAAAAGAQAADwAAAAAAAAABACAAAAAiAAAAZHJzL2Rvd25y&#10;ZXYueG1sUEsBAhQAFAAAAAgAh07iQIBHV7l0AgAAzwQAAA4AAAAAAAAAAQAgAAAAIwEAAGRycy9l&#10;Mm9Eb2MueG1sUEsFBgAAAAAGAAYAWQEAAAkGAAAAAA==&#10;">
                        <v:fill on="f" focussize="0,0"/>
                        <v:stroke weight="1pt" color="#000000 [3213]" joinstyle="round"/>
                        <v:imagedata o:title=""/>
                        <o:lock v:ext="edit" aspectratio="f"/>
                        <v:textbox>
                          <w:txbxContent>
                            <w:p w14:paraId="0005839D">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隔油池/化粪池</w:t>
                              </w:r>
                            </w:p>
                          </w:txbxContent>
                        </v:textbox>
                      </v:rect>
                      <v:shape id="直接箭头连接符 174" o:spid="_x0000_s1026" o:spt="32" type="#_x0000_t32" style="position:absolute;left:3425825;top:6862445;flip:y;height:5715;width:517525;" filled="f" stroked="t" coordsize="21600,21600" o:gfxdata="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674IS9QAAAAGAQAA&#10;DwAAAAAAAAABACAAAAAiAAAAZHJzL2Rvd25yZXYueG1sUEsBAhQAFAAAAAgAh07iQFYLet0dAgAA&#10;9wMAAA4AAAAAAAAAAQAgAAAAIwEAAGRycy9lMm9Eb2MueG1sUEsFBgAAAAAGAAYAWQEAALIFAAAA&#10;AA==&#10;">
                        <v:fill on="f" focussize="0,0"/>
                        <v:stroke weight="1pt" color="#000000 [3213]" joinstyle="round" endarrow="classic" endarrowlength="long"/>
                        <v:imagedata o:title=""/>
                        <o:lock v:ext="edit" aspectratio="f"/>
                      </v:shape>
                      <v:rect id="矩形 189" o:spid="_x0000_s1026" o:spt="1" style="position:absolute;left:1635125;top:660336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0rnedMAAAAGAQAADwAAAAAAAAABACAAAAAiAAAAZHJzL2Rvd25yZXYueG1sUEsBAhQAFAAAAAgA&#10;h07iQAxmLcFjAgAApQQAAA4AAAAAAAAAAQAgAAAAIgEAAGRycy9lMm9Eb2MueG1sUEsFBgAAAAAG&#10;AAYAWQEAAPcFAAAAAA==&#10;">
                        <v:fill on="f" focussize="0,0"/>
                        <v:stroke on="f" weight="1pt"/>
                        <v:imagedata o:title=""/>
                        <o:lock v:ext="edit" aspectratio="f"/>
                        <v:textbox>
                          <w:txbxContent>
                            <w:p w14:paraId="0727552E">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2.732</w:t>
                              </w:r>
                            </w:p>
                          </w:txbxContent>
                        </v:textbox>
                      </v:rect>
                      <v:rect id="矩形 189" o:spid="_x0000_s1026" o:spt="1" style="position:absolute;left:3242945;top:6618605;height:335280;width:861060;v-text-anchor:middle;" filled="f" stroked="f" coordsize="21600,21600" o:gfxdata="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0rnedMAAAAGAQAADwAAAAAAAAABACAAAAAiAAAAZHJzL2Rvd25yZXYueG1sUEsBAhQAFAAAAAgA&#10;h07iQHwx2GRjAgAApQQAAA4AAAAAAAAAAQAgAAAAIgEAAGRycy9lMm9Eb2MueG1sUEsFBgAAAAAG&#10;AAYAWQEAAPcFAAAAAA==&#10;">
                        <v:fill on="f" focussize="0,0"/>
                        <v:stroke on="f" weight="1pt"/>
                        <v:imagedata o:title=""/>
                        <o:lock v:ext="edit" aspectratio="f"/>
                        <v:textbox>
                          <w:txbxContent>
                            <w:p w14:paraId="699E6670">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2.732</w:t>
                              </w:r>
                            </w:p>
                          </w:txbxContent>
                        </v:textbox>
                      </v:rect>
                      <w10:wrap type="none"/>
                      <w10:anchorlock/>
                    </v:group>
                  </w:pict>
                </mc:Fallback>
              </mc:AlternateContent>
            </w:r>
          </w:p>
          <w:p w14:paraId="5C42F046">
            <w:pPr>
              <w:keepNext w:val="0"/>
              <w:keepLines w:val="0"/>
              <w:pageBreakBefore w:val="0"/>
              <w:widowControl w:val="0"/>
              <w:kinsoku/>
              <w:wordWrap/>
              <w:overflowPunct/>
              <w:topLinePunct w:val="0"/>
              <w:autoSpaceDE/>
              <w:autoSpaceDN/>
              <w:bidi w:val="0"/>
              <w:adjustRightInd/>
              <w:snapToGrid/>
              <w:spacing w:line="320" w:lineRule="exact"/>
              <w:ind w:firstLine="422" w:firstLineChars="200"/>
              <w:jc w:val="center"/>
              <w:textAlignment w:val="auto"/>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图2-4  本项目建设完成后全厂水量平衡（雨天）</w:t>
            </w:r>
          </w:p>
          <w:p w14:paraId="15F218FA">
            <w:pPr>
              <w:pStyle w:val="25"/>
              <w:keepNext w:val="0"/>
              <w:keepLines w:val="0"/>
              <w:pageBreakBefore w:val="0"/>
              <w:widowControl w:val="0"/>
              <w:kinsoku/>
              <w:wordWrap/>
              <w:overflowPunct/>
              <w:topLinePunct w:val="0"/>
              <w:autoSpaceDE/>
              <w:autoSpaceDN/>
              <w:bidi w:val="0"/>
              <w:adjustRightInd/>
              <w:snapToGrid/>
              <w:spacing w:after="0" w:line="440" w:lineRule="exact"/>
              <w:ind w:left="0" w:leftChars="0"/>
              <w:textAlignment w:val="auto"/>
              <w:rPr>
                <w:rFonts w:hint="default" w:ascii="Times New Roman" w:hAnsi="Times New Roman" w:eastAsia="宋体" w:cs="Times New Roman"/>
                <w:bCs/>
                <w:color w:val="auto"/>
                <w:sz w:val="24"/>
                <w:szCs w:val="24"/>
                <w:highlight w:val="none"/>
              </w:rPr>
            </w:pPr>
          </w:p>
          <w:p w14:paraId="526D951A">
            <w:pPr>
              <w:pStyle w:val="25"/>
              <w:keepNext w:val="0"/>
              <w:keepLines w:val="0"/>
              <w:pageBreakBefore w:val="0"/>
              <w:widowControl w:val="0"/>
              <w:kinsoku/>
              <w:wordWrap/>
              <w:overflowPunct/>
              <w:topLinePunct w:val="0"/>
              <w:autoSpaceDE/>
              <w:autoSpaceDN/>
              <w:bidi w:val="0"/>
              <w:adjustRightInd/>
              <w:snapToGrid/>
              <w:spacing w:after="0" w:line="440" w:lineRule="exact"/>
              <w:ind w:left="0" w:leftChars="0"/>
              <w:textAlignment w:val="auto"/>
              <w:rPr>
                <w:rFonts w:hint="default"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rPr>
              <w:t>综上，</w:t>
            </w:r>
            <w:r>
              <w:rPr>
                <w:rFonts w:hint="eastAsia" w:ascii="Times New Roman" w:hAnsi="Times New Roman" w:eastAsia="宋体" w:cs="Times New Roman"/>
                <w:bCs/>
                <w:color w:val="auto"/>
                <w:sz w:val="24"/>
                <w:szCs w:val="24"/>
                <w:highlight w:val="none"/>
                <w:lang w:val="en-US" w:eastAsia="zh-CN"/>
              </w:rPr>
              <w:t>本</w:t>
            </w:r>
            <w:r>
              <w:rPr>
                <w:rFonts w:hint="default" w:ascii="Times New Roman" w:hAnsi="Times New Roman" w:eastAsia="宋体" w:cs="Times New Roman"/>
                <w:bCs/>
                <w:color w:val="auto"/>
                <w:sz w:val="24"/>
                <w:szCs w:val="24"/>
                <w:highlight w:val="none"/>
              </w:rPr>
              <w:t>项目扩建</w:t>
            </w:r>
            <w:r>
              <w:rPr>
                <w:rFonts w:hint="eastAsia" w:ascii="Times New Roman" w:hAnsi="Times New Roman" w:eastAsia="宋体" w:cs="Times New Roman"/>
                <w:bCs/>
                <w:color w:val="auto"/>
                <w:sz w:val="24"/>
                <w:szCs w:val="24"/>
                <w:highlight w:val="none"/>
                <w:lang w:val="en-US" w:eastAsia="zh-CN"/>
              </w:rPr>
              <w:t>完成后</w:t>
            </w:r>
            <w:r>
              <w:rPr>
                <w:rFonts w:hint="default" w:ascii="Times New Roman" w:hAnsi="Times New Roman" w:eastAsia="宋体" w:cs="Times New Roman"/>
                <w:bCs/>
                <w:color w:val="auto"/>
                <w:sz w:val="24"/>
                <w:szCs w:val="24"/>
                <w:highlight w:val="none"/>
              </w:rPr>
              <w:t>全厂生产废水</w:t>
            </w:r>
            <w:r>
              <w:rPr>
                <w:rFonts w:hint="eastAsia" w:ascii="Times New Roman" w:hAnsi="Times New Roman" w:eastAsia="宋体" w:cs="Times New Roman"/>
                <w:bCs/>
                <w:color w:val="auto"/>
                <w:sz w:val="24"/>
                <w:szCs w:val="24"/>
                <w:highlight w:val="none"/>
                <w:lang w:val="en-US" w:eastAsia="zh-CN"/>
              </w:rPr>
              <w:t>排放量为</w:t>
            </w:r>
            <w:r>
              <w:rPr>
                <w:rFonts w:hint="eastAsia" w:cs="Times New Roman"/>
                <w:bCs/>
                <w:color w:val="auto"/>
                <w:sz w:val="24"/>
                <w:szCs w:val="24"/>
                <w:highlight w:val="none"/>
                <w:lang w:val="en-US" w:eastAsia="zh-CN"/>
              </w:rPr>
              <w:t>687.038</w:t>
            </w:r>
            <w:r>
              <w:rPr>
                <w:rFonts w:hint="default" w:ascii="Times New Roman" w:hAnsi="Times New Roman" w:eastAsia="宋体" w:cs="Times New Roman"/>
                <w:bCs/>
                <w:color w:val="auto"/>
                <w:sz w:val="24"/>
                <w:szCs w:val="24"/>
                <w:highlight w:val="none"/>
              </w:rPr>
              <w:t>m</w:t>
            </w:r>
            <w:r>
              <w:rPr>
                <w:rFonts w:hint="default" w:ascii="Times New Roman" w:hAnsi="Times New Roman" w:eastAsia="宋体" w:cs="Times New Roman"/>
                <w:bCs/>
                <w:color w:val="auto"/>
                <w:sz w:val="24"/>
                <w:szCs w:val="24"/>
                <w:highlight w:val="none"/>
                <w:vertAlign w:val="superscript"/>
              </w:rPr>
              <w:t>3</w:t>
            </w:r>
            <w:r>
              <w:rPr>
                <w:rFonts w:hint="default" w:ascii="Times New Roman" w:hAnsi="Times New Roman" w:eastAsia="宋体" w:cs="Times New Roman"/>
                <w:bCs/>
                <w:color w:val="auto"/>
                <w:sz w:val="24"/>
                <w:szCs w:val="24"/>
                <w:highlight w:val="none"/>
              </w:rPr>
              <w:t>/d进入生产废水处理系统处理，生活污水进入</w:t>
            </w:r>
            <w:r>
              <w:rPr>
                <w:rFonts w:hint="eastAsia" w:cs="Times New Roman"/>
                <w:bCs/>
                <w:color w:val="auto"/>
                <w:sz w:val="24"/>
                <w:szCs w:val="24"/>
                <w:highlight w:val="none"/>
                <w:lang w:val="en-US" w:eastAsia="zh-CN"/>
              </w:rPr>
              <w:t>2.732</w:t>
            </w:r>
            <w:r>
              <w:rPr>
                <w:rFonts w:hint="default" w:ascii="Times New Roman" w:hAnsi="Times New Roman" w:eastAsia="宋体" w:cs="Times New Roman"/>
                <w:bCs/>
                <w:color w:val="auto"/>
                <w:sz w:val="24"/>
                <w:szCs w:val="24"/>
                <w:highlight w:val="none"/>
              </w:rPr>
              <w:t>m</w:t>
            </w:r>
            <w:r>
              <w:rPr>
                <w:rFonts w:hint="default" w:ascii="Times New Roman" w:hAnsi="Times New Roman" w:eastAsia="宋体" w:cs="Times New Roman"/>
                <w:bCs/>
                <w:color w:val="auto"/>
                <w:sz w:val="24"/>
                <w:szCs w:val="24"/>
                <w:highlight w:val="none"/>
                <w:vertAlign w:val="superscript"/>
              </w:rPr>
              <w:t>3</w:t>
            </w:r>
            <w:r>
              <w:rPr>
                <w:rFonts w:hint="default" w:ascii="Times New Roman" w:hAnsi="Times New Roman" w:eastAsia="宋体" w:cs="Times New Roman"/>
                <w:bCs/>
                <w:color w:val="auto"/>
                <w:sz w:val="24"/>
                <w:szCs w:val="24"/>
                <w:highlight w:val="none"/>
              </w:rPr>
              <w:t>/d化粪池预处理后与经过处理的生产废水一同经过厂区现有综合污水排放口DW001排入寻甸县污水处理厂。</w:t>
            </w:r>
            <w:r>
              <w:rPr>
                <w:rFonts w:hint="eastAsia" w:cs="Times New Roman"/>
                <w:bCs/>
                <w:color w:val="auto"/>
                <w:sz w:val="24"/>
                <w:szCs w:val="24"/>
                <w:highlight w:val="none"/>
                <w:lang w:val="en-US" w:eastAsia="zh-CN"/>
              </w:rPr>
              <w:t>较现有项目相比，本项目建设完成后全厂生产废水外排废水量减少23.402m</w:t>
            </w:r>
            <w:r>
              <w:rPr>
                <w:rFonts w:hint="eastAsia" w:cs="Times New Roman"/>
                <w:bCs/>
                <w:color w:val="auto"/>
                <w:sz w:val="24"/>
                <w:szCs w:val="24"/>
                <w:highlight w:val="none"/>
                <w:vertAlign w:val="superscript"/>
                <w:lang w:val="en-US" w:eastAsia="zh-CN"/>
              </w:rPr>
              <w:t>3</w:t>
            </w:r>
            <w:r>
              <w:rPr>
                <w:rFonts w:hint="eastAsia" w:cs="Times New Roman"/>
                <w:bCs/>
                <w:color w:val="auto"/>
                <w:sz w:val="24"/>
                <w:szCs w:val="24"/>
                <w:highlight w:val="none"/>
                <w:lang w:val="en-US" w:eastAsia="zh-CN"/>
              </w:rPr>
              <w:t>/d（7792.866m</w:t>
            </w:r>
            <w:r>
              <w:rPr>
                <w:rFonts w:hint="eastAsia" w:cs="Times New Roman"/>
                <w:bCs/>
                <w:color w:val="auto"/>
                <w:sz w:val="24"/>
                <w:szCs w:val="24"/>
                <w:highlight w:val="none"/>
                <w:vertAlign w:val="superscript"/>
                <w:lang w:val="en-US" w:eastAsia="zh-CN"/>
              </w:rPr>
              <w:t>3</w:t>
            </w:r>
            <w:r>
              <w:rPr>
                <w:rFonts w:hint="eastAsia" w:cs="Times New Roman"/>
                <w:bCs/>
                <w:color w:val="auto"/>
                <w:sz w:val="24"/>
                <w:szCs w:val="24"/>
                <w:highlight w:val="none"/>
                <w:lang w:val="en-US" w:eastAsia="zh-CN"/>
              </w:rPr>
              <w:t>/d）</w:t>
            </w:r>
          </w:p>
          <w:p w14:paraId="235025A7">
            <w:pPr>
              <w:keepNext w:val="0"/>
              <w:keepLines w:val="0"/>
              <w:pageBreakBefore w:val="0"/>
              <w:widowControl w:val="0"/>
              <w:kinsoku/>
              <w:wordWrap/>
              <w:overflowPunct/>
              <w:topLinePunct w:val="0"/>
              <w:autoSpaceDE/>
              <w:autoSpaceDN/>
              <w:bidi w:val="0"/>
              <w:adjustRightInd/>
              <w:snapToGrid/>
              <w:spacing w:line="440" w:lineRule="exact"/>
              <w:textAlignment w:val="auto"/>
              <w:rPr>
                <w:b/>
                <w:bCs/>
                <w:color w:val="auto"/>
                <w:kern w:val="0"/>
                <w:sz w:val="24"/>
                <w:highlight w:val="none"/>
              </w:rPr>
            </w:pPr>
            <w:r>
              <w:rPr>
                <w:rFonts w:hint="eastAsia"/>
                <w:b/>
                <w:bCs/>
                <w:color w:val="auto"/>
                <w:kern w:val="0"/>
                <w:sz w:val="24"/>
                <w:highlight w:val="none"/>
              </w:rPr>
              <w:t>9、</w:t>
            </w:r>
            <w:r>
              <w:rPr>
                <w:b/>
                <w:bCs/>
                <w:color w:val="auto"/>
                <w:kern w:val="0"/>
                <w:sz w:val="24"/>
                <w:highlight w:val="none"/>
              </w:rPr>
              <w:t>环保投资</w:t>
            </w:r>
          </w:p>
          <w:p w14:paraId="54C148A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b/>
                <w:bCs/>
                <w:color w:val="auto"/>
                <w:kern w:val="0"/>
                <w:szCs w:val="21"/>
                <w:highlight w:val="none"/>
              </w:rPr>
            </w:pPr>
            <w:r>
              <w:rPr>
                <w:rFonts w:hint="eastAsia"/>
                <w:color w:val="auto"/>
                <w:kern w:val="0"/>
                <w:sz w:val="24"/>
                <w:highlight w:val="none"/>
              </w:rPr>
              <w:t>项目总投资520万元，其中环保投资</w:t>
            </w:r>
            <w:r>
              <w:rPr>
                <w:rFonts w:hint="eastAsia"/>
                <w:color w:val="auto"/>
                <w:kern w:val="0"/>
                <w:sz w:val="24"/>
                <w:highlight w:val="none"/>
                <w:lang w:val="en-US" w:eastAsia="zh-CN"/>
              </w:rPr>
              <w:t>59.9</w:t>
            </w:r>
            <w:r>
              <w:rPr>
                <w:rFonts w:hint="eastAsia"/>
                <w:color w:val="auto"/>
                <w:kern w:val="0"/>
                <w:sz w:val="24"/>
                <w:highlight w:val="none"/>
              </w:rPr>
              <w:t>万元，占总投资</w:t>
            </w:r>
            <w:r>
              <w:rPr>
                <w:rFonts w:hint="eastAsia"/>
                <w:color w:val="auto"/>
                <w:kern w:val="0"/>
                <w:sz w:val="24"/>
                <w:highlight w:val="none"/>
                <w:lang w:val="en-US" w:eastAsia="zh-CN"/>
              </w:rPr>
              <w:t>11.5</w:t>
            </w:r>
            <w:r>
              <w:rPr>
                <w:rFonts w:hint="eastAsia"/>
                <w:color w:val="auto"/>
                <w:kern w:val="0"/>
                <w:sz w:val="24"/>
                <w:highlight w:val="none"/>
              </w:rPr>
              <w:t>%。</w:t>
            </w:r>
            <w:r>
              <w:rPr>
                <w:color w:val="auto"/>
                <w:kern w:val="0"/>
                <w:sz w:val="24"/>
                <w:highlight w:val="none"/>
              </w:rPr>
              <w:t>项目环保投资一览表见表</w:t>
            </w:r>
            <w:r>
              <w:rPr>
                <w:rFonts w:hint="eastAsia"/>
                <w:color w:val="auto"/>
                <w:kern w:val="0"/>
                <w:sz w:val="24"/>
                <w:highlight w:val="none"/>
              </w:rPr>
              <w:t>2-</w:t>
            </w:r>
            <w:r>
              <w:rPr>
                <w:rFonts w:hint="eastAsia"/>
                <w:color w:val="auto"/>
                <w:kern w:val="0"/>
                <w:sz w:val="24"/>
                <w:highlight w:val="none"/>
                <w:lang w:val="en-US" w:eastAsia="zh-CN"/>
              </w:rPr>
              <w:t>10</w:t>
            </w:r>
            <w:r>
              <w:rPr>
                <w:color w:val="auto"/>
                <w:kern w:val="0"/>
                <w:sz w:val="24"/>
                <w:highlight w:val="none"/>
              </w:rPr>
              <w:t>。</w:t>
            </w:r>
          </w:p>
          <w:p w14:paraId="160D8929">
            <w:pPr>
              <w:jc w:val="center"/>
              <w:rPr>
                <w:b/>
                <w:bCs/>
                <w:color w:val="auto"/>
                <w:kern w:val="0"/>
                <w:highlight w:val="none"/>
              </w:rPr>
            </w:pPr>
            <w:r>
              <w:rPr>
                <w:b/>
                <w:bCs/>
                <w:color w:val="auto"/>
                <w:kern w:val="0"/>
                <w:highlight w:val="none"/>
              </w:rPr>
              <w:t>表</w:t>
            </w:r>
            <w:r>
              <w:rPr>
                <w:rFonts w:hint="eastAsia"/>
                <w:b/>
                <w:bCs/>
                <w:color w:val="auto"/>
                <w:kern w:val="0"/>
                <w:highlight w:val="none"/>
              </w:rPr>
              <w:t>2-</w:t>
            </w:r>
            <w:r>
              <w:rPr>
                <w:rFonts w:hint="eastAsia"/>
                <w:b/>
                <w:bCs/>
                <w:color w:val="auto"/>
                <w:kern w:val="0"/>
                <w:highlight w:val="none"/>
                <w:lang w:val="en-US" w:eastAsia="zh-CN"/>
              </w:rPr>
              <w:t>10</w:t>
            </w:r>
            <w:r>
              <w:rPr>
                <w:rFonts w:hint="eastAsia"/>
                <w:b/>
                <w:bCs/>
                <w:color w:val="auto"/>
                <w:kern w:val="0"/>
                <w:highlight w:val="none"/>
              </w:rPr>
              <w:t xml:space="preserve">  </w:t>
            </w:r>
            <w:r>
              <w:rPr>
                <w:b/>
                <w:bCs/>
                <w:color w:val="auto"/>
                <w:kern w:val="0"/>
                <w:highlight w:val="none"/>
              </w:rPr>
              <w:t>环保投资一览表</w:t>
            </w:r>
          </w:p>
          <w:tbl>
            <w:tblPr>
              <w:tblStyle w:val="26"/>
              <w:tblW w:w="87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81"/>
              <w:gridCol w:w="851"/>
              <w:gridCol w:w="5285"/>
              <w:gridCol w:w="1151"/>
            </w:tblGrid>
            <w:tr w14:paraId="39E7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Align w:val="center"/>
                </w:tcPr>
                <w:p w14:paraId="2053B6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时段</w:t>
                  </w:r>
                </w:p>
              </w:tc>
              <w:tc>
                <w:tcPr>
                  <w:tcW w:w="880" w:type="pct"/>
                  <w:gridSpan w:val="2"/>
                  <w:vAlign w:val="center"/>
                </w:tcPr>
                <w:p w14:paraId="469A6B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类别</w:t>
                  </w:r>
                </w:p>
              </w:tc>
              <w:tc>
                <w:tcPr>
                  <w:tcW w:w="3034" w:type="pct"/>
                  <w:vAlign w:val="center"/>
                </w:tcPr>
                <w:p w14:paraId="2D0FE2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治理措施</w:t>
                  </w:r>
                </w:p>
              </w:tc>
              <w:tc>
                <w:tcPr>
                  <w:tcW w:w="661" w:type="pct"/>
                  <w:vAlign w:val="center"/>
                </w:tcPr>
                <w:p w14:paraId="3DB422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环保投资</w:t>
                  </w:r>
                </w:p>
                <w:p w14:paraId="55690B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（万元）</w:t>
                  </w:r>
                </w:p>
              </w:tc>
            </w:tr>
            <w:tr w14:paraId="1BE9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restart"/>
                  <w:vAlign w:val="center"/>
                </w:tcPr>
                <w:p w14:paraId="6FB946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施工期</w:t>
                  </w:r>
                </w:p>
              </w:tc>
              <w:tc>
                <w:tcPr>
                  <w:tcW w:w="880" w:type="pct"/>
                  <w:gridSpan w:val="2"/>
                  <w:vAlign w:val="center"/>
                </w:tcPr>
                <w:p w14:paraId="31C4CB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生活污水</w:t>
                  </w:r>
                </w:p>
              </w:tc>
              <w:tc>
                <w:tcPr>
                  <w:tcW w:w="3034" w:type="pct"/>
                  <w:vAlign w:val="center"/>
                </w:tcPr>
                <w:p w14:paraId="65AE11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依托现有化粪池收集处理</w:t>
                  </w:r>
                </w:p>
              </w:tc>
              <w:tc>
                <w:tcPr>
                  <w:tcW w:w="661" w:type="pct"/>
                  <w:vAlign w:val="center"/>
                </w:tcPr>
                <w:p w14:paraId="61D3F8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依托现有</w:t>
                  </w:r>
                </w:p>
              </w:tc>
            </w:tr>
            <w:tr w14:paraId="4C45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6A368A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880" w:type="pct"/>
                  <w:gridSpan w:val="2"/>
                  <w:vAlign w:val="center"/>
                </w:tcPr>
                <w:p w14:paraId="495C86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废水</w:t>
                  </w:r>
                </w:p>
              </w:tc>
              <w:tc>
                <w:tcPr>
                  <w:tcW w:w="3034" w:type="pct"/>
                  <w:vAlign w:val="center"/>
                </w:tcPr>
                <w:p w14:paraId="7D99DC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设置临时沉淀池1个，5m</w:t>
                  </w:r>
                  <w:r>
                    <w:rPr>
                      <w:rFonts w:hint="default" w:ascii="Times New Roman" w:hAnsi="Times New Roman" w:eastAsia="宋体" w:cs="Times New Roman"/>
                      <w:color w:val="auto"/>
                      <w:sz w:val="21"/>
                      <w:szCs w:val="21"/>
                      <w:highlight w:val="none"/>
                      <w:vertAlign w:val="superscript"/>
                    </w:rPr>
                    <w:t>3</w:t>
                  </w:r>
                </w:p>
              </w:tc>
              <w:tc>
                <w:tcPr>
                  <w:tcW w:w="661" w:type="pct"/>
                  <w:vAlign w:val="center"/>
                </w:tcPr>
                <w:p w14:paraId="12A12C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w:t>
                  </w:r>
                  <w:r>
                    <w:rPr>
                      <w:rFonts w:hint="eastAsia" w:cs="Times New Roman"/>
                      <w:color w:val="auto"/>
                      <w:kern w:val="0"/>
                      <w:sz w:val="21"/>
                      <w:szCs w:val="21"/>
                      <w:highlight w:val="none"/>
                      <w:lang w:val="en-US" w:eastAsia="zh-CN"/>
                    </w:rPr>
                    <w:t>5</w:t>
                  </w:r>
                </w:p>
              </w:tc>
            </w:tr>
            <w:tr w14:paraId="58C78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1AB228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880" w:type="pct"/>
                  <w:gridSpan w:val="2"/>
                  <w:vAlign w:val="center"/>
                </w:tcPr>
                <w:p w14:paraId="3FBD43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固体废物</w:t>
                  </w:r>
                </w:p>
              </w:tc>
              <w:tc>
                <w:tcPr>
                  <w:tcW w:w="3034" w:type="pct"/>
                  <w:vAlign w:val="center"/>
                </w:tcPr>
                <w:p w14:paraId="5AC26D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建筑垃圾清运</w:t>
                  </w:r>
                </w:p>
              </w:tc>
              <w:tc>
                <w:tcPr>
                  <w:tcW w:w="661" w:type="pct"/>
                  <w:vAlign w:val="center"/>
                </w:tcPr>
                <w:p w14:paraId="6FDEFE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0.5</w:t>
                  </w:r>
                </w:p>
              </w:tc>
            </w:tr>
            <w:tr w14:paraId="19B9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7ADFC4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880" w:type="pct"/>
                  <w:gridSpan w:val="2"/>
                  <w:vAlign w:val="center"/>
                </w:tcPr>
                <w:p w14:paraId="758153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废气</w:t>
                  </w:r>
                </w:p>
              </w:tc>
              <w:tc>
                <w:tcPr>
                  <w:tcW w:w="3034" w:type="pct"/>
                  <w:vAlign w:val="center"/>
                </w:tcPr>
                <w:p w14:paraId="7D7FD87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物料堆存采取篷布覆盖；运输车辆采取遮盖、密闭措施。</w:t>
                  </w:r>
                  <w:r>
                    <w:rPr>
                      <w:rFonts w:hint="default" w:ascii="Times New Roman" w:hAnsi="Times New Roman" w:eastAsia="宋体" w:cs="Times New Roman"/>
                      <w:color w:val="auto"/>
                      <w:sz w:val="21"/>
                      <w:szCs w:val="21"/>
                      <w:highlight w:val="none"/>
                    </w:rPr>
                    <w:t>洒水降尘等</w:t>
                  </w:r>
                </w:p>
              </w:tc>
              <w:tc>
                <w:tcPr>
                  <w:tcW w:w="661" w:type="pct"/>
                  <w:vAlign w:val="center"/>
                </w:tcPr>
                <w:p w14:paraId="2CA039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rPr>
                    <w:t>2</w:t>
                  </w:r>
                  <w:r>
                    <w:rPr>
                      <w:rFonts w:hint="eastAsia" w:cs="Times New Roman"/>
                      <w:color w:val="auto"/>
                      <w:kern w:val="0"/>
                      <w:sz w:val="21"/>
                      <w:szCs w:val="21"/>
                      <w:highlight w:val="none"/>
                      <w:lang w:val="en-US" w:eastAsia="zh-CN"/>
                    </w:rPr>
                    <w:t>.0</w:t>
                  </w:r>
                </w:p>
              </w:tc>
            </w:tr>
            <w:tr w14:paraId="65B04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7EDFA9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880" w:type="pct"/>
                  <w:gridSpan w:val="2"/>
                  <w:vAlign w:val="center"/>
                </w:tcPr>
                <w:p w14:paraId="657BA9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噪声</w:t>
                  </w:r>
                </w:p>
              </w:tc>
              <w:tc>
                <w:tcPr>
                  <w:tcW w:w="3034" w:type="pct"/>
                  <w:vAlign w:val="center"/>
                </w:tcPr>
                <w:p w14:paraId="5422AB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Cs/>
                      <w:color w:val="auto"/>
                      <w:spacing w:val="-1"/>
                      <w:sz w:val="21"/>
                      <w:szCs w:val="21"/>
                      <w:highlight w:val="none"/>
                    </w:rPr>
                    <w:t>选用低噪设备、设禁</w:t>
                  </w:r>
                  <w:r>
                    <w:rPr>
                      <w:rFonts w:hint="default" w:ascii="Times New Roman" w:hAnsi="Times New Roman" w:eastAsia="宋体" w:cs="Times New Roman"/>
                      <w:bCs/>
                      <w:color w:val="auto"/>
                      <w:spacing w:val="-3"/>
                      <w:sz w:val="21"/>
                      <w:szCs w:val="21"/>
                      <w:highlight w:val="none"/>
                    </w:rPr>
                    <w:t>鸣及减速标志牌</w:t>
                  </w:r>
                </w:p>
              </w:tc>
              <w:tc>
                <w:tcPr>
                  <w:tcW w:w="661" w:type="pct"/>
                  <w:vAlign w:val="center"/>
                </w:tcPr>
                <w:p w14:paraId="510FC9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rPr>
                    <w:t>1</w:t>
                  </w:r>
                  <w:r>
                    <w:rPr>
                      <w:rFonts w:hint="eastAsia" w:cs="Times New Roman"/>
                      <w:color w:val="auto"/>
                      <w:kern w:val="0"/>
                      <w:sz w:val="21"/>
                      <w:szCs w:val="21"/>
                      <w:highlight w:val="none"/>
                      <w:lang w:val="en-US" w:eastAsia="zh-CN"/>
                    </w:rPr>
                    <w:t>.0</w:t>
                  </w:r>
                </w:p>
              </w:tc>
            </w:tr>
            <w:tr w14:paraId="2B94F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restart"/>
                  <w:vAlign w:val="center"/>
                </w:tcPr>
                <w:p w14:paraId="37351D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运营期</w:t>
                  </w:r>
                </w:p>
              </w:tc>
              <w:tc>
                <w:tcPr>
                  <w:tcW w:w="391" w:type="pct"/>
                  <w:vMerge w:val="restart"/>
                  <w:vAlign w:val="center"/>
                </w:tcPr>
                <w:p w14:paraId="0BC47A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废气</w:t>
                  </w:r>
                </w:p>
              </w:tc>
              <w:tc>
                <w:tcPr>
                  <w:tcW w:w="488" w:type="pct"/>
                  <w:vMerge w:val="restart"/>
                  <w:vAlign w:val="center"/>
                </w:tcPr>
                <w:p w14:paraId="33FBF7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液体复合微生物肥</w:t>
                  </w:r>
                </w:p>
              </w:tc>
              <w:tc>
                <w:tcPr>
                  <w:tcW w:w="3034" w:type="pct"/>
                  <w:vAlign w:val="center"/>
                </w:tcPr>
                <w:p w14:paraId="0B9CF3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人工投料站（滤芯除尘）</w:t>
                  </w:r>
                </w:p>
              </w:tc>
              <w:tc>
                <w:tcPr>
                  <w:tcW w:w="661" w:type="pct"/>
                  <w:vAlign w:val="center"/>
                </w:tcPr>
                <w:p w14:paraId="1F2D65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4.0</w:t>
                  </w:r>
                </w:p>
              </w:tc>
            </w:tr>
            <w:tr w14:paraId="1820F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0BEF65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391" w:type="pct"/>
                  <w:vMerge w:val="continue"/>
                  <w:vAlign w:val="center"/>
                </w:tcPr>
                <w:p w14:paraId="7A0820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488" w:type="pct"/>
                  <w:vMerge w:val="continue"/>
                  <w:vAlign w:val="center"/>
                </w:tcPr>
                <w:p w14:paraId="6CAD9E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3034" w:type="pct"/>
                  <w:vAlign w:val="center"/>
                </w:tcPr>
                <w:p w14:paraId="24E0E79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密闭发酵罐（设备自带）</w:t>
                  </w:r>
                </w:p>
              </w:tc>
              <w:tc>
                <w:tcPr>
                  <w:tcW w:w="661" w:type="pct"/>
                  <w:vAlign w:val="center"/>
                </w:tcPr>
                <w:p w14:paraId="632186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r>
            <w:tr w14:paraId="1C54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587D07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391" w:type="pct"/>
                  <w:vMerge w:val="continue"/>
                  <w:vAlign w:val="center"/>
                </w:tcPr>
                <w:p w14:paraId="2B04BB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488" w:type="pct"/>
                  <w:vMerge w:val="restart"/>
                  <w:vAlign w:val="center"/>
                </w:tcPr>
                <w:p w14:paraId="366E94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eastAsia" w:cs="Times New Roman"/>
                      <w:color w:val="auto"/>
                      <w:kern w:val="0"/>
                      <w:sz w:val="21"/>
                      <w:szCs w:val="21"/>
                      <w:highlight w:val="none"/>
                      <w:lang w:val="en-US" w:eastAsia="zh-CN"/>
                    </w:rPr>
                    <w:t>固体复合微生物肥</w:t>
                  </w:r>
                </w:p>
              </w:tc>
              <w:tc>
                <w:tcPr>
                  <w:tcW w:w="3034" w:type="pct"/>
                  <w:shd w:val="clear" w:color="auto" w:fill="auto"/>
                  <w:vAlign w:val="center"/>
                </w:tcPr>
                <w:p w14:paraId="0125D9C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混配工段设置</w:t>
                  </w:r>
                  <w:r>
                    <w:rPr>
                      <w:rFonts w:hint="eastAsia" w:cs="Times New Roman"/>
                      <w:color w:val="auto"/>
                      <w:kern w:val="0"/>
                      <w:sz w:val="21"/>
                      <w:szCs w:val="21"/>
                      <w:highlight w:val="none"/>
                      <w:lang w:val="en-US" w:eastAsia="zh-CN"/>
                    </w:rPr>
                    <w:t>6</w:t>
                  </w:r>
                  <w:r>
                    <w:rPr>
                      <w:rFonts w:hint="default" w:ascii="Times New Roman" w:hAnsi="Times New Roman" w:eastAsia="宋体" w:cs="Times New Roman"/>
                      <w:color w:val="auto"/>
                      <w:kern w:val="0"/>
                      <w:sz w:val="21"/>
                      <w:szCs w:val="21"/>
                      <w:highlight w:val="none"/>
                    </w:rPr>
                    <w:t>个</w:t>
                  </w:r>
                  <w:r>
                    <w:rPr>
                      <w:rFonts w:hint="eastAsia" w:cs="Times New Roman"/>
                      <w:color w:val="auto"/>
                      <w:kern w:val="0"/>
                      <w:sz w:val="21"/>
                      <w:szCs w:val="21"/>
                      <w:highlight w:val="none"/>
                      <w:lang w:val="en-US" w:eastAsia="zh-CN"/>
                    </w:rPr>
                    <w:t>半密闭</w:t>
                  </w:r>
                  <w:r>
                    <w:rPr>
                      <w:rFonts w:hint="default" w:ascii="Times New Roman" w:hAnsi="Times New Roman" w:eastAsia="宋体" w:cs="Times New Roman"/>
                      <w:color w:val="auto"/>
                      <w:kern w:val="0"/>
                      <w:sz w:val="21"/>
                      <w:szCs w:val="21"/>
                      <w:highlight w:val="none"/>
                    </w:rPr>
                    <w:t>集气罩（收集效率80%）+布袋除尘器（去除效率98%）+15m高排气筒</w:t>
                  </w:r>
                </w:p>
              </w:tc>
              <w:tc>
                <w:tcPr>
                  <w:tcW w:w="661" w:type="pct"/>
                  <w:shd w:val="clear" w:color="auto" w:fill="auto"/>
                  <w:vAlign w:val="center"/>
                </w:tcPr>
                <w:p w14:paraId="7D7B9F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12.0</w:t>
                  </w:r>
                </w:p>
              </w:tc>
            </w:tr>
            <w:tr w14:paraId="5D34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6211898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391" w:type="pct"/>
                  <w:vMerge w:val="continue"/>
                  <w:vAlign w:val="center"/>
                </w:tcPr>
                <w:p w14:paraId="17C49F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488" w:type="pct"/>
                  <w:vMerge w:val="continue"/>
                  <w:vAlign w:val="center"/>
                </w:tcPr>
                <w:p w14:paraId="4093AF0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3034" w:type="pct"/>
                  <w:shd w:val="clear" w:color="auto" w:fill="auto"/>
                  <w:vAlign w:val="center"/>
                </w:tcPr>
                <w:p w14:paraId="6D2E626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全密闭车间+负压收集+生物过滤处理设施+15m排气筒</w:t>
                  </w:r>
                </w:p>
              </w:tc>
              <w:tc>
                <w:tcPr>
                  <w:tcW w:w="661" w:type="pct"/>
                  <w:shd w:val="clear" w:color="auto" w:fill="auto"/>
                  <w:vAlign w:val="center"/>
                </w:tcPr>
                <w:p w14:paraId="2782BA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18.0</w:t>
                  </w:r>
                </w:p>
              </w:tc>
            </w:tr>
            <w:tr w14:paraId="1FF55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4F8901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880" w:type="pct"/>
                  <w:gridSpan w:val="2"/>
                  <w:vMerge w:val="restart"/>
                  <w:vAlign w:val="center"/>
                </w:tcPr>
                <w:p w14:paraId="560C85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废水</w:t>
                  </w:r>
                </w:p>
              </w:tc>
              <w:tc>
                <w:tcPr>
                  <w:tcW w:w="3034" w:type="pct"/>
                  <w:shd w:val="clear" w:color="auto" w:fill="auto"/>
                  <w:vAlign w:val="center"/>
                </w:tcPr>
                <w:p w14:paraId="39765A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污水处理系统（处理规模900m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/d）</w:t>
                  </w:r>
                </w:p>
              </w:tc>
              <w:tc>
                <w:tcPr>
                  <w:tcW w:w="661" w:type="pct"/>
                  <w:shd w:val="clear" w:color="auto" w:fill="auto"/>
                  <w:vAlign w:val="center"/>
                </w:tcPr>
                <w:p w14:paraId="0C75D8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依托现有</w:t>
                  </w:r>
                </w:p>
              </w:tc>
            </w:tr>
            <w:tr w14:paraId="520DD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22AEFE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880" w:type="pct"/>
                  <w:gridSpan w:val="2"/>
                  <w:vMerge w:val="continue"/>
                  <w:vAlign w:val="center"/>
                </w:tcPr>
                <w:p w14:paraId="2E60E0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3034" w:type="pct"/>
                  <w:shd w:val="clear" w:color="auto" w:fill="auto"/>
                  <w:vAlign w:val="center"/>
                </w:tcPr>
                <w:p w14:paraId="558B70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30m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lang w:val="en-US" w:eastAsia="zh-CN"/>
                    </w:rPr>
                    <w:t>初期雨水收集池</w:t>
                  </w:r>
                </w:p>
              </w:tc>
              <w:tc>
                <w:tcPr>
                  <w:tcW w:w="661" w:type="pct"/>
                  <w:shd w:val="clear" w:color="auto" w:fill="auto"/>
                  <w:vAlign w:val="center"/>
                </w:tcPr>
                <w:p w14:paraId="6163F0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6.0</w:t>
                  </w:r>
                </w:p>
              </w:tc>
            </w:tr>
            <w:tr w14:paraId="2E30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786896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880" w:type="pct"/>
                  <w:gridSpan w:val="2"/>
                  <w:vMerge w:val="continue"/>
                  <w:vAlign w:val="center"/>
                </w:tcPr>
                <w:p w14:paraId="5F6202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3034" w:type="pct"/>
                  <w:shd w:val="clear" w:color="auto" w:fill="auto"/>
                  <w:vAlign w:val="center"/>
                </w:tcPr>
                <w:p w14:paraId="4DF9ED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固</w:t>
                  </w:r>
                  <w:r>
                    <w:rPr>
                      <w:rFonts w:hint="eastAsia" w:cs="Times New Roman"/>
                      <w:color w:val="auto"/>
                      <w:sz w:val="21"/>
                      <w:szCs w:val="21"/>
                      <w:highlight w:val="none"/>
                      <w:lang w:val="en-US" w:eastAsia="zh-CN"/>
                    </w:rPr>
                    <w:t>体复合微生物肥生产区密闭</w:t>
                  </w:r>
                  <w:r>
                    <w:rPr>
                      <w:rFonts w:hint="default" w:ascii="Times New Roman" w:hAnsi="Times New Roman" w:eastAsia="宋体" w:cs="Times New Roman"/>
                      <w:color w:val="auto"/>
                      <w:sz w:val="21"/>
                      <w:szCs w:val="21"/>
                      <w:highlight w:val="none"/>
                    </w:rPr>
                    <w:t>渗滤液收集池（25m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p>
              </w:tc>
              <w:tc>
                <w:tcPr>
                  <w:tcW w:w="661" w:type="pct"/>
                  <w:shd w:val="clear" w:color="auto" w:fill="auto"/>
                  <w:vAlign w:val="center"/>
                </w:tcPr>
                <w:p w14:paraId="08187A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5.0</w:t>
                  </w:r>
                </w:p>
              </w:tc>
            </w:tr>
            <w:tr w14:paraId="5A18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452687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880" w:type="pct"/>
                  <w:gridSpan w:val="2"/>
                  <w:vMerge w:val="continue"/>
                  <w:vAlign w:val="center"/>
                </w:tcPr>
                <w:p w14:paraId="7B23A0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3034" w:type="pct"/>
                  <w:shd w:val="clear" w:color="auto" w:fill="auto"/>
                  <w:vAlign w:val="center"/>
                </w:tcPr>
                <w:p w14:paraId="7120BD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固</w:t>
                  </w:r>
                  <w:r>
                    <w:rPr>
                      <w:rFonts w:hint="eastAsia" w:cs="Times New Roman"/>
                      <w:color w:val="auto"/>
                      <w:sz w:val="21"/>
                      <w:szCs w:val="21"/>
                      <w:highlight w:val="none"/>
                      <w:lang w:val="en-US" w:eastAsia="zh-CN"/>
                    </w:rPr>
                    <w:t>体复合微生物肥生产区至污水处理站管道</w:t>
                  </w:r>
                </w:p>
              </w:tc>
              <w:tc>
                <w:tcPr>
                  <w:tcW w:w="661" w:type="pct"/>
                  <w:shd w:val="clear" w:color="auto" w:fill="auto"/>
                  <w:vAlign w:val="center"/>
                </w:tcPr>
                <w:p w14:paraId="74AD7F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5.0</w:t>
                  </w:r>
                </w:p>
              </w:tc>
            </w:tr>
            <w:tr w14:paraId="20BB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33FEC3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880" w:type="pct"/>
                  <w:gridSpan w:val="2"/>
                  <w:vAlign w:val="center"/>
                </w:tcPr>
                <w:p w14:paraId="7C4377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噪声</w:t>
                  </w:r>
                </w:p>
              </w:tc>
              <w:tc>
                <w:tcPr>
                  <w:tcW w:w="3034" w:type="pct"/>
                  <w:vAlign w:val="center"/>
                </w:tcPr>
                <w:p w14:paraId="433F48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基础减震，</w:t>
                  </w:r>
                  <w:r>
                    <w:rPr>
                      <w:rFonts w:hint="default" w:ascii="Times New Roman" w:hAnsi="Times New Roman" w:eastAsia="宋体" w:cs="Times New Roman"/>
                      <w:bCs/>
                      <w:color w:val="auto"/>
                      <w:spacing w:val="-1"/>
                      <w:sz w:val="21"/>
                      <w:szCs w:val="21"/>
                      <w:highlight w:val="none"/>
                    </w:rPr>
                    <w:t>设禁</w:t>
                  </w:r>
                  <w:r>
                    <w:rPr>
                      <w:rFonts w:hint="default" w:ascii="Times New Roman" w:hAnsi="Times New Roman" w:eastAsia="宋体" w:cs="Times New Roman"/>
                      <w:bCs/>
                      <w:color w:val="auto"/>
                      <w:spacing w:val="-3"/>
                      <w:sz w:val="21"/>
                      <w:szCs w:val="21"/>
                      <w:highlight w:val="none"/>
                    </w:rPr>
                    <w:t>鸣及减速标志牌</w:t>
                  </w:r>
                </w:p>
              </w:tc>
              <w:tc>
                <w:tcPr>
                  <w:tcW w:w="661" w:type="pct"/>
                  <w:vAlign w:val="center"/>
                </w:tcPr>
                <w:p w14:paraId="6DC459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1.2</w:t>
                  </w:r>
                </w:p>
              </w:tc>
            </w:tr>
            <w:tr w14:paraId="37E6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5F936D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880" w:type="pct"/>
                  <w:gridSpan w:val="2"/>
                  <w:vMerge w:val="restart"/>
                  <w:vAlign w:val="center"/>
                </w:tcPr>
                <w:p w14:paraId="35DC9A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固废</w:t>
                  </w:r>
                </w:p>
              </w:tc>
              <w:tc>
                <w:tcPr>
                  <w:tcW w:w="3034" w:type="pct"/>
                  <w:vAlign w:val="center"/>
                </w:tcPr>
                <w:p w14:paraId="6B3203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生活垃圾清运</w:t>
                  </w:r>
                </w:p>
              </w:tc>
              <w:tc>
                <w:tcPr>
                  <w:tcW w:w="661" w:type="pct"/>
                  <w:vAlign w:val="center"/>
                </w:tcPr>
                <w:p w14:paraId="78B44C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0.2</w:t>
                  </w:r>
                </w:p>
              </w:tc>
            </w:tr>
            <w:tr w14:paraId="2D4B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63050F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880" w:type="pct"/>
                  <w:gridSpan w:val="2"/>
                  <w:vMerge w:val="continue"/>
                  <w:vAlign w:val="center"/>
                </w:tcPr>
                <w:p w14:paraId="6D9FA6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3034" w:type="pct"/>
                  <w:vAlign w:val="center"/>
                </w:tcPr>
                <w:p w14:paraId="28DC27F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固体复合微生物肥生产区设置20m</w:t>
                  </w:r>
                  <w:r>
                    <w:rPr>
                      <w:rFonts w:hint="default" w:ascii="Times New Roman" w:hAnsi="Times New Roman" w:eastAsia="宋体" w:cs="Times New Roman"/>
                      <w:color w:val="auto"/>
                      <w:kern w:val="0"/>
                      <w:sz w:val="21"/>
                      <w:szCs w:val="21"/>
                      <w:highlight w:val="none"/>
                      <w:vertAlign w:val="superscript"/>
                    </w:rPr>
                    <w:t>2</w:t>
                  </w:r>
                  <w:r>
                    <w:rPr>
                      <w:rFonts w:hint="default" w:ascii="Times New Roman" w:hAnsi="Times New Roman" w:eastAsia="宋体" w:cs="Times New Roman"/>
                      <w:color w:val="auto"/>
                      <w:kern w:val="0"/>
                      <w:sz w:val="21"/>
                      <w:szCs w:val="21"/>
                      <w:highlight w:val="none"/>
                    </w:rPr>
                    <w:t>一般固废暂存间；液体复合微生物肥生产区设置10m</w:t>
                  </w:r>
                  <w:r>
                    <w:rPr>
                      <w:rFonts w:hint="default" w:ascii="Times New Roman" w:hAnsi="Times New Roman" w:eastAsia="宋体" w:cs="Times New Roman"/>
                      <w:color w:val="auto"/>
                      <w:kern w:val="0"/>
                      <w:sz w:val="21"/>
                      <w:szCs w:val="21"/>
                      <w:highlight w:val="none"/>
                      <w:vertAlign w:val="superscript"/>
                    </w:rPr>
                    <w:t>2</w:t>
                  </w:r>
                  <w:r>
                    <w:rPr>
                      <w:rFonts w:hint="default" w:ascii="Times New Roman" w:hAnsi="Times New Roman" w:eastAsia="宋体" w:cs="Times New Roman"/>
                      <w:color w:val="auto"/>
                      <w:kern w:val="0"/>
                      <w:sz w:val="21"/>
                      <w:szCs w:val="21"/>
                      <w:highlight w:val="none"/>
                    </w:rPr>
                    <w:t>一般固废暂存间。</w:t>
                  </w:r>
                </w:p>
              </w:tc>
              <w:tc>
                <w:tcPr>
                  <w:tcW w:w="661" w:type="pct"/>
                  <w:vAlign w:val="center"/>
                </w:tcPr>
                <w:p w14:paraId="24EC5A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3.0</w:t>
                  </w:r>
                </w:p>
              </w:tc>
            </w:tr>
            <w:tr w14:paraId="05F80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61E7CF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880" w:type="pct"/>
                  <w:gridSpan w:val="2"/>
                  <w:vMerge w:val="restart"/>
                  <w:vAlign w:val="center"/>
                </w:tcPr>
                <w:p w14:paraId="7749DF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环境风险</w:t>
                  </w:r>
                </w:p>
              </w:tc>
              <w:tc>
                <w:tcPr>
                  <w:tcW w:w="3034" w:type="pct"/>
                  <w:vAlign w:val="center"/>
                </w:tcPr>
                <w:p w14:paraId="680B16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危险废物贮存间6m</w:t>
                  </w:r>
                  <w:r>
                    <w:rPr>
                      <w:rFonts w:hint="default" w:ascii="Times New Roman" w:hAnsi="Times New Roman" w:eastAsia="宋体" w:cs="Times New Roman"/>
                      <w:color w:val="auto"/>
                      <w:kern w:val="0"/>
                      <w:sz w:val="21"/>
                      <w:szCs w:val="21"/>
                      <w:highlight w:val="none"/>
                      <w:vertAlign w:val="superscript"/>
                    </w:rPr>
                    <w:t>2</w:t>
                  </w:r>
                </w:p>
              </w:tc>
              <w:tc>
                <w:tcPr>
                  <w:tcW w:w="661" w:type="pct"/>
                  <w:vAlign w:val="center"/>
                </w:tcPr>
                <w:p w14:paraId="0C6B28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依托现有</w:t>
                  </w:r>
                </w:p>
              </w:tc>
            </w:tr>
            <w:tr w14:paraId="7A8FB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46DF4B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880" w:type="pct"/>
                  <w:gridSpan w:val="2"/>
                  <w:vMerge w:val="continue"/>
                  <w:vAlign w:val="center"/>
                </w:tcPr>
                <w:p w14:paraId="5D4F5E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3034" w:type="pct"/>
                  <w:vAlign w:val="center"/>
                </w:tcPr>
                <w:p w14:paraId="5BE81C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lang w:val="en-US" w:eastAsia="zh-CN"/>
                    </w:rPr>
                    <w:t>800m</w:t>
                  </w:r>
                  <w:r>
                    <w:rPr>
                      <w:rFonts w:hint="eastAsia" w:cs="Times New Roman"/>
                      <w:color w:val="auto"/>
                      <w:kern w:val="0"/>
                      <w:sz w:val="21"/>
                      <w:szCs w:val="21"/>
                      <w:highlight w:val="none"/>
                      <w:vertAlign w:val="superscript"/>
                      <w:lang w:val="en-US" w:eastAsia="zh-CN"/>
                    </w:rPr>
                    <w:t>3</w:t>
                  </w:r>
                  <w:r>
                    <w:rPr>
                      <w:rFonts w:hint="eastAsia" w:cs="Times New Roman"/>
                      <w:color w:val="auto"/>
                      <w:kern w:val="0"/>
                      <w:sz w:val="21"/>
                      <w:szCs w:val="21"/>
                      <w:highlight w:val="none"/>
                      <w:vertAlign w:val="baseline"/>
                      <w:lang w:val="en-US" w:eastAsia="zh-CN"/>
                    </w:rPr>
                    <w:t>事故池</w:t>
                  </w:r>
                </w:p>
              </w:tc>
              <w:tc>
                <w:tcPr>
                  <w:tcW w:w="661" w:type="pct"/>
                  <w:vAlign w:val="center"/>
                </w:tcPr>
                <w:p w14:paraId="18B183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依托现有</w:t>
                  </w:r>
                </w:p>
              </w:tc>
            </w:tr>
            <w:tr w14:paraId="3D6D1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55CB1B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880" w:type="pct"/>
                  <w:gridSpan w:val="2"/>
                  <w:vAlign w:val="center"/>
                </w:tcPr>
                <w:p w14:paraId="58438F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绿化</w:t>
                  </w:r>
                </w:p>
              </w:tc>
              <w:tc>
                <w:tcPr>
                  <w:tcW w:w="3034" w:type="pct"/>
                  <w:vAlign w:val="center"/>
                </w:tcPr>
                <w:p w14:paraId="32DF6E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绿化面积300</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p>
              </w:tc>
              <w:tc>
                <w:tcPr>
                  <w:tcW w:w="661" w:type="pct"/>
                  <w:vAlign w:val="center"/>
                </w:tcPr>
                <w:p w14:paraId="40955F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依托现有</w:t>
                  </w:r>
                </w:p>
              </w:tc>
            </w:tr>
            <w:tr w14:paraId="4F73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1DF936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环保</w:t>
                  </w:r>
                </w:p>
              </w:tc>
              <w:tc>
                <w:tcPr>
                  <w:tcW w:w="880" w:type="pct"/>
                  <w:gridSpan w:val="2"/>
                  <w:vAlign w:val="center"/>
                </w:tcPr>
                <w:p w14:paraId="7CB1B1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其他</w:t>
                  </w:r>
                </w:p>
              </w:tc>
              <w:tc>
                <w:tcPr>
                  <w:tcW w:w="3034" w:type="pct"/>
                  <w:vAlign w:val="center"/>
                </w:tcPr>
                <w:p w14:paraId="47EDB4F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环保标识</w:t>
                  </w:r>
                </w:p>
              </w:tc>
              <w:tc>
                <w:tcPr>
                  <w:tcW w:w="661" w:type="pct"/>
                  <w:vAlign w:val="center"/>
                </w:tcPr>
                <w:p w14:paraId="054552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0.5</w:t>
                  </w:r>
                </w:p>
              </w:tc>
            </w:tr>
            <w:tr w14:paraId="6EF73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 w:type="pct"/>
                  <w:vMerge w:val="continue"/>
                  <w:vAlign w:val="center"/>
                </w:tcPr>
                <w:p w14:paraId="1BF474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3915" w:type="pct"/>
                  <w:gridSpan w:val="3"/>
                  <w:vAlign w:val="center"/>
                </w:tcPr>
                <w:p w14:paraId="0C26F5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合计</w:t>
                  </w:r>
                </w:p>
              </w:tc>
              <w:tc>
                <w:tcPr>
                  <w:tcW w:w="661" w:type="pct"/>
                  <w:vAlign w:val="center"/>
                </w:tcPr>
                <w:p w14:paraId="4DA5DC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59.9</w:t>
                  </w:r>
                </w:p>
              </w:tc>
            </w:tr>
          </w:tbl>
          <w:p w14:paraId="3FDE3FEF">
            <w:pPr>
              <w:rPr>
                <w:color w:val="auto"/>
                <w:kern w:val="0"/>
                <w:sz w:val="24"/>
                <w:highlight w:val="none"/>
              </w:rPr>
            </w:pPr>
          </w:p>
        </w:tc>
      </w:tr>
      <w:tr w14:paraId="35F441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59" w:hRule="atLeast"/>
          <w:jc w:val="center"/>
        </w:trPr>
        <w:tc>
          <w:tcPr>
            <w:tcW w:w="741" w:type="dxa"/>
            <w:vAlign w:val="center"/>
          </w:tcPr>
          <w:p w14:paraId="37F38136">
            <w:pPr>
              <w:pStyle w:val="44"/>
              <w:widowControl w:val="0"/>
              <w:spacing w:before="0" w:beforeAutospacing="0" w:after="0" w:afterAutospacing="0"/>
              <w:jc w:val="center"/>
              <w:rPr>
                <w:rFonts w:ascii="Times New Roman" w:hAnsi="Times New Roman"/>
                <w:color w:val="auto"/>
                <w:kern w:val="0"/>
                <w:sz w:val="21"/>
                <w:szCs w:val="21"/>
                <w:highlight w:val="none"/>
              </w:rPr>
            </w:pPr>
            <w:r>
              <w:rPr>
                <w:rFonts w:ascii="Times New Roman" w:hAnsi="Times New Roman"/>
                <w:color w:val="auto"/>
                <w:kern w:val="0"/>
                <w:highlight w:val="none"/>
              </w:rPr>
              <w:t>工艺流程和产排污环节</w:t>
            </w:r>
          </w:p>
        </w:tc>
        <w:tc>
          <w:tcPr>
            <w:tcW w:w="8547" w:type="dxa"/>
          </w:tcPr>
          <w:p w14:paraId="13B0D55A">
            <w:pPr>
              <w:spacing w:line="360" w:lineRule="auto"/>
              <w:rPr>
                <w:b/>
                <w:bCs/>
                <w:color w:val="auto"/>
                <w:kern w:val="0"/>
                <w:sz w:val="24"/>
                <w:highlight w:val="none"/>
              </w:rPr>
            </w:pPr>
            <w:r>
              <w:rPr>
                <w:rFonts w:hint="eastAsia"/>
                <w:b/>
                <w:bCs/>
                <w:color w:val="auto"/>
                <w:kern w:val="0"/>
                <w:sz w:val="24"/>
                <w:highlight w:val="none"/>
              </w:rPr>
              <w:t>1、施工期工艺流程</w:t>
            </w:r>
          </w:p>
          <w:p w14:paraId="01F5A448">
            <w:pPr>
              <w:pStyle w:val="118"/>
              <w:ind w:firstLine="480"/>
              <w:rPr>
                <w:color w:val="auto"/>
                <w:highlight w:val="none"/>
              </w:rPr>
            </w:pPr>
            <w:r>
              <w:rPr>
                <w:color w:val="auto"/>
                <w:highlight w:val="none"/>
              </w:rPr>
              <w:t>拟</w:t>
            </w:r>
            <w:r>
              <w:rPr>
                <w:rFonts w:hint="eastAsia"/>
                <w:color w:val="auto"/>
                <w:highlight w:val="none"/>
              </w:rPr>
              <w:t>扩</w:t>
            </w:r>
            <w:r>
              <w:rPr>
                <w:color w:val="auto"/>
                <w:highlight w:val="none"/>
              </w:rPr>
              <w:t>建项目</w:t>
            </w:r>
            <w:r>
              <w:rPr>
                <w:rFonts w:hint="eastAsia"/>
                <w:color w:val="auto"/>
                <w:highlight w:val="none"/>
              </w:rPr>
              <w:t>目前地块已平整完毕，现场内道路已铺到施工现场周围入口处，满足车辆进出条件。</w:t>
            </w:r>
            <w:r>
              <w:rPr>
                <w:color w:val="auto"/>
                <w:highlight w:val="none"/>
              </w:rPr>
              <w:t>施工工艺主要</w:t>
            </w:r>
            <w:r>
              <w:rPr>
                <w:rFonts w:hint="eastAsia"/>
                <w:color w:val="auto"/>
                <w:highlight w:val="none"/>
              </w:rPr>
              <w:t>为进行新增地块的</w:t>
            </w:r>
            <w:r>
              <w:rPr>
                <w:color w:val="auto"/>
                <w:highlight w:val="none"/>
              </w:rPr>
              <w:t>地基施工、地面建筑结构施工</w:t>
            </w:r>
            <w:r>
              <w:rPr>
                <w:rFonts w:hint="eastAsia"/>
                <w:color w:val="auto"/>
                <w:highlight w:val="none"/>
              </w:rPr>
              <w:t>以及设备安装</w:t>
            </w:r>
            <w:r>
              <w:rPr>
                <w:color w:val="auto"/>
                <w:highlight w:val="none"/>
              </w:rPr>
              <w:t>。该项目施工流程详见图</w:t>
            </w:r>
            <w:r>
              <w:rPr>
                <w:rFonts w:eastAsia="Times New Roman"/>
                <w:color w:val="auto"/>
                <w:highlight w:val="none"/>
              </w:rPr>
              <w:t>2</w:t>
            </w:r>
            <w:r>
              <w:rPr>
                <w:rFonts w:hint="eastAsia"/>
                <w:color w:val="auto"/>
                <w:highlight w:val="none"/>
              </w:rPr>
              <w:t>-</w:t>
            </w:r>
            <w:r>
              <w:rPr>
                <w:rFonts w:hint="eastAsia"/>
                <w:color w:val="auto"/>
                <w:highlight w:val="none"/>
                <w:lang w:val="en-US" w:eastAsia="zh-CN"/>
              </w:rPr>
              <w:t>5</w:t>
            </w:r>
            <w:r>
              <w:rPr>
                <w:color w:val="auto"/>
                <w:highlight w:val="none"/>
              </w:rPr>
              <w:t>。</w:t>
            </w:r>
          </w:p>
          <w:p w14:paraId="47AC15AE">
            <w:pPr>
              <w:pStyle w:val="11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color w:val="auto"/>
                <w:highlight w:val="none"/>
              </w:rPr>
            </w:pPr>
            <w:r>
              <w:rPr>
                <w:rFonts w:hint="eastAsia"/>
                <w:color w:val="auto"/>
                <w:highlight w:val="none"/>
              </w:rPr>
              <w:drawing>
                <wp:inline distT="0" distB="0" distL="114300" distR="114300">
                  <wp:extent cx="5215890" cy="2086610"/>
                  <wp:effectExtent l="0" t="0" r="11430" b="1270"/>
                  <wp:docPr id="49" name="F360BE8B-6686-4F3D-AEAF-501FE73E4058-1" descr="绘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360BE8B-6686-4F3D-AEAF-501FE73E4058-1" descr="绘图2"/>
                          <pic:cNvPicPr>
                            <a:picLocks noChangeAspect="1"/>
                          </pic:cNvPicPr>
                        </pic:nvPicPr>
                        <pic:blipFill>
                          <a:blip r:embed="rId11"/>
                          <a:stretch>
                            <a:fillRect/>
                          </a:stretch>
                        </pic:blipFill>
                        <pic:spPr>
                          <a:xfrm>
                            <a:off x="0" y="0"/>
                            <a:ext cx="5215890" cy="2086610"/>
                          </a:xfrm>
                          <a:prstGeom prst="rect">
                            <a:avLst/>
                          </a:prstGeom>
                          <a:noFill/>
                          <a:ln>
                            <a:noFill/>
                          </a:ln>
                        </pic:spPr>
                      </pic:pic>
                    </a:graphicData>
                  </a:graphic>
                </wp:inline>
              </w:drawing>
            </w:r>
          </w:p>
          <w:p w14:paraId="2FC87E8B">
            <w:pPr>
              <w:keepNext w:val="0"/>
              <w:keepLines w:val="0"/>
              <w:pageBreakBefore w:val="0"/>
              <w:widowControl w:val="0"/>
              <w:kinsoku/>
              <w:wordWrap/>
              <w:overflowPunct/>
              <w:topLinePunct w:val="0"/>
              <w:autoSpaceDE/>
              <w:autoSpaceDN/>
              <w:bidi w:val="0"/>
              <w:adjustRightInd/>
              <w:snapToGrid/>
              <w:ind w:left="459" w:right="6"/>
              <w:jc w:val="center"/>
              <w:textAlignment w:val="auto"/>
              <w:rPr>
                <w:b/>
                <w:color w:val="auto"/>
                <w:highlight w:val="none"/>
              </w:rPr>
            </w:pPr>
            <w:r>
              <w:rPr>
                <w:b/>
                <w:color w:val="auto"/>
                <w:highlight w:val="none"/>
              </w:rPr>
              <w:t>图</w:t>
            </w:r>
            <w:r>
              <w:rPr>
                <w:rFonts w:eastAsia="Times New Roman"/>
                <w:b/>
                <w:color w:val="auto"/>
                <w:highlight w:val="none"/>
              </w:rPr>
              <w:t>2-</w:t>
            </w:r>
            <w:r>
              <w:rPr>
                <w:rFonts w:hint="eastAsia" w:eastAsia="宋体"/>
                <w:b/>
                <w:color w:val="auto"/>
                <w:highlight w:val="none"/>
                <w:lang w:val="en-US" w:eastAsia="zh-CN"/>
              </w:rPr>
              <w:t>5</w:t>
            </w:r>
            <w:r>
              <w:rPr>
                <w:rFonts w:hint="eastAsia"/>
                <w:b/>
                <w:color w:val="auto"/>
                <w:highlight w:val="none"/>
              </w:rPr>
              <w:t xml:space="preserve">   </w:t>
            </w:r>
            <w:r>
              <w:rPr>
                <w:rFonts w:eastAsia="Times New Roman"/>
                <w:b/>
                <w:color w:val="auto"/>
                <w:highlight w:val="none"/>
              </w:rPr>
              <w:t xml:space="preserve"> </w:t>
            </w:r>
            <w:r>
              <w:rPr>
                <w:b/>
                <w:color w:val="auto"/>
                <w:highlight w:val="none"/>
              </w:rPr>
              <w:t>施工</w:t>
            </w:r>
            <w:r>
              <w:rPr>
                <w:rFonts w:hint="eastAsia"/>
                <w:b/>
                <w:color w:val="auto"/>
                <w:highlight w:val="none"/>
              </w:rPr>
              <w:t>期工艺</w:t>
            </w:r>
            <w:r>
              <w:rPr>
                <w:b/>
                <w:color w:val="auto"/>
                <w:highlight w:val="none"/>
              </w:rPr>
              <w:t>流程图</w:t>
            </w:r>
          </w:p>
          <w:p w14:paraId="39AB6C2B">
            <w:pPr>
              <w:pStyle w:val="5"/>
              <w:pageBreakBefore w:val="0"/>
              <w:kinsoku/>
              <w:wordWrap/>
              <w:overflowPunct/>
              <w:topLinePunct w:val="0"/>
              <w:autoSpaceDE/>
              <w:autoSpaceDN/>
              <w:bidi w:val="0"/>
              <w:adjustRightInd/>
              <w:spacing w:before="0" w:after="0" w:line="440" w:lineRule="exact"/>
              <w:ind w:right="0" w:firstLine="482" w:firstLineChars="200"/>
              <w:textAlignment w:val="auto"/>
              <w:rPr>
                <w:rFonts w:ascii="Times New Roman" w:hAnsi="Times New Roman" w:eastAsia="宋体"/>
                <w:bCs/>
                <w:snapToGrid w:val="0"/>
                <w:color w:val="auto"/>
                <w:kern w:val="0"/>
                <w:sz w:val="24"/>
                <w:szCs w:val="20"/>
                <w:highlight w:val="none"/>
              </w:rPr>
            </w:pPr>
            <w:r>
              <w:rPr>
                <w:rFonts w:hint="eastAsia" w:ascii="Times New Roman" w:hAnsi="Times New Roman" w:eastAsia="宋体"/>
                <w:bCs/>
                <w:snapToGrid w:val="0"/>
                <w:color w:val="auto"/>
                <w:kern w:val="0"/>
                <w:sz w:val="24"/>
                <w:szCs w:val="20"/>
                <w:highlight w:val="none"/>
              </w:rPr>
              <w:t>施工期</w:t>
            </w:r>
            <w:r>
              <w:rPr>
                <w:rFonts w:ascii="Times New Roman" w:hAnsi="Times New Roman" w:eastAsia="宋体"/>
                <w:bCs/>
                <w:snapToGrid w:val="0"/>
                <w:color w:val="auto"/>
                <w:kern w:val="0"/>
                <w:sz w:val="24"/>
                <w:szCs w:val="20"/>
                <w:highlight w:val="none"/>
              </w:rPr>
              <w:t>工艺流程及污染物简述：</w:t>
            </w:r>
          </w:p>
          <w:p w14:paraId="1671A71D">
            <w:pPr>
              <w:pStyle w:val="2"/>
              <w:keepNext w:val="0"/>
              <w:keepLines w:val="0"/>
              <w:pageBreakBefore w:val="0"/>
              <w:kinsoku/>
              <w:wordWrap/>
              <w:overflowPunct/>
              <w:topLinePunct w:val="0"/>
              <w:autoSpaceDE/>
              <w:autoSpaceDN/>
              <w:bidi w:val="0"/>
              <w:adjustRightInd/>
              <w:spacing w:before="0" w:after="0" w:line="440" w:lineRule="exact"/>
              <w:ind w:right="0" w:firstLine="480" w:firstLineChars="200"/>
              <w:textAlignment w:val="auto"/>
              <w:rPr>
                <w:rFonts w:hint="eastAsia"/>
                <w:color w:val="auto"/>
                <w:kern w:val="0"/>
                <w:sz w:val="24"/>
                <w:highlight w:val="none"/>
              </w:rPr>
            </w:pPr>
            <w:r>
              <w:rPr>
                <w:rFonts w:hint="eastAsia"/>
                <w:color w:val="auto"/>
                <w:kern w:val="0"/>
                <w:sz w:val="24"/>
                <w:highlight w:val="none"/>
              </w:rPr>
              <w:t>①对项目进行厂房地面建筑结构施工，四周砖墙围挡，桩基混凝土浇灌，彩钢瓦顶棚。使用挖掘机、桩基浇灌等设备，地基采用钢筋混凝土进行施工。</w:t>
            </w:r>
          </w:p>
          <w:p w14:paraId="308D307C">
            <w:pPr>
              <w:pStyle w:val="2"/>
              <w:keepNext w:val="0"/>
              <w:keepLines w:val="0"/>
              <w:pageBreakBefore w:val="0"/>
              <w:kinsoku/>
              <w:wordWrap/>
              <w:overflowPunct/>
              <w:topLinePunct w:val="0"/>
              <w:autoSpaceDE/>
              <w:autoSpaceDN/>
              <w:bidi w:val="0"/>
              <w:adjustRightInd/>
              <w:spacing w:before="0" w:after="0" w:line="440" w:lineRule="exact"/>
              <w:ind w:right="0" w:firstLine="480" w:firstLineChars="200"/>
              <w:textAlignment w:val="auto"/>
              <w:rPr>
                <w:rFonts w:hint="eastAsia" w:eastAsia="宋体"/>
                <w:color w:val="auto"/>
                <w:kern w:val="0"/>
                <w:sz w:val="24"/>
                <w:highlight w:val="none"/>
                <w:lang w:eastAsia="zh-CN"/>
              </w:rPr>
            </w:pPr>
            <w:r>
              <w:rPr>
                <w:rFonts w:hint="eastAsia"/>
                <w:color w:val="auto"/>
                <w:kern w:val="0"/>
                <w:sz w:val="24"/>
                <w:highlight w:val="none"/>
              </w:rPr>
              <w:t>该工序产生的噪声主要为机械噪声及运输车辆噪声；大气污染物主要为无组织排放粉尘及车辆尾气</w:t>
            </w:r>
            <w:r>
              <w:rPr>
                <w:rFonts w:hint="eastAsia"/>
                <w:color w:val="auto"/>
                <w:kern w:val="0"/>
                <w:sz w:val="24"/>
                <w:highlight w:val="none"/>
                <w:lang w:eastAsia="zh-CN"/>
              </w:rPr>
              <w:t>。</w:t>
            </w:r>
          </w:p>
          <w:p w14:paraId="61E7B368">
            <w:pPr>
              <w:pStyle w:val="2"/>
              <w:keepNext w:val="0"/>
              <w:keepLines w:val="0"/>
              <w:pageBreakBefore w:val="0"/>
              <w:kinsoku/>
              <w:wordWrap/>
              <w:overflowPunct/>
              <w:topLinePunct w:val="0"/>
              <w:autoSpaceDE/>
              <w:autoSpaceDN/>
              <w:bidi w:val="0"/>
              <w:adjustRightInd/>
              <w:spacing w:before="0" w:after="0" w:line="440" w:lineRule="exact"/>
              <w:ind w:right="0" w:firstLine="480" w:firstLineChars="200"/>
              <w:textAlignment w:val="auto"/>
              <w:rPr>
                <w:rFonts w:hint="eastAsia"/>
                <w:color w:val="auto"/>
                <w:kern w:val="0"/>
                <w:sz w:val="24"/>
                <w:highlight w:val="none"/>
              </w:rPr>
            </w:pPr>
            <w:r>
              <w:rPr>
                <w:rFonts w:hint="eastAsia"/>
                <w:color w:val="auto"/>
                <w:kern w:val="0"/>
                <w:sz w:val="24"/>
                <w:highlight w:val="none"/>
              </w:rPr>
              <w:t>②设备的安装过程中，将产生噪声、固体废物。</w:t>
            </w:r>
          </w:p>
          <w:p w14:paraId="50C09BDB">
            <w:pPr>
              <w:pStyle w:val="2"/>
              <w:keepNext w:val="0"/>
              <w:keepLines w:val="0"/>
              <w:pageBreakBefore w:val="0"/>
              <w:kinsoku/>
              <w:wordWrap/>
              <w:overflowPunct/>
              <w:topLinePunct w:val="0"/>
              <w:autoSpaceDE/>
              <w:autoSpaceDN/>
              <w:bidi w:val="0"/>
              <w:adjustRightInd/>
              <w:spacing w:before="0" w:after="0" w:line="440" w:lineRule="exact"/>
              <w:ind w:right="0" w:firstLine="480" w:firstLineChars="200"/>
              <w:textAlignment w:val="auto"/>
              <w:rPr>
                <w:rFonts w:hint="eastAsia"/>
                <w:color w:val="auto"/>
                <w:kern w:val="0"/>
                <w:sz w:val="24"/>
                <w:highlight w:val="none"/>
              </w:rPr>
            </w:pPr>
            <w:r>
              <w:rPr>
                <w:rFonts w:hint="eastAsia"/>
                <w:color w:val="auto"/>
                <w:kern w:val="0"/>
                <w:sz w:val="24"/>
                <w:highlight w:val="none"/>
              </w:rPr>
              <w:t>③对拟建项目区的其他工程进行施工，施工设备包括载重车等。</w:t>
            </w:r>
          </w:p>
          <w:p w14:paraId="00618704">
            <w:pPr>
              <w:pStyle w:val="2"/>
              <w:keepNext w:val="0"/>
              <w:keepLines w:val="0"/>
              <w:pageBreakBefore w:val="0"/>
              <w:kinsoku/>
              <w:wordWrap/>
              <w:overflowPunct/>
              <w:topLinePunct w:val="0"/>
              <w:autoSpaceDE/>
              <w:autoSpaceDN/>
              <w:bidi w:val="0"/>
              <w:adjustRightInd/>
              <w:spacing w:before="0" w:after="0" w:line="440" w:lineRule="exact"/>
              <w:ind w:right="0" w:firstLine="480" w:firstLineChars="200"/>
              <w:textAlignment w:val="auto"/>
              <w:rPr>
                <w:rFonts w:hint="default" w:ascii="Times New Roman" w:hAnsi="Times New Roman" w:eastAsia="宋体" w:cs="Times New Roman"/>
                <w:color w:val="auto"/>
                <w:kern w:val="0"/>
                <w:sz w:val="24"/>
                <w:highlight w:val="none"/>
              </w:rPr>
            </w:pPr>
            <w:r>
              <w:rPr>
                <w:rFonts w:hint="eastAsia"/>
                <w:color w:val="auto"/>
                <w:kern w:val="0"/>
                <w:sz w:val="24"/>
                <w:highlight w:val="none"/>
              </w:rPr>
              <w:t>该工序噪声主要来自机械设备车辆运输；废气主要来自车辆尾气及道路扬尘。此外，在整个施工活动中，施工人员还有一定量的</w:t>
            </w:r>
            <w:r>
              <w:rPr>
                <w:rFonts w:hint="default" w:ascii="Times New Roman" w:hAnsi="Times New Roman" w:eastAsia="宋体" w:cs="Times New Roman"/>
                <w:color w:val="auto"/>
                <w:kern w:val="0"/>
                <w:sz w:val="24"/>
                <w:highlight w:val="none"/>
              </w:rPr>
              <w:t>生活垃圾、生活污水产生。</w:t>
            </w:r>
          </w:p>
          <w:p w14:paraId="38854C51">
            <w:pPr>
              <w:keepNext w:val="0"/>
              <w:keepLines w:val="0"/>
              <w:pageBreakBefore w:val="0"/>
              <w:kinsoku/>
              <w:wordWrap/>
              <w:overflowPunct/>
              <w:topLinePunct w:val="0"/>
              <w:autoSpaceDE/>
              <w:autoSpaceDN/>
              <w:bidi w:val="0"/>
              <w:adjustRightInd/>
              <w:spacing w:line="440" w:lineRule="exact"/>
              <w:ind w:right="0"/>
              <w:textAlignment w:val="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2、运营期工艺流程</w:t>
            </w:r>
          </w:p>
          <w:p w14:paraId="6CCD8B2D">
            <w:pPr>
              <w:pStyle w:val="25"/>
              <w:keepNext w:val="0"/>
              <w:keepLines w:val="0"/>
              <w:pageBreakBefore w:val="0"/>
              <w:kinsoku/>
              <w:wordWrap/>
              <w:overflowPunct/>
              <w:topLinePunct w:val="0"/>
              <w:autoSpaceDE/>
              <w:autoSpaceDN/>
              <w:bidi w:val="0"/>
              <w:adjustRightInd/>
              <w:spacing w:after="0" w:line="440" w:lineRule="exact"/>
              <w:ind w:left="0" w:leftChars="0" w:right="0"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lang w:val="en-US" w:eastAsia="zh-CN"/>
              </w:rPr>
              <w:t>现有生产线</w:t>
            </w:r>
            <w:r>
              <w:rPr>
                <w:rFonts w:hint="default" w:ascii="Times New Roman" w:hAnsi="Times New Roman" w:eastAsia="宋体" w:cs="Times New Roman"/>
                <w:color w:val="auto"/>
                <w:kern w:val="0"/>
                <w:sz w:val="24"/>
                <w:highlight w:val="none"/>
              </w:rPr>
              <w:t>工艺包括果蔬废弃物粉碎压榨脱水工艺以及果蔬渣烘干粉碎工艺。本次改扩建后不对</w:t>
            </w:r>
            <w:r>
              <w:rPr>
                <w:rFonts w:hint="default" w:ascii="Times New Roman" w:hAnsi="Times New Roman" w:eastAsia="宋体" w:cs="Times New Roman"/>
                <w:color w:val="auto"/>
                <w:kern w:val="0"/>
                <w:sz w:val="24"/>
                <w:highlight w:val="none"/>
                <w:lang w:val="en-US" w:eastAsia="zh-CN"/>
              </w:rPr>
              <w:t>现有</w:t>
            </w:r>
            <w:r>
              <w:rPr>
                <w:rFonts w:hint="default" w:ascii="Times New Roman" w:hAnsi="Times New Roman" w:eastAsia="宋体" w:cs="Times New Roman"/>
                <w:color w:val="auto"/>
                <w:kern w:val="0"/>
                <w:sz w:val="24"/>
                <w:highlight w:val="none"/>
              </w:rPr>
              <w:t>项目的生产工艺流程做任何变更，</w:t>
            </w:r>
            <w:r>
              <w:rPr>
                <w:rFonts w:hint="default" w:ascii="Times New Roman" w:hAnsi="Times New Roman" w:eastAsia="宋体" w:cs="Times New Roman"/>
                <w:color w:val="auto"/>
                <w:kern w:val="0"/>
                <w:sz w:val="24"/>
                <w:highlight w:val="none"/>
                <w:lang w:val="en-US" w:eastAsia="zh-CN"/>
              </w:rPr>
              <w:t>仅调整现有项目的产能调整，</w:t>
            </w:r>
            <w:r>
              <w:rPr>
                <w:rFonts w:hint="default" w:ascii="Times New Roman" w:hAnsi="Times New Roman" w:eastAsia="宋体" w:cs="Times New Roman"/>
                <w:color w:val="auto"/>
                <w:kern w:val="0"/>
                <w:sz w:val="24"/>
                <w:highlight w:val="none"/>
              </w:rPr>
              <w:t>对</w:t>
            </w:r>
            <w:r>
              <w:rPr>
                <w:rFonts w:hint="default" w:ascii="Times New Roman" w:hAnsi="Times New Roman" w:eastAsia="宋体" w:cs="Times New Roman"/>
                <w:color w:val="auto"/>
                <w:kern w:val="0"/>
                <w:sz w:val="24"/>
                <w:highlight w:val="none"/>
                <w:lang w:val="en-US" w:eastAsia="zh-CN"/>
              </w:rPr>
              <w:t>现有项目</w:t>
            </w:r>
            <w:r>
              <w:rPr>
                <w:rFonts w:hint="default" w:ascii="Times New Roman" w:hAnsi="Times New Roman" w:eastAsia="宋体" w:cs="Times New Roman"/>
                <w:color w:val="auto"/>
                <w:kern w:val="0"/>
                <w:sz w:val="24"/>
                <w:highlight w:val="none"/>
              </w:rPr>
              <w:t>生产线无新增产污节点</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lang w:val="en-US" w:eastAsia="zh-CN"/>
              </w:rPr>
              <w:t>其生产工艺详见“与项目有关的原有环境污染问题”章节。</w:t>
            </w:r>
          </w:p>
          <w:p w14:paraId="0A34FF97">
            <w:pPr>
              <w:pStyle w:val="25"/>
              <w:keepNext w:val="0"/>
              <w:keepLines w:val="0"/>
              <w:pageBreakBefore w:val="0"/>
              <w:kinsoku/>
              <w:wordWrap/>
              <w:overflowPunct/>
              <w:topLinePunct w:val="0"/>
              <w:autoSpaceDE/>
              <w:autoSpaceDN/>
              <w:bidi w:val="0"/>
              <w:adjustRightInd/>
              <w:spacing w:after="0" w:line="440" w:lineRule="exact"/>
              <w:ind w:left="0" w:leftChars="0" w:right="0" w:firstLine="480" w:firstLineChars="200"/>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本项目将现有</w:t>
            </w:r>
            <w:r>
              <w:rPr>
                <w:rFonts w:hint="default" w:ascii="Times New Roman" w:hAnsi="Times New Roman" w:eastAsia="宋体" w:cs="Times New Roman"/>
                <w:color w:val="auto"/>
                <w:kern w:val="0"/>
                <w:sz w:val="24"/>
                <w:highlight w:val="none"/>
              </w:rPr>
              <w:t>项目经压榨脱水工艺后产生的</w:t>
            </w:r>
            <w:r>
              <w:rPr>
                <w:rFonts w:hint="default" w:ascii="Times New Roman" w:hAnsi="Times New Roman" w:eastAsia="宋体" w:cs="Times New Roman"/>
                <w:color w:val="auto"/>
                <w:kern w:val="0"/>
                <w:sz w:val="24"/>
                <w:highlight w:val="none"/>
                <w:lang w:val="en-US" w:eastAsia="zh-CN"/>
              </w:rPr>
              <w:t>部分</w:t>
            </w:r>
            <w:r>
              <w:rPr>
                <w:rFonts w:hint="default" w:ascii="Times New Roman" w:hAnsi="Times New Roman" w:eastAsia="宋体" w:cs="Times New Roman"/>
                <w:color w:val="auto"/>
                <w:kern w:val="0"/>
                <w:sz w:val="24"/>
                <w:highlight w:val="none"/>
              </w:rPr>
              <w:t>菜渣</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lang w:val="en-US" w:eastAsia="zh-CN"/>
              </w:rPr>
              <w:t>270t/d</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lang w:val="en-US" w:eastAsia="zh-CN"/>
              </w:rPr>
              <w:t>运至（运输车）固体复合微生物肥生产区生产固体复合微生物肥；将现有项目产生的部分尾菜废水（53.4m</w:t>
            </w:r>
            <w:r>
              <w:rPr>
                <w:rFonts w:hint="default"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auto"/>
                <w:kern w:val="0"/>
                <w:sz w:val="24"/>
                <w:highlight w:val="none"/>
                <w:lang w:val="en-US" w:eastAsia="zh-CN"/>
              </w:rPr>
              <w:t>/d）泵至液体复合微生物肥生产区生产液体复合微生物肥。</w:t>
            </w:r>
          </w:p>
          <w:p w14:paraId="24613E14">
            <w:pPr>
              <w:pStyle w:val="25"/>
              <w:keepNext w:val="0"/>
              <w:keepLines w:val="0"/>
              <w:pageBreakBefore w:val="0"/>
              <w:kinsoku/>
              <w:wordWrap/>
              <w:overflowPunct/>
              <w:topLinePunct w:val="0"/>
              <w:autoSpaceDE/>
              <w:autoSpaceDN/>
              <w:bidi w:val="0"/>
              <w:adjustRightInd/>
              <w:spacing w:after="0" w:line="440" w:lineRule="exact"/>
              <w:ind w:left="0" w:leftChars="0" w:right="0"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lang w:val="en-US" w:eastAsia="zh-CN"/>
              </w:rPr>
              <w:t>本项目生产</w:t>
            </w:r>
            <w:r>
              <w:rPr>
                <w:rFonts w:hint="default" w:ascii="Times New Roman" w:hAnsi="Times New Roman" w:eastAsia="宋体" w:cs="Times New Roman"/>
                <w:color w:val="auto"/>
                <w:kern w:val="0"/>
                <w:sz w:val="24"/>
                <w:highlight w:val="none"/>
              </w:rPr>
              <w:t>工艺流程如下：</w:t>
            </w:r>
          </w:p>
          <w:p w14:paraId="7AA89270">
            <w:pPr>
              <w:keepNext w:val="0"/>
              <w:keepLines w:val="0"/>
              <w:pageBreakBefore w:val="0"/>
              <w:kinsoku/>
              <w:wordWrap/>
              <w:overflowPunct/>
              <w:topLinePunct w:val="0"/>
              <w:autoSpaceDE/>
              <w:autoSpaceDN/>
              <w:bidi w:val="0"/>
              <w:adjustRightInd/>
              <w:spacing w:line="440" w:lineRule="exact"/>
              <w:ind w:firstLine="482"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b/>
                <w:bCs/>
                <w:color w:val="auto"/>
                <w:kern w:val="0"/>
                <w:sz w:val="24"/>
                <w:highlight w:val="none"/>
                <w:lang w:eastAsia="zh-CN"/>
              </w:rPr>
              <w:t>（</w:t>
            </w:r>
            <w:r>
              <w:rPr>
                <w:rFonts w:hint="default" w:ascii="Times New Roman" w:hAnsi="Times New Roman" w:eastAsia="宋体" w:cs="Times New Roman"/>
                <w:b/>
                <w:bCs/>
                <w:color w:val="auto"/>
                <w:kern w:val="0"/>
                <w:sz w:val="24"/>
                <w:highlight w:val="none"/>
                <w:lang w:val="en-US" w:eastAsia="zh-CN"/>
              </w:rPr>
              <w:t>1</w:t>
            </w:r>
            <w:r>
              <w:rPr>
                <w:rFonts w:hint="default" w:ascii="Times New Roman" w:hAnsi="Times New Roman" w:eastAsia="宋体" w:cs="Times New Roman"/>
                <w:b/>
                <w:bCs/>
                <w:color w:val="auto"/>
                <w:kern w:val="0"/>
                <w:sz w:val="24"/>
                <w:highlight w:val="none"/>
                <w:lang w:eastAsia="zh-CN"/>
              </w:rPr>
              <w:t>）液体复合微生物肥</w:t>
            </w:r>
            <w:r>
              <w:rPr>
                <w:rFonts w:hint="default" w:ascii="Times New Roman" w:hAnsi="Times New Roman" w:eastAsia="宋体" w:cs="Times New Roman"/>
                <w:b/>
                <w:bCs/>
                <w:color w:val="auto"/>
                <w:kern w:val="0"/>
                <w:sz w:val="24"/>
                <w:highlight w:val="none"/>
              </w:rPr>
              <w:t>生产线：</w:t>
            </w:r>
          </w:p>
          <w:p w14:paraId="45EA125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1）</w:t>
            </w:r>
            <w:r>
              <w:rPr>
                <w:rFonts w:hint="eastAsia" w:cs="Times New Roman"/>
                <w:color w:val="auto"/>
                <w:kern w:val="2"/>
                <w:sz w:val="24"/>
                <w:szCs w:val="24"/>
                <w:highlight w:val="none"/>
                <w:lang w:val="en-US" w:eastAsia="zh-CN" w:bidi="ar-SA"/>
              </w:rPr>
              <w:t>一次</w:t>
            </w:r>
            <w:r>
              <w:rPr>
                <w:rFonts w:hint="eastAsia" w:ascii="Times New Roman" w:hAnsi="Times New Roman" w:eastAsia="宋体" w:cs="Times New Roman"/>
                <w:color w:val="auto"/>
                <w:sz w:val="24"/>
                <w:szCs w:val="24"/>
                <w:highlight w:val="none"/>
                <w:lang w:val="en-US" w:eastAsia="zh-CN"/>
              </w:rPr>
              <w:t>搅拌、pH调节</w:t>
            </w:r>
          </w:p>
          <w:p w14:paraId="1D7C8FE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将现有项目产生的尾菜废水和糖蜜按照一定比例加入搅拌发酵罐，搅拌均匀后使用冰醋酸调节pH至6.5-7.5，后进入发酵阶段。</w:t>
            </w:r>
          </w:p>
          <w:p w14:paraId="57C2D3E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产污环节：糖蜜投料过程会产生投料粉尘（G1）、糖蜜拆袋会产生废包装袋（S1</w:t>
            </w:r>
            <w:r>
              <w:rPr>
                <w:rFonts w:hint="eastAsia" w:cs="Times New Roman"/>
                <w:color w:val="auto"/>
                <w:sz w:val="24"/>
                <w:szCs w:val="24"/>
                <w:highlight w:val="none"/>
                <w:lang w:val="en-US" w:eastAsia="zh-CN"/>
              </w:rPr>
              <w:t>-1</w:t>
            </w:r>
            <w:r>
              <w:rPr>
                <w:rFonts w:hint="eastAsia" w:ascii="Times New Roman" w:hAnsi="Times New Roman" w:eastAsia="宋体" w:cs="Times New Roman"/>
                <w:color w:val="auto"/>
                <w:sz w:val="24"/>
                <w:szCs w:val="24"/>
                <w:highlight w:val="none"/>
                <w:lang w:val="en-US" w:eastAsia="zh-CN"/>
              </w:rPr>
              <w:t>）。</w:t>
            </w:r>
          </w:p>
          <w:p w14:paraId="6CEC10A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发酵</w:t>
            </w:r>
          </w:p>
          <w:p w14:paraId="6BD2AD4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加入1%乳酸菌菌剂，在35°C恒温条件下进行</w:t>
            </w:r>
            <w:r>
              <w:rPr>
                <w:rFonts w:hint="eastAsia" w:ascii="Times New Roman" w:hAnsi="Times New Roman" w:eastAsia="宋体" w:cs="Times New Roman"/>
                <w:color w:val="auto"/>
                <w:sz w:val="24"/>
                <w:szCs w:val="24"/>
                <w:highlight w:val="none"/>
                <w:lang w:val="en-US" w:eastAsia="zh-CN"/>
              </w:rPr>
              <w:t>密闭厌氧</w:t>
            </w:r>
            <w:r>
              <w:rPr>
                <w:rFonts w:hint="default" w:ascii="Times New Roman" w:hAnsi="Times New Roman" w:eastAsia="宋体" w:cs="Times New Roman"/>
                <w:color w:val="auto"/>
                <w:sz w:val="24"/>
                <w:szCs w:val="24"/>
                <w:highlight w:val="none"/>
              </w:rPr>
              <w:t>发酵2d，确保微生物活性，发酵结束后pH在4.0左右。发酵</w:t>
            </w:r>
            <w:r>
              <w:rPr>
                <w:rFonts w:hint="eastAsia" w:ascii="Times New Roman" w:hAnsi="Times New Roman" w:eastAsia="宋体" w:cs="Times New Roman"/>
                <w:color w:val="auto"/>
                <w:sz w:val="24"/>
                <w:szCs w:val="24"/>
                <w:highlight w:val="none"/>
                <w:lang w:val="en-US" w:eastAsia="zh-CN"/>
              </w:rPr>
              <w:t>罐自带搅拌设备，使发酵罐中各</w:t>
            </w:r>
            <w:r>
              <w:rPr>
                <w:rFonts w:hint="default" w:ascii="Times New Roman" w:hAnsi="Times New Roman" w:eastAsia="宋体" w:cs="Times New Roman"/>
                <w:color w:val="auto"/>
                <w:sz w:val="24"/>
                <w:szCs w:val="24"/>
                <w:highlight w:val="none"/>
              </w:rPr>
              <w:t>物料充分反应。</w:t>
            </w:r>
          </w:p>
          <w:p w14:paraId="210CBD0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产污环节：此过程产生噪声N1，产生发酵废气G2。</w:t>
            </w:r>
          </w:p>
          <w:p w14:paraId="73DCCF0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3）</w:t>
            </w:r>
            <w:r>
              <w:rPr>
                <w:rFonts w:hint="eastAsia" w:cs="Times New Roman"/>
                <w:color w:val="auto"/>
                <w:kern w:val="2"/>
                <w:sz w:val="24"/>
                <w:szCs w:val="24"/>
                <w:highlight w:val="none"/>
                <w:lang w:val="en-US" w:eastAsia="zh-CN" w:bidi="ar-SA"/>
              </w:rPr>
              <w:t>二次</w:t>
            </w:r>
            <w:r>
              <w:rPr>
                <w:rFonts w:hint="eastAsia" w:ascii="Times New Roman" w:hAnsi="Times New Roman" w:eastAsia="宋体" w:cs="Times New Roman"/>
                <w:color w:val="auto"/>
                <w:sz w:val="24"/>
                <w:szCs w:val="24"/>
                <w:highlight w:val="none"/>
                <w:lang w:val="en-US" w:eastAsia="zh-CN"/>
              </w:rPr>
              <w:t>搅拌</w:t>
            </w:r>
          </w:p>
          <w:p w14:paraId="0418188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向发酵</w:t>
            </w:r>
            <w:r>
              <w:rPr>
                <w:rFonts w:hint="eastAsia" w:ascii="Times New Roman" w:hAnsi="Times New Roman" w:eastAsia="宋体" w:cs="Times New Roman"/>
                <w:color w:val="auto"/>
                <w:sz w:val="24"/>
                <w:szCs w:val="24"/>
                <w:highlight w:val="none"/>
                <w:lang w:val="en-US" w:eastAsia="zh-CN"/>
              </w:rPr>
              <w:t>好的发酵</w:t>
            </w:r>
            <w:r>
              <w:rPr>
                <w:rFonts w:hint="default" w:ascii="Times New Roman" w:hAnsi="Times New Roman" w:eastAsia="宋体" w:cs="Times New Roman"/>
                <w:color w:val="auto"/>
                <w:sz w:val="24"/>
                <w:szCs w:val="24"/>
                <w:highlight w:val="none"/>
              </w:rPr>
              <w:t>液中依次加入营养元素（硫酸铵、磷酸二氢钾、磷酸一铵、磷酸二铵、氢氧化钾），并搅拌均匀，此时产品pH</w:t>
            </w:r>
            <w:r>
              <w:rPr>
                <w:rFonts w:hint="eastAsia" w:ascii="Times New Roman" w:hAnsi="Times New Roman" w:eastAsia="宋体" w:cs="Times New Roman"/>
                <w:color w:val="auto"/>
                <w:sz w:val="24"/>
                <w:szCs w:val="24"/>
                <w:highlight w:val="none"/>
                <w:lang w:val="en-US" w:eastAsia="zh-CN"/>
              </w:rPr>
              <w:t>约</w:t>
            </w:r>
            <w:r>
              <w:rPr>
                <w:rFonts w:hint="default" w:ascii="Times New Roman" w:hAnsi="Times New Roman" w:eastAsia="宋体" w:cs="Times New Roman"/>
                <w:color w:val="auto"/>
                <w:sz w:val="24"/>
                <w:szCs w:val="24"/>
                <w:highlight w:val="none"/>
              </w:rPr>
              <w:t>5.5-8.5。</w:t>
            </w:r>
          </w:p>
          <w:p w14:paraId="6967B74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经乳酸菌厌氧发酵后的尾菜废水发酵液在添加大量元素营养盐后，乳酸菌生长受到抑制会大量死亡。随后加入枯草芽孢杆菌、贝莱斯芽孢杆菌和胶冻样类芽孢杆菌，再次搅拌均匀，得到成品。</w:t>
            </w:r>
          </w:p>
          <w:p w14:paraId="639351E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产污环节：此过程会产生投料粉尘（G3）、硫酸铵等拆袋会产生废包装袋（S</w:t>
            </w:r>
            <w:r>
              <w:rPr>
                <w:rFonts w:hint="eastAsia" w:cs="Times New Roman"/>
                <w:color w:val="auto"/>
                <w:sz w:val="24"/>
                <w:szCs w:val="24"/>
                <w:highlight w:val="none"/>
                <w:lang w:val="en-US" w:eastAsia="zh-CN"/>
              </w:rPr>
              <w:t>1-2</w:t>
            </w:r>
            <w:r>
              <w:rPr>
                <w:rFonts w:hint="eastAsia" w:ascii="Times New Roman" w:hAnsi="Times New Roman" w:eastAsia="宋体" w:cs="Times New Roman"/>
                <w:color w:val="auto"/>
                <w:sz w:val="24"/>
                <w:szCs w:val="24"/>
                <w:highlight w:val="none"/>
                <w:lang w:val="en-US" w:eastAsia="zh-CN"/>
              </w:rPr>
              <w:t>）、搅拌过程会产生搅拌噪声（N2）。</w:t>
            </w:r>
          </w:p>
          <w:p w14:paraId="5C08A10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4）</w:t>
            </w:r>
            <w:r>
              <w:rPr>
                <w:rFonts w:hint="default" w:ascii="Times New Roman" w:hAnsi="Times New Roman" w:eastAsia="宋体" w:cs="Times New Roman"/>
                <w:color w:val="auto"/>
                <w:sz w:val="24"/>
                <w:szCs w:val="24"/>
                <w:highlight w:val="none"/>
              </w:rPr>
              <w:t>质量检验</w:t>
            </w:r>
          </w:p>
          <w:p w14:paraId="263D65E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对成品</w:t>
            </w:r>
            <w:r>
              <w:rPr>
                <w:rFonts w:hint="default" w:ascii="Times New Roman" w:hAnsi="Times New Roman" w:eastAsia="宋体" w:cs="Times New Roman"/>
                <w:color w:val="auto"/>
                <w:sz w:val="24"/>
                <w:szCs w:val="24"/>
                <w:highlight w:val="none"/>
                <w:lang w:val="en-US" w:eastAsia="zh-CN"/>
              </w:rPr>
              <w:t>委托有资单位进行</w:t>
            </w:r>
            <w:r>
              <w:rPr>
                <w:rFonts w:hint="default" w:ascii="Times New Roman" w:hAnsi="Times New Roman" w:eastAsia="宋体" w:cs="Times New Roman"/>
                <w:color w:val="auto"/>
                <w:sz w:val="24"/>
                <w:szCs w:val="24"/>
                <w:highlight w:val="none"/>
              </w:rPr>
              <w:t>质量检验。若检验不合格，则返回重新生产。若检验合格，则进入下一工序。</w:t>
            </w:r>
          </w:p>
          <w:p w14:paraId="145BD55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产污环节：</w:t>
            </w:r>
            <w:r>
              <w:rPr>
                <w:rFonts w:hint="eastAsia" w:ascii="Times New Roman" w:hAnsi="Times New Roman" w:eastAsia="宋体" w:cs="Times New Roman"/>
                <w:color w:val="auto"/>
                <w:sz w:val="24"/>
                <w:szCs w:val="24"/>
                <w:highlight w:val="none"/>
                <w:lang w:val="en-US" w:eastAsia="zh-CN"/>
              </w:rPr>
              <w:t>该</w:t>
            </w:r>
            <w:r>
              <w:rPr>
                <w:rFonts w:hint="default" w:ascii="Times New Roman" w:hAnsi="Times New Roman" w:eastAsia="宋体" w:cs="Times New Roman"/>
                <w:color w:val="auto"/>
                <w:sz w:val="24"/>
                <w:szCs w:val="24"/>
                <w:highlight w:val="none"/>
                <w:lang w:val="en-US" w:eastAsia="zh-CN"/>
              </w:rPr>
              <w:t>过程会产生</w:t>
            </w:r>
            <w:r>
              <w:rPr>
                <w:rFonts w:hint="eastAsia" w:ascii="Times New Roman" w:hAnsi="Times New Roman" w:eastAsia="宋体" w:cs="Times New Roman"/>
                <w:color w:val="auto"/>
                <w:sz w:val="24"/>
                <w:szCs w:val="24"/>
                <w:highlight w:val="none"/>
                <w:lang w:val="en-US" w:eastAsia="zh-CN"/>
              </w:rPr>
              <w:t>不合格品</w:t>
            </w:r>
            <w:r>
              <w:rPr>
                <w:rFonts w:hint="default" w:ascii="Times New Roman" w:hAnsi="Times New Roman" w:eastAsia="宋体" w:cs="Times New Roman"/>
                <w:color w:val="auto"/>
                <w:sz w:val="24"/>
                <w:szCs w:val="24"/>
                <w:highlight w:val="none"/>
                <w:lang w:val="en-US" w:eastAsia="zh-CN"/>
              </w:rPr>
              <w:t>（S</w:t>
            </w:r>
            <w:r>
              <w:rPr>
                <w:rFonts w:hint="eastAsia" w:cs="Times New Roman"/>
                <w:color w:val="auto"/>
                <w:sz w:val="24"/>
                <w:szCs w:val="24"/>
                <w:highlight w:val="none"/>
                <w:lang w:val="en-US" w:eastAsia="zh-CN"/>
              </w:rPr>
              <w:t>2-1</w:t>
            </w:r>
            <w:r>
              <w:rPr>
                <w:rFonts w:hint="default" w:ascii="Times New Roman" w:hAnsi="Times New Roman" w:eastAsia="宋体" w:cs="Times New Roman"/>
                <w:color w:val="auto"/>
                <w:sz w:val="24"/>
                <w:szCs w:val="24"/>
                <w:highlight w:val="none"/>
                <w:lang w:val="en-US" w:eastAsia="zh-CN"/>
              </w:rPr>
              <w:t>）。</w:t>
            </w:r>
          </w:p>
          <w:p w14:paraId="50D2C6B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灌装与包装：合格产品进行封装、贴标签，并进行灌装。最终成品为复合微生物肥料（液体）。</w:t>
            </w:r>
          </w:p>
          <w:p w14:paraId="73BBD22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产污环节：灌装和包装过程会产生废包装桶（S</w:t>
            </w:r>
            <w:r>
              <w:rPr>
                <w:rFonts w:hint="eastAsia" w:cs="Times New Roman"/>
                <w:color w:val="auto"/>
                <w:sz w:val="24"/>
                <w:szCs w:val="24"/>
                <w:highlight w:val="none"/>
                <w:lang w:val="en-US" w:eastAsia="zh-CN"/>
              </w:rPr>
              <w:t>1-3</w:t>
            </w:r>
            <w:r>
              <w:rPr>
                <w:rFonts w:hint="default" w:ascii="Times New Roman" w:hAnsi="Times New Roman" w:eastAsia="宋体" w:cs="Times New Roman"/>
                <w:color w:val="auto"/>
                <w:sz w:val="24"/>
                <w:szCs w:val="24"/>
                <w:highlight w:val="none"/>
                <w:lang w:val="en-US" w:eastAsia="zh-CN"/>
              </w:rPr>
              <w:t>）。</w:t>
            </w:r>
          </w:p>
          <w:p w14:paraId="3006D597">
            <w:pPr>
              <w:keepNext w:val="0"/>
              <w:keepLines w:val="0"/>
              <w:pageBreakBefore w:val="0"/>
              <w:kinsoku/>
              <w:wordWrap/>
              <w:overflowPunct/>
              <w:topLinePunct w:val="0"/>
              <w:autoSpaceDE/>
              <w:autoSpaceDN/>
              <w:bidi w:val="0"/>
              <w:adjustRightIn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项目生产工艺流程见图2-6。</w:t>
            </w:r>
          </w:p>
          <w:p w14:paraId="172B372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textAlignment w:val="auto"/>
              <w:rPr>
                <w:rFonts w:ascii="Times New Roman" w:hAnsi="Times New Roman" w:eastAsia="宋体" w:cs="Times New Roman"/>
                <w:color w:val="auto"/>
                <w:kern w:val="0"/>
                <w:sz w:val="24"/>
                <w:szCs w:val="24"/>
                <w:highlight w:val="none"/>
                <w:lang w:val="en-US" w:eastAsia="zh-CN" w:bidi="ar-SA"/>
              </w:rPr>
            </w:pPr>
            <w:r>
              <w:rPr>
                <w:color w:val="auto"/>
                <w:sz w:val="24"/>
                <w:highlight w:val="none"/>
              </w:rPr>
              <mc:AlternateContent>
                <mc:Choice Requires="wpc">
                  <w:drawing>
                    <wp:inline distT="0" distB="0" distL="114300" distR="114300">
                      <wp:extent cx="5601335" cy="4916805"/>
                      <wp:effectExtent l="0" t="0" r="0" b="0"/>
                      <wp:docPr id="8" name="画布 8"/>
                      <wp:cNvGraphicFramePr/>
                      <a:graphic xmlns:a="http://schemas.openxmlformats.org/drawingml/2006/main">
                        <a:graphicData uri="http://schemas.microsoft.com/office/word/2010/wordprocessingCanvas">
                          <wpc:wpc>
                            <wpc:bg/>
                            <wpc:whole/>
                            <wps:wsp>
                              <wps:cNvPr id="12" name="矩形 12"/>
                              <wps:cNvSpPr/>
                              <wps:spPr>
                                <a:xfrm>
                                  <a:off x="1895475" y="414655"/>
                                  <a:ext cx="838200" cy="32766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376B915A">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尾菜废水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3" name="矩形 13"/>
                              <wps:cNvSpPr/>
                              <wps:spPr>
                                <a:xfrm>
                                  <a:off x="1071245" y="88265"/>
                                  <a:ext cx="1699895" cy="32766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C6102CC">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现有项目尾菜废水收集池</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4" name="直接箭头连接符 14"/>
                              <wps:cNvCnPr>
                                <a:stCxn id="13" idx="2"/>
                              </wps:cNvCnPr>
                              <wps:spPr>
                                <a:xfrm>
                                  <a:off x="1921510" y="415925"/>
                                  <a:ext cx="3175" cy="408305"/>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15" name="矩形 15"/>
                              <wps:cNvSpPr/>
                              <wps:spPr>
                                <a:xfrm>
                                  <a:off x="1612265" y="835025"/>
                                  <a:ext cx="2066925" cy="32766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0F6F5BA">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一次搅拌、pH调节</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7" name="矩形 17"/>
                              <wps:cNvSpPr/>
                              <wps:spPr>
                                <a:xfrm>
                                  <a:off x="2199005" y="4507865"/>
                                  <a:ext cx="869315" cy="32766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62F4434">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灌装外售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 name="直接箭头连接符 20"/>
                              <wps:cNvCnPr/>
                              <wps:spPr>
                                <a:xfrm>
                                  <a:off x="3380105" y="431165"/>
                                  <a:ext cx="3175" cy="408305"/>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g:cNvPr id="22" name="组合 22"/>
                              <wpg:cNvGrpSpPr/>
                              <wpg:grpSpPr>
                                <a:xfrm>
                                  <a:off x="2176145" y="1574165"/>
                                  <a:ext cx="868680" cy="727710"/>
                                  <a:chOff x="3583" y="163"/>
                                  <a:chExt cx="1368" cy="1146"/>
                                </a:xfrm>
                              </wpg:grpSpPr>
                              <wps:wsp>
                                <wps:cNvPr id="23" name="矩形 16"/>
                                <wps:cNvSpPr/>
                                <wps:spPr>
                                  <a:xfrm>
                                    <a:off x="3583" y="163"/>
                                    <a:ext cx="1369" cy="516"/>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7C6EB06">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发酵</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 name="直接箭头连接符 20"/>
                                <wps:cNvCnPr/>
                                <wps:spPr>
                                  <a:xfrm>
                                    <a:off x="4279" y="667"/>
                                    <a:ext cx="5" cy="643"/>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s:wsp>
                              <wps:cNvPr id="25" name="矩形 25"/>
                              <wps:cNvSpPr/>
                              <wps:spPr>
                                <a:xfrm>
                                  <a:off x="3159125" y="164465"/>
                                  <a:ext cx="1066800" cy="32766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3A6BF60">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糖蜜</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6" name="直接箭头连接符 26"/>
                              <wps:cNvCnPr/>
                              <wps:spPr>
                                <a:xfrm>
                                  <a:off x="880745" y="1002665"/>
                                  <a:ext cx="725170" cy="6350"/>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27" name="矩形 27"/>
                              <wps:cNvSpPr/>
                              <wps:spPr>
                                <a:xfrm>
                                  <a:off x="995045" y="751205"/>
                                  <a:ext cx="838200" cy="32766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23E83B00">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冰醋酸</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8" name="直接箭头连接符 28"/>
                              <wps:cNvCnPr/>
                              <wps:spPr>
                                <a:xfrm>
                                  <a:off x="2633345" y="1162685"/>
                                  <a:ext cx="3175" cy="408305"/>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g:cNvPr id="29" name="组合 29"/>
                              <wpg:cNvGrpSpPr/>
                              <wpg:grpSpPr>
                                <a:xfrm>
                                  <a:off x="2183765" y="2305685"/>
                                  <a:ext cx="868680" cy="727710"/>
                                  <a:chOff x="3583" y="163"/>
                                  <a:chExt cx="1368" cy="1146"/>
                                </a:xfrm>
                              </wpg:grpSpPr>
                              <wps:wsp>
                                <wps:cNvPr id="30" name="矩形 16"/>
                                <wps:cNvSpPr/>
                                <wps:spPr>
                                  <a:xfrm>
                                    <a:off x="3583" y="163"/>
                                    <a:ext cx="1369" cy="516"/>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0F362F9">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二次搅拌</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1" name="直接箭头连接符 20"/>
                                <wps:cNvCnPr/>
                                <wps:spPr>
                                  <a:xfrm>
                                    <a:off x="4279" y="667"/>
                                    <a:ext cx="5" cy="643"/>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s:wsp>
                              <wps:cNvPr id="32" name="矩形 32"/>
                              <wps:cNvSpPr/>
                              <wps:spPr>
                                <a:xfrm>
                                  <a:off x="255905" y="2047240"/>
                                  <a:ext cx="1295400" cy="845185"/>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09CAC98">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硫酸铵、磷酸一铵、磷酸二氢钾、磷酸二铵、氢氧化钾</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3" name="直接箭头连接符 33"/>
                              <wps:cNvCnPr/>
                              <wps:spPr>
                                <a:xfrm>
                                  <a:off x="1459865" y="2473325"/>
                                  <a:ext cx="725170" cy="6350"/>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g:cNvPr id="34" name="组合 34"/>
                              <wpg:cNvGrpSpPr/>
                              <wpg:grpSpPr>
                                <a:xfrm>
                                  <a:off x="2183765" y="3044825"/>
                                  <a:ext cx="868680" cy="727710"/>
                                  <a:chOff x="3583" y="163"/>
                                  <a:chExt cx="1368" cy="1146"/>
                                </a:xfrm>
                              </wpg:grpSpPr>
                              <wps:wsp>
                                <wps:cNvPr id="35" name="矩形 16"/>
                                <wps:cNvSpPr/>
                                <wps:spPr>
                                  <a:xfrm>
                                    <a:off x="3583" y="163"/>
                                    <a:ext cx="1369" cy="516"/>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4D8E11D">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成品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6" name="直接箭头连接符 20"/>
                                <wps:cNvCnPr/>
                                <wps:spPr>
                                  <a:xfrm>
                                    <a:off x="4279" y="667"/>
                                    <a:ext cx="5" cy="643"/>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s:wsp>
                              <wps:cNvPr id="37" name="直接箭头连接符 37"/>
                              <wps:cNvCnPr/>
                              <wps:spPr>
                                <a:xfrm>
                                  <a:off x="3067685" y="2480945"/>
                                  <a:ext cx="725170" cy="6350"/>
                                </a:xfrm>
                                <a:prstGeom prst="straightConnector1">
                                  <a:avLst/>
                                </a:prstGeom>
                                <a:ln w="12700">
                                  <a:solidFill>
                                    <a:schemeClr val="tx1"/>
                                  </a:solidFill>
                                  <a:headEnd type="stealth" w="med" len="lg"/>
                                  <a:tailEnd type="none" w="med" len="lg"/>
                                </a:ln>
                              </wps:spPr>
                              <wps:style>
                                <a:lnRef idx="2">
                                  <a:schemeClr val="accent1"/>
                                </a:lnRef>
                                <a:fillRef idx="0">
                                  <a:srgbClr val="FFFFFF"/>
                                </a:fillRef>
                                <a:effectRef idx="0">
                                  <a:srgbClr val="FFFFFF"/>
                                </a:effectRef>
                                <a:fontRef idx="minor">
                                  <a:schemeClr val="tx1"/>
                                </a:fontRef>
                              </wps:style>
                              <wps:bodyPr/>
                            </wps:wsp>
                            <wps:wsp>
                              <wps:cNvPr id="38" name="矩形 38"/>
                              <wps:cNvSpPr/>
                              <wps:spPr>
                                <a:xfrm>
                                  <a:off x="3700780" y="2313305"/>
                                  <a:ext cx="1856105" cy="32766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F66CAE7">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枯草、贝莱斯、胶冻样芽孢</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cNvPr id="39" name="组合 39"/>
                              <wpg:cNvGrpSpPr/>
                              <wpg:grpSpPr>
                                <a:xfrm>
                                  <a:off x="2046605" y="3776345"/>
                                  <a:ext cx="1151255" cy="728345"/>
                                  <a:chOff x="3355" y="163"/>
                                  <a:chExt cx="1813" cy="1147"/>
                                </a:xfrm>
                              </wpg:grpSpPr>
                              <wps:wsp>
                                <wps:cNvPr id="46" name="矩形 16"/>
                                <wps:cNvSpPr/>
                                <wps:spPr>
                                  <a:xfrm>
                                    <a:off x="3355" y="163"/>
                                    <a:ext cx="1813" cy="516"/>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0F31A7A">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质量检验（外委）</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7" name="直接箭头连接符 20"/>
                                <wps:cNvCnPr/>
                                <wps:spPr>
                                  <a:xfrm>
                                    <a:off x="4279" y="667"/>
                                    <a:ext cx="5" cy="643"/>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s:wsp>
                              <wps:cNvPr id="48" name="肘形连接符 48"/>
                              <wps:cNvCnPr/>
                              <wps:spPr>
                                <a:xfrm flipV="1">
                                  <a:off x="3197860" y="1723390"/>
                                  <a:ext cx="279400" cy="2209165"/>
                                </a:xfrm>
                                <a:prstGeom prst="bentConnector2">
                                  <a:avLst/>
                                </a:prstGeom>
                                <a:ln w="12700" cmpd="sng">
                                  <a:solidFill>
                                    <a:schemeClr val="tx1"/>
                                  </a:solidFill>
                                  <a:prstDash val="solid"/>
                                  <a:round/>
                                  <a:tailEnd type="none" w="med" len="lg"/>
                                </a:ln>
                              </wps:spPr>
                              <wps:style>
                                <a:lnRef idx="2">
                                  <a:schemeClr val="accent1"/>
                                </a:lnRef>
                                <a:fillRef idx="0">
                                  <a:srgbClr val="FFFFFF"/>
                                </a:fillRef>
                                <a:effectRef idx="0">
                                  <a:srgbClr val="FFFFFF"/>
                                </a:effectRef>
                                <a:fontRef idx="minor">
                                  <a:schemeClr val="tx1"/>
                                </a:fontRef>
                              </wps:style>
                              <wps:bodyPr/>
                            </wps:wsp>
                            <wps:wsp>
                              <wps:cNvPr id="54" name="矩形 54"/>
                              <wps:cNvSpPr/>
                              <wps:spPr>
                                <a:xfrm>
                                  <a:off x="2130425" y="4134485"/>
                                  <a:ext cx="838200" cy="32766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8A9741F">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合格品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6" name="矩形 56"/>
                              <wps:cNvSpPr/>
                              <wps:spPr>
                                <a:xfrm>
                                  <a:off x="3418205" y="3060065"/>
                                  <a:ext cx="533400" cy="73914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7752194">
                                    <w:pPr>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不</w:t>
                                    </w:r>
                                  </w:p>
                                  <w:p w14:paraId="733B7763">
                                    <w:pPr>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合</w:t>
                                    </w:r>
                                  </w:p>
                                  <w:p w14:paraId="0582B995">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格</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7" name="直接箭头连接符 57"/>
                              <wps:cNvCnPr/>
                              <wps:spPr>
                                <a:xfrm>
                                  <a:off x="3052445" y="1734185"/>
                                  <a:ext cx="417195" cy="6350"/>
                                </a:xfrm>
                                <a:prstGeom prst="straightConnector1">
                                  <a:avLst/>
                                </a:prstGeom>
                                <a:ln w="12700">
                                  <a:solidFill>
                                    <a:schemeClr val="tx1"/>
                                  </a:solidFill>
                                  <a:headEnd type="stealth" w="med" len="lg"/>
                                  <a:tailEnd type="none" w="med" len="lg"/>
                                </a:ln>
                              </wps:spPr>
                              <wps:style>
                                <a:lnRef idx="2">
                                  <a:schemeClr val="accent1"/>
                                </a:lnRef>
                                <a:fillRef idx="0">
                                  <a:srgbClr val="FFFFFF"/>
                                </a:fillRef>
                                <a:effectRef idx="0">
                                  <a:srgbClr val="FFFFFF"/>
                                </a:effectRef>
                                <a:fontRef idx="minor">
                                  <a:schemeClr val="tx1"/>
                                </a:fontRef>
                              </wps:style>
                              <wps:bodyPr/>
                            </wps:wsp>
                            <wpg:wgp>
                              <wpg:cNvPr id="61" name="组合 61"/>
                              <wpg:cNvGrpSpPr/>
                              <wpg:grpSpPr>
                                <a:xfrm>
                                  <a:off x="3679190" y="644525"/>
                                  <a:ext cx="1301115" cy="353695"/>
                                  <a:chOff x="5794" y="1015"/>
                                  <a:chExt cx="2049" cy="557"/>
                                </a:xfrm>
                              </wpg:grpSpPr>
                              <wps:wsp>
                                <wps:cNvPr id="58" name="曲线连接符 58"/>
                                <wps:cNvCnPr>
                                  <a:stCxn id="15" idx="3"/>
                                </wps:cNvCnPr>
                                <wps:spPr>
                                  <a:xfrm flipV="1">
                                    <a:off x="5794" y="1268"/>
                                    <a:ext cx="486" cy="305"/>
                                  </a:xfrm>
                                  <a:prstGeom prst="curvedConnector3">
                                    <a:avLst>
                                      <a:gd name="adj1" fmla="val 50000"/>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59" name="矩形 59"/>
                                <wps:cNvSpPr/>
                                <wps:spPr>
                                  <a:xfrm>
                                    <a:off x="6163" y="1015"/>
                                    <a:ext cx="1680" cy="516"/>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31428F7D">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G1、S1-1</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wgp>
                              <wpg:cNvPr id="62" name="组合 62"/>
                              <wpg:cNvGrpSpPr/>
                              <wpg:grpSpPr>
                                <a:xfrm>
                                  <a:off x="2732405" y="1208405"/>
                                  <a:ext cx="1301115" cy="353695"/>
                                  <a:chOff x="5794" y="1015"/>
                                  <a:chExt cx="2049" cy="557"/>
                                </a:xfrm>
                              </wpg:grpSpPr>
                              <wps:wsp>
                                <wps:cNvPr id="63" name="曲线连接符 58"/>
                                <wps:cNvCnPr>
                                  <a:stCxn id="15" idx="3"/>
                                </wps:cNvCnPr>
                                <wps:spPr>
                                  <a:xfrm flipV="1">
                                    <a:off x="5794" y="1268"/>
                                    <a:ext cx="486" cy="305"/>
                                  </a:xfrm>
                                  <a:prstGeom prst="curvedConnector3">
                                    <a:avLst>
                                      <a:gd name="adj1" fmla="val 50000"/>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64" name="矩形 59"/>
                                <wps:cNvSpPr/>
                                <wps:spPr>
                                  <a:xfrm>
                                    <a:off x="6163" y="1015"/>
                                    <a:ext cx="1680" cy="516"/>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210E0CDB">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G2、N1</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wgp>
                              <wpg:cNvPr id="65" name="组合 65"/>
                              <wpg:cNvGrpSpPr/>
                              <wpg:grpSpPr>
                                <a:xfrm>
                                  <a:off x="2534285" y="1939925"/>
                                  <a:ext cx="1301115" cy="353695"/>
                                  <a:chOff x="5794" y="1015"/>
                                  <a:chExt cx="2049" cy="557"/>
                                </a:xfrm>
                              </wpg:grpSpPr>
                              <wps:wsp>
                                <wps:cNvPr id="66" name="曲线连接符 58"/>
                                <wps:cNvCnPr>
                                  <a:stCxn id="15" idx="3"/>
                                </wps:cNvCnPr>
                                <wps:spPr>
                                  <a:xfrm flipV="1">
                                    <a:off x="5794" y="1268"/>
                                    <a:ext cx="486" cy="305"/>
                                  </a:xfrm>
                                  <a:prstGeom prst="curvedConnector3">
                                    <a:avLst>
                                      <a:gd name="adj1" fmla="val 50000"/>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67" name="矩形 59"/>
                                <wps:cNvSpPr/>
                                <wps:spPr>
                                  <a:xfrm>
                                    <a:off x="6163" y="1015"/>
                                    <a:ext cx="1680" cy="516"/>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C3B15C8">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G3、S1-2、N2</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wgp>
                              <wpg:cNvPr id="68" name="组合 68"/>
                              <wpg:cNvGrpSpPr/>
                              <wpg:grpSpPr>
                                <a:xfrm>
                                  <a:off x="2648585" y="4126865"/>
                                  <a:ext cx="1301115" cy="353695"/>
                                  <a:chOff x="5794" y="1015"/>
                                  <a:chExt cx="2049" cy="557"/>
                                </a:xfrm>
                              </wpg:grpSpPr>
                              <wps:wsp>
                                <wps:cNvPr id="69" name="曲线连接符 58"/>
                                <wps:cNvCnPr>
                                  <a:stCxn id="15" idx="3"/>
                                </wps:cNvCnPr>
                                <wps:spPr>
                                  <a:xfrm flipV="1">
                                    <a:off x="5794" y="1268"/>
                                    <a:ext cx="486" cy="305"/>
                                  </a:xfrm>
                                  <a:prstGeom prst="curvedConnector3">
                                    <a:avLst>
                                      <a:gd name="adj1" fmla="val 50000"/>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70" name="矩形 59"/>
                                <wps:cNvSpPr/>
                                <wps:spPr>
                                  <a:xfrm>
                                    <a:off x="6163" y="1015"/>
                                    <a:ext cx="1680" cy="516"/>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3A1A32A">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S1-3</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s:wsp>
                              <wps:cNvPr id="71" name="直接箭头连接符 71"/>
                              <wps:cNvCnPr/>
                              <wps:spPr>
                                <a:xfrm>
                                  <a:off x="1444625" y="1741805"/>
                                  <a:ext cx="725170" cy="6350"/>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72" name="矩形 72"/>
                              <wps:cNvSpPr/>
                              <wps:spPr>
                                <a:xfrm>
                                  <a:off x="1490345" y="1475105"/>
                                  <a:ext cx="1066800" cy="32766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4C41642">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乳酸菌</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cNvPr id="166" name="组合 166"/>
                              <wpg:cNvGrpSpPr/>
                              <wpg:grpSpPr>
                                <a:xfrm>
                                  <a:off x="2648585" y="3418205"/>
                                  <a:ext cx="1301115" cy="353695"/>
                                  <a:chOff x="5794" y="1015"/>
                                  <a:chExt cx="2049" cy="557"/>
                                </a:xfrm>
                              </wpg:grpSpPr>
                              <wps:wsp>
                                <wps:cNvPr id="167" name="曲线连接符 58"/>
                                <wps:cNvCnPr>
                                  <a:stCxn id="15" idx="3"/>
                                </wps:cNvCnPr>
                                <wps:spPr>
                                  <a:xfrm flipV="1">
                                    <a:off x="5794" y="1268"/>
                                    <a:ext cx="486" cy="305"/>
                                  </a:xfrm>
                                  <a:prstGeom prst="curvedConnector3">
                                    <a:avLst>
                                      <a:gd name="adj1" fmla="val 50000"/>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168" name="矩形 59"/>
                                <wps:cNvSpPr/>
                                <wps:spPr>
                                  <a:xfrm>
                                    <a:off x="6163" y="1015"/>
                                    <a:ext cx="1680" cy="516"/>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CAB5A3A">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S2-1</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c:wpc>
                        </a:graphicData>
                      </a:graphic>
                    </wp:inline>
                  </w:drawing>
                </mc:Choice>
                <mc:Fallback>
                  <w:pict>
                    <v:group id="_x0000_s1026" o:spid="_x0000_s1026" o:spt="203" style="height:387.15pt;width:441.05pt;" coordsize="5601335,4916805" editas="canvas" o:gfxdata="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">
                      <o:lock v:ext="edit" aspectratio="f"/>
                      <v:shape id="_x0000_s1026" o:spid="_x0000_s1026" style="position:absolute;left:0;top:0;height:4916805;width:5601335;" filled="f" stroked="f" coordsize="21600,21600" o:gfxdata="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">
                        <v:fill on="f" focussize="0,0"/>
                        <v:stroke on="f"/>
                        <v:imagedata o:title=""/>
                        <o:lock v:ext="edit" aspectratio="f"/>
                      </v:shape>
                      <v:rect id="_x0000_s1026" o:spid="_x0000_s1026" o:spt="1" style="position:absolute;left:1895475;top:414655;height:327660;width:838200;v-text-anchor:middle;" filled="f" stroked="f" coordsize="21600,21600" o:gfxdata="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EW/wDnU&#10;AAAABQEAAA8AAAAAAAAAAQAgAAAAIgAAAGRycy9kb3ducmV2LnhtbFBLAQIUABQAAAAIAIdO4kBK&#10;pInwXQIAAKIEAAAOAAAAAAAAAAEAIAAAACMBAABkcnMvZTJvRG9jLnhtbFBLBQYAAAAABgAGAFkB&#10;AADyBQAAAAA=&#10;">
                        <v:fill on="f" focussize="0,0"/>
                        <v:stroke on="f" weight="1pt"/>
                        <v:imagedata o:title=""/>
                        <o:lock v:ext="edit" aspectratio="f"/>
                        <v:textbox>
                          <w:txbxContent>
                            <w:p w14:paraId="376B915A">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尾菜废水</w:t>
                              </w:r>
                            </w:p>
                          </w:txbxContent>
                        </v:textbox>
                      </v:rect>
                      <v:rect id="_x0000_s1026" o:spid="_x0000_s1026" o:spt="1" style="position:absolute;left:1071245;top:88265;height:327660;width:1699895;v-text-anchor:middle;" filled="f" stroked="t" coordsize="21600,21600" o:gfxdata="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Grxtm1gAAAAUBAAAPAAAAAAAAAAEAIAAAACIAAABkcnMvZG93bnJldi54&#10;bWxQSwECFAAUAAAACACHTuJA/H4bWG4CAADLBAAADgAAAAAAAAABACAAAAAlAQAAZHJzL2Uyb0Rv&#10;Yy54bWxQSwUGAAAAAAYABgBZAQAABQYAAAAA&#10;">
                        <v:fill on="f" focussize="0,0"/>
                        <v:stroke weight="1pt" color="#000000 [3213]" joinstyle="round"/>
                        <v:imagedata o:title=""/>
                        <o:lock v:ext="edit" aspectratio="f"/>
                        <v:textbox>
                          <w:txbxContent>
                            <w:p w14:paraId="7C6102CC">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现有项目尾菜废水收集池</w:t>
                              </w:r>
                            </w:p>
                          </w:txbxContent>
                        </v:textbox>
                      </v:rect>
                      <v:shape id="_x0000_s1026" o:spid="_x0000_s1026" o:spt="32" type="#_x0000_t32" style="position:absolute;left:1921510;top:415925;height:408305;width:3175;" filled="f" stroked="t" coordsize="21600,21600" o:gfxdata="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U684bNMA&#10;AAAFAQAADwAAAAAAAAABACAAAAAiAAAAZHJzL2Rvd25yZXYueG1sUEsBAhQAFAAAAAgAh07iQJkq&#10;HggkAgAAEQQAAA4AAAAAAAAAAQAgAAAAIgEAAGRycy9lMm9Eb2MueG1sUEsFBgAAAAAGAAYAWQEA&#10;ALgFAAAAAA==&#10;">
                        <v:fill on="f" focussize="0,0"/>
                        <v:stroke weight="1pt" color="#000000 [3213]" joinstyle="round" endarrow="classic" endarrowlength="long"/>
                        <v:imagedata o:title=""/>
                        <o:lock v:ext="edit" aspectratio="f"/>
                      </v:shape>
                      <v:rect id="_x0000_s1026" o:spid="_x0000_s1026" o:spt="1" style="position:absolute;left:1612265;top:835025;height:327660;width:2066925;v-text-anchor:middle;" filled="f" stroked="t" coordsize="21600,21600" o:gfxdata="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IavG2bWAAAABQEAAA8AAAAAAAAAAQAgAAAAIgAAAGRycy9kb3ducmV2&#10;LnhtbFBLAQIUABQAAAAIAIdO4kAkHD0WcAIAAMwEAAAOAAAAAAAAAAEAIAAAACUBAABkcnMvZTJv&#10;RG9jLnhtbFBLBQYAAAAABgAGAFkBAAAHBgAAAAA=&#10;">
                        <v:fill on="f" focussize="0,0"/>
                        <v:stroke weight="1pt" color="#000000 [3213]" joinstyle="round"/>
                        <v:imagedata o:title=""/>
                        <o:lock v:ext="edit" aspectratio="f"/>
                        <v:textbox>
                          <w:txbxContent>
                            <w:p w14:paraId="10F6F5BA">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一次搅拌、pH调节</w:t>
                              </w:r>
                            </w:p>
                          </w:txbxContent>
                        </v:textbox>
                      </v:rect>
                      <v:rect id="_x0000_s1026" o:spid="_x0000_s1026" o:spt="1" style="position:absolute;left:2199005;top:4507865;height:327660;width:869315;v-text-anchor:middle;" filled="f" stroked="t" coordsize="21600,21600" o:gfxdata="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Grxtm1gAAAAUBAAAPAAAAAAAAAAEAIAAAACIAAABkcnMvZG93bnJl&#10;di54bWxQSwECFAAUAAAACACHTuJAIQO4cXECAADMBAAADgAAAAAAAAABACAAAAAlAQAAZHJzL2Uy&#10;b0RvYy54bWxQSwUGAAAAAAYABgBZAQAACAYAAAAA&#10;">
                        <v:fill on="f" focussize="0,0"/>
                        <v:stroke weight="1pt" color="#000000 [3213]" joinstyle="round"/>
                        <v:imagedata o:title=""/>
                        <o:lock v:ext="edit" aspectratio="f"/>
                        <v:textbox>
                          <w:txbxContent>
                            <w:p w14:paraId="762F4434">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灌装外售</w:t>
                              </w:r>
                            </w:p>
                          </w:txbxContent>
                        </v:textbox>
                      </v:rect>
                      <v:shape id="_x0000_s1026" o:spid="_x0000_s1026" o:spt="32" type="#_x0000_t32" style="position:absolute;left:3380105;top:431165;height:408305;width:3175;" filled="f" stroked="t" coordsize="21600,21600" o:gfxdata="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FOvOGzTAAAABQEAAA8AAAAAAAAAAQAgAAAA&#10;IgAAAGRycy9kb3ducmV2LnhtbFBLAQIUABQAAAAIAIdO4kB/t857EAIAAOoDAAAOAAAAAAAAAAEA&#10;IAAAACIBAABkcnMvZTJvRG9jLnhtbFBLBQYAAAAABgAGAFkBAACkBQAAAAA=&#10;">
                        <v:fill on="f" focussize="0,0"/>
                        <v:stroke weight="1pt" color="#000000 [3213]" joinstyle="round" endarrow="classic" endarrowlength="long"/>
                        <v:imagedata o:title=""/>
                        <o:lock v:ext="edit" aspectratio="f"/>
                      </v:shape>
                      <v:group id="_x0000_s1026" o:spid="_x0000_s1026" o:spt="203" style="position:absolute;left:2176145;top:1574165;height:727710;width:868680;" coordorigin="3583,163" coordsize="1368,1146" o:gfxdata="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">
                        <o:lock v:ext="edit" aspectratio="f"/>
                        <v:rect id="矩形 16" o:spid="_x0000_s1026" o:spt="1" style="position:absolute;left:3583;top:163;height:516;width:1369;v-text-anchor:middle;" filled="f" stroked="t" coordsize="21600,21600" o:gfxdata="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VsrXvQAA&#10;ANsAAAAPAAAAAAAAAAEAIAAAACIAAABkcnMvZG93bnJldi54bWxQSwECFAAUAAAACACHTuJAMy8F&#10;njsAAAA5AAAAEAAAAAAAAAABACAAAAAMAQAAZHJzL3NoYXBleG1sLnhtbFBLBQYAAAAABgAGAFsB&#10;AAC2AwAAAAA=&#10;">
                          <v:fill on="f" focussize="0,0"/>
                          <v:stroke weight="1pt" color="#000000 [3213]" joinstyle="round"/>
                          <v:imagedata o:title=""/>
                          <o:lock v:ext="edit" aspectratio="f"/>
                          <v:textbox>
                            <w:txbxContent>
                              <w:p w14:paraId="17C6EB06">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发酵</w:t>
                                </w:r>
                              </w:p>
                            </w:txbxContent>
                          </v:textbox>
                        </v:rect>
                        <v:shape id="直接箭头连接符 20" o:spid="_x0000_s1026" o:spt="32" type="#_x0000_t32" style="position:absolute;left:4279;top:667;height:643;width:5;" filled="f" stroked="t" coordsize="21600,21600" o:gfxdata="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P6AS28AAAA&#10;2wAAAA8AAAAAAAAAAQAgAAAAIgAAAGRycy9kb3ducmV2LnhtbFBLAQIUABQAAAAIAIdO4kAzLwWe&#10;OwAAADkAAAAQAAAAAAAAAAEAIAAAAAsBAABkcnMvc2hhcGV4bWwueG1sUEsFBgAAAAAGAAYAWwEA&#10;ALUDAAAAAA==&#10;">
                          <v:fill on="f" focussize="0,0"/>
                          <v:stroke weight="1pt" color="#000000 [3213]" joinstyle="round" endarrow="classic" endarrowlength="long"/>
                          <v:imagedata o:title=""/>
                          <o:lock v:ext="edit" aspectratio="f"/>
                        </v:shape>
                      </v:group>
                      <v:rect id="_x0000_s1026" o:spid="_x0000_s1026" o:spt="1" style="position:absolute;left:3159125;top:164465;height:327660;width:1066800;v-text-anchor:middle;" filled="f" stroked="f" coordsize="21600,21600" o:gfxdata="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Rb/A&#10;OdQAAAAFAQAADwAAAAAAAAABACAAAAAiAAAAZHJzL2Rvd25yZXYueG1sUEsBAhQAFAAAAAgAh07i&#10;QKU4DoVfAgAAowQAAA4AAAAAAAAAAQAgAAAAIwEAAGRycy9lMm9Eb2MueG1sUEsFBgAAAAAGAAYA&#10;WQEAAPQFAAAAAA==&#10;">
                        <v:fill on="f" focussize="0,0"/>
                        <v:stroke on="f" weight="1pt"/>
                        <v:imagedata o:title=""/>
                        <o:lock v:ext="edit" aspectratio="f"/>
                        <v:textbox>
                          <w:txbxContent>
                            <w:p w14:paraId="53A6BF60">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糖蜜</w:t>
                              </w:r>
                            </w:p>
                          </w:txbxContent>
                        </v:textbox>
                      </v:rect>
                      <v:shape id="_x0000_s1026" o:spid="_x0000_s1026" o:spt="32" type="#_x0000_t32" style="position:absolute;left:880745;top:1002665;height:6350;width:725170;" filled="f" stroked="t" coordsize="21600,21600" o:gfxdata="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Trzhs0wAAAAUBAAAPAAAAAAAAAAEA&#10;IAAAACIAAABkcnMvZG93bnJldi54bWxQSwECFAAUAAAACACHTuJAys8WFRQCAADqAwAADgAAAAAA&#10;AAABACAAAAAiAQAAZHJzL2Uyb0RvYy54bWxQSwUGAAAAAAYABgBZAQAAqAUAAAAA&#10;">
                        <v:fill on="f" focussize="0,0"/>
                        <v:stroke weight="1pt" color="#000000 [3213]" joinstyle="round" endarrow="classic" endarrowlength="long"/>
                        <v:imagedata o:title=""/>
                        <o:lock v:ext="edit" aspectratio="f"/>
                      </v:shape>
                      <v:rect id="_x0000_s1026" o:spid="_x0000_s1026" o:spt="1" style="position:absolute;left:995045;top:751205;height:327660;width:838200;v-text-anchor:middle;" filled="f" stroked="f" coordsize="21600,21600" o:gfxdata="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Rb/A&#10;OdQAAAAFAQAADwAAAAAAAAABACAAAAAiAAAAZHJzL2Rvd25yZXYueG1sUEsBAhQAFAAAAAgAh07i&#10;QHKpoxlfAgAAoQQAAA4AAAAAAAAAAQAgAAAAIwEAAGRycy9lMm9Eb2MueG1sUEsFBgAAAAAGAAYA&#10;WQEAAPQFAAAAAA==&#10;">
                        <v:fill on="f" focussize="0,0"/>
                        <v:stroke on="f" weight="1pt"/>
                        <v:imagedata o:title=""/>
                        <o:lock v:ext="edit" aspectratio="f"/>
                        <v:textbox>
                          <w:txbxContent>
                            <w:p w14:paraId="23E83B00">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冰醋酸</w:t>
                              </w:r>
                            </w:p>
                          </w:txbxContent>
                        </v:textbox>
                      </v:rect>
                      <v:shape id="_x0000_s1026" o:spid="_x0000_s1026" o:spt="32" type="#_x0000_t32" style="position:absolute;left:2633345;top:1162685;height:408305;width:3175;" filled="f" stroked="t" coordsize="21600,21600" o:gfxdata="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Trzhs0wAAAAUBAAAPAAAAAAAAAAEA&#10;IAAAACIAAABkcnMvZG93bnJldi54bWxQSwECFAAUAAAACACHTuJAWd70VRQCAADrAwAADgAAAAAA&#10;AAABACAAAAAiAQAAZHJzL2Uyb0RvYy54bWxQSwUGAAAAAAYABgBZAQAAqAUAAAAA&#10;">
                        <v:fill on="f" focussize="0,0"/>
                        <v:stroke weight="1pt" color="#000000 [3213]" joinstyle="round" endarrow="classic" endarrowlength="long"/>
                        <v:imagedata o:title=""/>
                        <o:lock v:ext="edit" aspectratio="f"/>
                      </v:shape>
                      <v:group id="_x0000_s1026" o:spid="_x0000_s1026" o:spt="203" style="position:absolute;left:2183765;top:2305685;height:727710;width:868680;" coordorigin="3583,163" coordsize="1368,1146" o:gfxdata="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">
                        <o:lock v:ext="edit" aspectratio="f"/>
                        <v:rect id="矩形 16" o:spid="_x0000_s1026" o:spt="1" style="position:absolute;left:3583;top:163;height:516;width:1369;v-text-anchor:middle;" filled="f" stroked="t" coordsize="21600,21600" o:gfxdata="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XcJ9ugAAANsA&#10;AAAPAAAAAAAAAAEAIAAAACIAAABkcnMvZG93bnJldi54bWxQSwECFAAUAAAACACHTuJAMy8FnjsA&#10;AAA5AAAAEAAAAAAAAAABACAAAAAJAQAAZHJzL3NoYXBleG1sLnhtbFBLBQYAAAAABgAGAFsBAACz&#10;AwAAAAA=&#10;">
                          <v:fill on="f" focussize="0,0"/>
                          <v:stroke weight="1pt" color="#000000 [3213]" joinstyle="round"/>
                          <v:imagedata o:title=""/>
                          <o:lock v:ext="edit" aspectratio="f"/>
                          <v:textbox>
                            <w:txbxContent>
                              <w:p w14:paraId="50F362F9">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二次搅拌</w:t>
                                </w:r>
                              </w:p>
                            </w:txbxContent>
                          </v:textbox>
                        </v:rect>
                        <v:shape id="直接箭头连接符 20" o:spid="_x0000_s1026" o:spt="32" type="#_x0000_t32" style="position:absolute;left:4279;top:667;height:643;width:5;" filled="f" stroked="t" coordsize="21600,21600" o:gfxdata="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ZUNGi8AAAA&#10;2wAAAA8AAAAAAAAAAQAgAAAAIgAAAGRycy9kb3ducmV2LnhtbFBLAQIUABQAAAAIAIdO4kAzLwWe&#10;OwAAADkAAAAQAAAAAAAAAAEAIAAAAAsBAABkcnMvc2hhcGV4bWwueG1sUEsFBgAAAAAGAAYAWwEA&#10;ALUDAAAAAA==&#10;">
                          <v:fill on="f" focussize="0,0"/>
                          <v:stroke weight="1pt" color="#000000 [3213]" joinstyle="round" endarrow="classic" endarrowlength="long"/>
                          <v:imagedata o:title=""/>
                          <o:lock v:ext="edit" aspectratio="f"/>
                        </v:shape>
                      </v:group>
                      <v:rect id="_x0000_s1026" o:spid="_x0000_s1026" o:spt="1" style="position:absolute;left:255905;top:2047240;height:845185;width:1295400;v-text-anchor:middle;" filled="f" stroked="f" coordsize="21600,21600" o:gfxdata="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EW/wDnU&#10;AAAABQEAAA8AAAAAAAAAAQAgAAAAIgAAAGRycy9kb3ducmV2LnhtbFBLAQIUABQAAAAIAIdO4kCN&#10;YdaqXQIAAKMEAAAOAAAAAAAAAAEAIAAAACMBAABkcnMvZTJvRG9jLnhtbFBLBQYAAAAABgAGAFkB&#10;AADyBQAAAAA=&#10;">
                        <v:fill on="f" focussize="0,0"/>
                        <v:stroke on="f" weight="1pt"/>
                        <v:imagedata o:title=""/>
                        <o:lock v:ext="edit" aspectratio="f"/>
                        <v:textbox>
                          <w:txbxContent>
                            <w:p w14:paraId="509CAC98">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硫酸铵、磷酸一铵、磷酸二氢钾、磷酸二铵、氢氧化钾</w:t>
                              </w:r>
                            </w:p>
                          </w:txbxContent>
                        </v:textbox>
                      </v:rect>
                      <v:shape id="_x0000_s1026" o:spid="_x0000_s1026" o:spt="32" type="#_x0000_t32" style="position:absolute;left:1459865;top:2473325;height:6350;width:725170;" filled="f" stroked="t" coordsize="21600,21600" o:gfxdata="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OvOGzTAAAABQEAAA8AAAAAAAAA&#10;AQAgAAAAIgAAAGRycy9kb3ducmV2LnhtbFBLAQIUABQAAAAIAIdO4kDCrcj2FgIAAOsDAAAOAAAA&#10;AAAAAAEAIAAAACIBAABkcnMvZTJvRG9jLnhtbFBLBQYAAAAABgAGAFkBAACqBQAAAAA=&#10;">
                        <v:fill on="f" focussize="0,0"/>
                        <v:stroke weight="1pt" color="#000000 [3213]" joinstyle="round" endarrow="classic" endarrowlength="long"/>
                        <v:imagedata o:title=""/>
                        <o:lock v:ext="edit" aspectratio="f"/>
                      </v:shape>
                      <v:group id="_x0000_s1026" o:spid="_x0000_s1026" o:spt="203" style="position:absolute;left:2183765;top:3044825;height:727710;width:868680;" coordorigin="3583,163" coordsize="1368,1146" o:gfxdata="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">
                        <o:lock v:ext="edit" aspectratio="f"/>
                        <v:rect id="矩形 16" o:spid="_x0000_s1026" o:spt="1" style="position:absolute;left:3583;top:163;height:516;width:1369;v-text-anchor:middle;" filled="f" stroked="t" coordsize="21600,21600" o:gfxdata="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yph5b4A&#10;AADb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textbox>
                            <w:txbxContent>
                              <w:p w14:paraId="44D8E11D">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成品</w:t>
                                </w:r>
                              </w:p>
                            </w:txbxContent>
                          </v:textbox>
                        </v:rect>
                        <v:shape id="直接箭头连接符 20" o:spid="_x0000_s1026" o:spt="32" type="#_x0000_t32" style="position:absolute;left:4279;top:667;height:643;width:5;" filled="f" stroked="t" coordsize="21600,21600" o:gfxdata="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JvawcugAAANsA&#10;AAAPAAAAAAAAAAEAIAAAACIAAABkcnMvZG93bnJldi54bWxQSwECFAAUAAAACACHTuJAMy8FnjsA&#10;AAA5AAAAEAAAAAAAAAABACAAAAAJAQAAZHJzL3NoYXBleG1sLnhtbFBLBQYAAAAABgAGAFsBAACz&#10;AwAAAAA=&#10;">
                          <v:fill on="f" focussize="0,0"/>
                          <v:stroke weight="1pt" color="#000000 [3213]" joinstyle="round" endarrow="classic" endarrowlength="long"/>
                          <v:imagedata o:title=""/>
                          <o:lock v:ext="edit" aspectratio="f"/>
                        </v:shape>
                      </v:group>
                      <v:shape id="_x0000_s1026" o:spid="_x0000_s1026" o:spt="32" type="#_x0000_t32" style="position:absolute;left:3067685;top:2480945;height:6350;width:725170;" filled="f" stroked="t" coordsize="21600,21600" o:gfxdata="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N411sbW&#10;AAAABQEAAA8AAAAAAAAAAQAgAAAAIgAAAGRycy9kb3ducmV2LnhtbFBLAQIUABQAAAAIAIdO4kCV&#10;KHo2IgIAABQEAAAOAAAAAAAAAAEAIAAAACUBAABkcnMvZTJvRG9jLnhtbFBLBQYAAAAABgAGAFkB&#10;AAC5BQAAAAA=&#10;">
                        <v:fill on="f" focussize="0,0"/>
                        <v:stroke weight="1pt" color="#000000 [3213]" joinstyle="round" startarrow="classic" startarrowlength="long" endarrowlength="long"/>
                        <v:imagedata o:title=""/>
                        <o:lock v:ext="edit" aspectratio="f"/>
                      </v:shape>
                      <v:rect id="_x0000_s1026" o:spid="_x0000_s1026" o:spt="1" style="position:absolute;left:3700780;top:2313305;height:327660;width:1856105;v-text-anchor:middle;" filled="f" stroked="f" coordsize="21600,21600" o:gfxdata="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EW/&#10;wDnUAAAABQEAAA8AAAAAAAAAAQAgAAAAIgAAAGRycy9kb3ducmV2LnhtbFBLAQIUABQAAAAIAIdO&#10;4kCpq3jvYAIAAKQEAAAOAAAAAAAAAAEAIAAAACMBAABkcnMvZTJvRG9jLnhtbFBLBQYAAAAABgAG&#10;AFkBAAD1BQAAAAA=&#10;">
                        <v:fill on="f" focussize="0,0"/>
                        <v:stroke on="f" weight="1pt"/>
                        <v:imagedata o:title=""/>
                        <o:lock v:ext="edit" aspectratio="f"/>
                        <v:textbox>
                          <w:txbxContent>
                            <w:p w14:paraId="7F66CAE7">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枯草、贝莱斯、胶冻样芽孢</w:t>
                              </w:r>
                            </w:p>
                          </w:txbxContent>
                        </v:textbox>
                      </v:rect>
                      <v:group id="_x0000_s1026" o:spid="_x0000_s1026" o:spt="203" style="position:absolute;left:2046605;top:3776345;height:728345;width:1151255;" coordorigin="3355,163" coordsize="1813,1147" o:gfxdata="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">
                        <o:lock v:ext="edit" aspectratio="f"/>
                        <v:rect id="矩形 16" o:spid="_x0000_s1026" o:spt="1" style="position:absolute;left:3355;top:163;height:516;width:1813;v-text-anchor:middle;" filled="f" stroked="t" coordsize="21600,21600" o:gfxdata="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ozvvQAA&#10;ANsAAAAPAAAAAAAAAAEAIAAAACIAAABkcnMvZG93bnJldi54bWxQSwECFAAUAAAACACHTuJAMy8F&#10;njsAAAA5AAAAEAAAAAAAAAABACAAAAAMAQAAZHJzL3NoYXBleG1sLnhtbFBLBQYAAAAABgAGAFsB&#10;AAC2AwAAAAA=&#10;">
                          <v:fill on="f" focussize="0,0"/>
                          <v:stroke weight="1pt" color="#000000 [3213]" joinstyle="round"/>
                          <v:imagedata o:title=""/>
                          <o:lock v:ext="edit" aspectratio="f"/>
                          <v:textbox>
                            <w:txbxContent>
                              <w:p w14:paraId="40F31A7A">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质量检验（外委）</w:t>
                                </w:r>
                              </w:p>
                            </w:txbxContent>
                          </v:textbox>
                        </v:rect>
                        <v:shape id="直接箭头连接符 20" o:spid="_x0000_s1026" o:spt="32" type="#_x0000_t32" style="position:absolute;left:4279;top:667;height:643;width:5;" filled="f" stroked="t" coordsize="21600,21600" o:gfxdata="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73evq8AAAA&#10;2wAAAA8AAAAAAAAAAQAgAAAAIgAAAGRycy9kb3ducmV2LnhtbFBLAQIUABQAAAAIAIdO4kAzLwWe&#10;OwAAADkAAAAQAAAAAAAAAAEAIAAAAAsBAABkcnMvc2hhcGV4bWwueG1sUEsFBgAAAAAGAAYAWwEA&#10;ALUDAAAAAA==&#10;">
                          <v:fill on="f" focussize="0,0"/>
                          <v:stroke weight="1pt" color="#000000 [3213]" joinstyle="round" endarrow="classic" endarrowlength="long"/>
                          <v:imagedata o:title=""/>
                          <o:lock v:ext="edit" aspectratio="f"/>
                        </v:shape>
                      </v:group>
                      <v:shape id="_x0000_s1026" o:spid="_x0000_s1026" o:spt="33" type="#_x0000_t33" style="position:absolute;left:3197860;top:1723390;flip:y;height:2209165;width:279400;" filled="f" stroked="t" coordsize="21600,21600" o:gfxdata="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HZ8W3bXAAAABQEA&#10;AA8AAAAAAAAAAQAgAAAAIgAAAGRycy9kb3ducmV2LnhtbFBLAQIUABQAAAAIAIdO4kDimVczGwIA&#10;APUDAAAOAAAAAAAAAAEAIAAAACYBAABkcnMvZTJvRG9jLnhtbFBLBQYAAAAABgAGAFkBAACzBQAA&#10;AAA=&#10;">
                        <v:fill on="f" focussize="0,0"/>
                        <v:stroke weight="1pt" color="#000000 [3213]" joinstyle="round" endarrowlength="long"/>
                        <v:imagedata o:title=""/>
                        <o:lock v:ext="edit" aspectratio="f"/>
                      </v:shape>
                      <v:rect id="_x0000_s1026" o:spid="_x0000_s1026" o:spt="1" style="position:absolute;left:2130425;top:4134485;height:327660;width:838200;v-text-anchor:middle;" filled="f" stroked="f" coordsize="21600,21600" o:gfxdata="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F&#10;v8A51AAAAAUBAAAPAAAAAAAAAAEAIAAAACIAAABkcnMvZG93bnJldi54bWxQSwECFAAUAAAACACH&#10;TuJAZYjd92ECAACjBAAADgAAAAAAAAABACAAAAAjAQAAZHJzL2Uyb0RvYy54bWxQSwUGAAAAAAYA&#10;BgBZAQAA9gUAAAAA&#10;">
                        <v:fill on="f" focussize="0,0"/>
                        <v:stroke on="f" weight="1pt"/>
                        <v:imagedata o:title=""/>
                        <o:lock v:ext="edit" aspectratio="f"/>
                        <v:textbox>
                          <w:txbxContent>
                            <w:p w14:paraId="78A9741F">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合格品</w:t>
                              </w:r>
                            </w:p>
                          </w:txbxContent>
                        </v:textbox>
                      </v:rect>
                      <v:rect id="_x0000_s1026" o:spid="_x0000_s1026" o:spt="1" style="position:absolute;left:3418205;top:3060065;height:739140;width:533400;v-text-anchor:middle;" filled="f" stroked="f" coordsize="21600,21600" o:gfxdata="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EW/wDnU&#10;AAAABQEAAA8AAAAAAAAAAQAgAAAAIgAAAGRycy9kb3ducmV2LnhtbFBLAQIUABQAAAAIAIdO4kAV&#10;PzDJXQIAAKMEAAAOAAAAAAAAAAEAIAAAACMBAABkcnMvZTJvRG9jLnhtbFBLBQYAAAAABgAGAFkB&#10;AADyBQAAAAA=&#10;">
                        <v:fill on="f" focussize="0,0"/>
                        <v:stroke on="f" weight="1pt"/>
                        <v:imagedata o:title=""/>
                        <o:lock v:ext="edit" aspectratio="f"/>
                        <v:textbox>
                          <w:txbxContent>
                            <w:p w14:paraId="17752194">
                              <w:pPr>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不</w:t>
                              </w:r>
                            </w:p>
                            <w:p w14:paraId="733B7763">
                              <w:pPr>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合</w:t>
                              </w:r>
                            </w:p>
                            <w:p w14:paraId="0582B995">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格</w:t>
                              </w:r>
                            </w:p>
                          </w:txbxContent>
                        </v:textbox>
                      </v:rect>
                      <v:shape id="_x0000_s1026" o:spid="_x0000_s1026" o:spt="32" type="#_x0000_t32" style="position:absolute;left:3052445;top:1734185;height:6350;width:417195;" filled="f" stroked="t" coordsize="21600,21600" o:gfxdata="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eNdbG&#10;1gAAAAUBAAAPAAAAAAAAAAEAIAAAACIAAABkcnMvZG93bnJldi54bWxQSwECFAAUAAAACACHTuJA&#10;5fn7bCMCAAAUBAAADgAAAAAAAAABACAAAAAlAQAAZHJzL2Uyb0RvYy54bWxQSwUGAAAAAAYABgBZ&#10;AQAAugUAAAAA&#10;">
                        <v:fill on="f" focussize="0,0"/>
                        <v:stroke weight="1pt" color="#000000 [3213]" joinstyle="round" startarrow="classic" startarrowlength="long" endarrowlength="long"/>
                        <v:imagedata o:title=""/>
                        <o:lock v:ext="edit" aspectratio="f"/>
                      </v:shape>
                      <v:group id="_x0000_s1026" o:spid="_x0000_s1026" o:spt="203" style="position:absolute;left:3679190;top:644525;height:353695;width:1301115;" coordorigin="5794,1015" coordsize="2049,557" o:gfxdata="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">
                        <o:lock v:ext="edit" aspectratio="f"/>
                        <v:shape id="_x0000_s1026" o:spid="_x0000_s1026" o:spt="38" type="#_x0000_t38" style="position:absolute;left:5794;top:1268;flip:y;height:305;width:486;" filled="f" stroked="t" coordsize="21600,21600" o:gfxdata="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U/R9zugAAANsA&#10;AAAPAAAAAAAAAAEAIAAAACIAAABkcnMvZG93bnJldi54bWxQSwECFAAUAAAACACHTuJAMy8FnjsA&#10;AAA5AAAAEAAAAAAAAAABACAAAAAJAQAAZHJzL3NoYXBleG1sLnhtbFBLBQYAAAAABgAGAFsBAACz&#10;AwAAAAA=&#10;" adj="10800">
                          <v:fill on="f" focussize="0,0"/>
                          <v:stroke weight="1pt" color="#000000 [3213]" joinstyle="round" endarrow="classic" endarrowlength="long"/>
                          <v:imagedata o:title=""/>
                          <o:lock v:ext="edit" aspectratio="f"/>
                        </v:shape>
                        <v:rect id="_x0000_s1026" o:spid="_x0000_s1026" o:spt="1" style="position:absolute;left:6163;top:1015;height:516;width:1680;v-text-anchor:middle;" filled="f" stroked="f" coordsize="21600,21600" o:gfxdata="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t1c6vQAA&#10;ANsAAAAPAAAAAAAAAAEAIAAAACIAAABkcnMvZG93bnJldi54bWxQSwECFAAUAAAACACHTuJAMy8F&#10;njsAAAA5AAAAEAAAAAAAAAABACAAAAAMAQAAZHJzL3NoYXBleG1sLnhtbFBLBQYAAAAABgAGAFsB&#10;AAC2AwAAAAA=&#10;">
                          <v:fill on="f" focussize="0,0"/>
                          <v:stroke on="f" weight="1pt"/>
                          <v:imagedata o:title=""/>
                          <o:lock v:ext="edit" aspectratio="f"/>
                          <v:textbox>
                            <w:txbxContent>
                              <w:p w14:paraId="31428F7D">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G1、S1-1</w:t>
                                </w:r>
                              </w:p>
                            </w:txbxContent>
                          </v:textbox>
                        </v:rect>
                      </v:group>
                      <v:group id="_x0000_s1026" o:spid="_x0000_s1026" o:spt="203" style="position:absolute;left:2732405;top:1208405;height:353695;width:1301115;" coordorigin="5794,1015" coordsize="2049,557" o:gfxdata="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">
                        <o:lock v:ext="edit" aspectratio="f"/>
                        <v:shape id="曲线连接符 58" o:spid="_x0000_s1026" o:spt="38" type="#_x0000_t38" style="position:absolute;left:5794;top:1268;flip:y;height:305;width:486;" filled="f" stroked="t" coordsize="21600,21600" o:gfxdata="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DVHv74A&#10;AADbAAAADwAAAAAAAAABACAAAAAiAAAAZHJzL2Rvd25yZXYueG1sUEsBAhQAFAAAAAgAh07iQDMv&#10;BZ47AAAAOQAAABAAAAAAAAAAAQAgAAAADQEAAGRycy9zaGFwZXhtbC54bWxQSwUGAAAAAAYABgBb&#10;AQAAtwMAAAAA&#10;" adj="10800">
                          <v:fill on="f" focussize="0,0"/>
                          <v:stroke weight="1pt" color="#000000 [3213]" joinstyle="round" endarrow="classic" endarrowlength="long"/>
                          <v:imagedata o:title=""/>
                          <o:lock v:ext="edit" aspectratio="f"/>
                        </v:shape>
                        <v:rect id="矩形 59" o:spid="_x0000_s1026" o:spt="1" style="position:absolute;left:6163;top:1015;height:516;width:1680;v-text-anchor:middle;" filled="f" stroked="f" coordsize="21600,21600" o:gfxdata="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2jIZvQAA&#10;ANsAAAAPAAAAAAAAAAEAIAAAACIAAABkcnMvZG93bnJldi54bWxQSwECFAAUAAAACACHTuJAMy8F&#10;njsAAAA5AAAAEAAAAAAAAAABACAAAAAMAQAAZHJzL3NoYXBleG1sLnhtbFBLBQYAAAAABgAGAFsB&#10;AAC2AwAAAAA=&#10;">
                          <v:fill on="f" focussize="0,0"/>
                          <v:stroke on="f" weight="1pt"/>
                          <v:imagedata o:title=""/>
                          <o:lock v:ext="edit" aspectratio="f"/>
                          <v:textbox>
                            <w:txbxContent>
                              <w:p w14:paraId="210E0CDB">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G2、N1</w:t>
                                </w:r>
                              </w:p>
                            </w:txbxContent>
                          </v:textbox>
                        </v:rect>
                      </v:group>
                      <v:group id="_x0000_s1026" o:spid="_x0000_s1026" o:spt="203" style="position:absolute;left:2534285;top:1939925;height:353695;width:1301115;" coordorigin="5794,1015" coordsize="2049,557" o:gfxdata="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">
                        <o:lock v:ext="edit" aspectratio="f"/>
                        <v:shape id="曲线连接符 58" o:spid="_x0000_s1026" o:spt="38" type="#_x0000_t38" style="position:absolute;left:5794;top:1268;flip:y;height:305;width:486;" filled="f" stroked="t" coordsize="21600,21600" o:gfxdata="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RC5Ce8AAAA&#10;2wAAAA8AAAAAAAAAAQAgAAAAIgAAAGRycy9kb3ducmV2LnhtbFBLAQIUABQAAAAIAIdO4kAzLwWe&#10;OwAAADkAAAAQAAAAAAAAAAEAIAAAAAsBAABkcnMvc2hhcGV4bWwueG1sUEsFBgAAAAAGAAYAWwEA&#10;ALUDAAAAAA==&#10;" adj="10800">
                          <v:fill on="f" focussize="0,0"/>
                          <v:stroke weight="1pt" color="#000000 [3213]" joinstyle="round" endarrow="classic" endarrowlength="long"/>
                          <v:imagedata o:title=""/>
                          <o:lock v:ext="edit" aspectratio="f"/>
                        </v:shape>
                        <v:rect id="矩形 59" o:spid="_x0000_s1026" o:spt="1" style="position:absolute;left:6163;top:1015;height:516;width:1680;v-text-anchor:middle;" filled="f" stroked="f" coordsize="21600,21600" o:gfxdata="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CKxuvQAA&#10;ANsAAAAPAAAAAAAAAAEAIAAAACIAAABkcnMvZG93bnJldi54bWxQSwECFAAUAAAACACHTuJAMy8F&#10;njsAAAA5AAAAEAAAAAAAAAABACAAAAAMAQAAZHJzL3NoYXBleG1sLnhtbFBLBQYAAAAABgAGAFsB&#10;AAC2AwAAAAA=&#10;">
                          <v:fill on="f" focussize="0,0"/>
                          <v:stroke on="f" weight="1pt"/>
                          <v:imagedata o:title=""/>
                          <o:lock v:ext="edit" aspectratio="f"/>
                          <v:textbox>
                            <w:txbxContent>
                              <w:p w14:paraId="4C3B15C8">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G3、S1-2、N2</w:t>
                                </w:r>
                              </w:p>
                            </w:txbxContent>
                          </v:textbox>
                        </v:rect>
                      </v:group>
                      <v:group id="_x0000_s1026" o:spid="_x0000_s1026" o:spt="203" style="position:absolute;left:2648585;top:4126865;height:353695;width:1301115;" coordorigin="5794,1015" coordsize="2049,557" o:gfxdata="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">
                        <o:lock v:ext="edit" aspectratio="f"/>
                        <v:shape id="曲线连接符 58" o:spid="_x0000_s1026" o:spt="38" type="#_x0000_t38" style="position:absolute;left:5794;top:1268;flip:y;height:305;width:486;" filled="f" stroked="t" coordsize="21600,21600" o:gfxdata="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d1wVb4A&#10;AADbAAAADwAAAAAAAAABACAAAAAiAAAAZHJzL2Rvd25yZXYueG1sUEsBAhQAFAAAAAgAh07iQDMv&#10;BZ47AAAAOQAAABAAAAAAAAAAAQAgAAAADQEAAGRycy9zaGFwZXhtbC54bWxQSwUGAAAAAAYABgBb&#10;AQAAtwMAAAAA&#10;" adj="10800">
                          <v:fill on="f" focussize="0,0"/>
                          <v:stroke weight="1pt" color="#000000 [3213]" joinstyle="round" endarrow="classic" endarrowlength="long"/>
                          <v:imagedata o:title=""/>
                          <o:lock v:ext="edit" aspectratio="f"/>
                        </v:shape>
                        <v:rect id="矩形 59" o:spid="_x0000_s1026" o:spt="1" style="position:absolute;left:6163;top:1015;height:516;width:1680;v-text-anchor:middle;" filled="f" stroked="f" coordsize="21600,21600" o:gfxdata="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44ose5AAAA2wAA&#10;AA8AAAAAAAAAAQAgAAAAIgAAAGRycy9kb3ducmV2LnhtbFBLAQIUABQAAAAIAIdO4kAzLwWeOwAA&#10;ADkAAAAQAAAAAAAAAAEAIAAAAAgBAABkcnMvc2hhcGV4bWwueG1sUEsFBgAAAAAGAAYAWwEAALID&#10;AAAAAA==&#10;">
                          <v:fill on="f" focussize="0,0"/>
                          <v:stroke on="f" weight="1pt"/>
                          <v:imagedata o:title=""/>
                          <o:lock v:ext="edit" aspectratio="f"/>
                          <v:textbox>
                            <w:txbxContent>
                              <w:p w14:paraId="43A1A32A">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S1-3</w:t>
                                </w:r>
                              </w:p>
                            </w:txbxContent>
                          </v:textbox>
                        </v:rect>
                      </v:group>
                      <v:shape id="_x0000_s1026" o:spid="_x0000_s1026" o:spt="32" type="#_x0000_t32" style="position:absolute;left:1444625;top:1741805;height:6350;width:725170;" filled="f" stroked="t" coordsize="21600,21600" o:gfxdata="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U684bNMAAAAFAQAADwAAAAAAAAAB&#10;ACAAAAAiAAAAZHJzL2Rvd25yZXYueG1sUEsBAhQAFAAAAAgAh07iQLsvGLgVAgAA6wMAAA4AAAAA&#10;AAAAAQAgAAAAIgEAAGRycy9lMm9Eb2MueG1sUEsFBgAAAAAGAAYAWQEAAKkFAAAAAA==&#10;">
                        <v:fill on="f" focussize="0,0"/>
                        <v:stroke weight="1pt" color="#000000 [3213]" joinstyle="round" endarrow="classic" endarrowlength="long"/>
                        <v:imagedata o:title=""/>
                        <o:lock v:ext="edit" aspectratio="f"/>
                      </v:shape>
                      <v:rect id="_x0000_s1026" o:spid="_x0000_s1026" o:spt="1" style="position:absolute;left:1490345;top:1475105;height:327660;width:1066800;v-text-anchor:middle;" filled="f" stroked="f" coordsize="21600,21600" o:gfxdata="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Rb/A&#10;OdQAAAAFAQAADwAAAAAAAAABACAAAAAiAAAAZHJzL2Rvd25yZXYueG1sUEsBAhQAFAAAAAgAh07i&#10;QNZC7SFfAgAApAQAAA4AAAAAAAAAAQAgAAAAIwEAAGRycy9lMm9Eb2MueG1sUEsFBgAAAAAGAAYA&#10;WQEAAPQFAAAAAA==&#10;">
                        <v:fill on="f" focussize="0,0"/>
                        <v:stroke on="f" weight="1pt"/>
                        <v:imagedata o:title=""/>
                        <o:lock v:ext="edit" aspectratio="f"/>
                        <v:textbox>
                          <w:txbxContent>
                            <w:p w14:paraId="74C41642">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乳酸菌</w:t>
                              </w:r>
                            </w:p>
                          </w:txbxContent>
                        </v:textbox>
                      </v:rect>
                      <v:group id="_x0000_s1026" o:spid="_x0000_s1026" o:spt="203" style="position:absolute;left:2648585;top:3418205;height:353695;width:1301115;" coordorigin="5794,1015" coordsize="2049,557" o:gfxdata="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">
                        <o:lock v:ext="edit" aspectratio="f"/>
                        <v:shape id="曲线连接符 58" o:spid="_x0000_s1026" o:spt="38" type="#_x0000_t38" style="position:absolute;left:5794;top:1268;flip:y;height:305;width:486;" filled="f" stroked="t" coordsize="21600,21600" o:gfxdata="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e6+OK8AAAA&#10;3AAAAA8AAAAAAAAAAQAgAAAAIgAAAGRycy9kb3ducmV2LnhtbFBLAQIUABQAAAAIAIdO4kAzLwWe&#10;OwAAADkAAAAQAAAAAAAAAAEAIAAAAAsBAABkcnMvc2hhcGV4bWwueG1sUEsFBgAAAAAGAAYAWwEA&#10;ALUDAAAAAA==&#10;" adj="10800">
                          <v:fill on="f" focussize="0,0"/>
                          <v:stroke weight="1pt" color="#000000 [3213]" joinstyle="round" endarrow="classic" endarrowlength="long"/>
                          <v:imagedata o:title=""/>
                          <o:lock v:ext="edit" aspectratio="f"/>
                        </v:shape>
                        <v:rect id="矩形 59" o:spid="_x0000_s1026" o:spt="1" style="position:absolute;left:6163;top:1015;height:516;width:1680;v-text-anchor:middle;" filled="f" stroked="f" coordsize="21600,21600" o:gfxdata="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J7y9vQAA&#10;ANwAAAAPAAAAAAAAAAEAIAAAACIAAABkcnMvZG93bnJldi54bWxQSwECFAAUAAAACACHTuJAMy8F&#10;njsAAAA5AAAAEAAAAAAAAAABACAAAAAMAQAAZHJzL3NoYXBleG1sLnhtbFBLBQYAAAAABgAGAFsB&#10;AAC2AwAAAAA=&#10;">
                          <v:fill on="f" focussize="0,0"/>
                          <v:stroke on="f" weight="1pt"/>
                          <v:imagedata o:title=""/>
                          <o:lock v:ext="edit" aspectratio="f"/>
                          <v:textbox>
                            <w:txbxContent>
                              <w:p w14:paraId="4CAB5A3A">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S2-1</w:t>
                                </w:r>
                              </w:p>
                            </w:txbxContent>
                          </v:textbox>
                        </v:rect>
                      </v:group>
                      <w10:wrap type="none"/>
                      <w10:anchorlock/>
                    </v:group>
                  </w:pict>
                </mc:Fallback>
              </mc:AlternateContent>
            </w:r>
          </w:p>
          <w:p w14:paraId="6509279C">
            <w:pPr>
              <w:pStyle w:val="109"/>
              <w:tabs>
                <w:tab w:val="left" w:pos="3671"/>
              </w:tabs>
              <w:spacing w:before="70"/>
              <w:jc w:val="center"/>
              <w:rPr>
                <w:rFonts w:ascii="Times New Roman" w:hAnsi="Times New Roman" w:cs="Times New Roman"/>
                <w:b/>
                <w:bCs/>
                <w:color w:val="auto"/>
                <w:kern w:val="0"/>
                <w:szCs w:val="21"/>
                <w:highlight w:val="none"/>
              </w:rPr>
            </w:pPr>
            <w:r>
              <w:rPr>
                <w:rFonts w:ascii="Times New Roman" w:hAnsi="Times New Roman" w:cs="Times New Roman"/>
                <w:b/>
                <w:bCs/>
                <w:color w:val="auto"/>
                <w:kern w:val="0"/>
                <w:szCs w:val="21"/>
                <w:highlight w:val="none"/>
              </w:rPr>
              <w:t xml:space="preserve">图2-6 </w:t>
            </w:r>
            <w:r>
              <w:rPr>
                <w:rFonts w:hint="eastAsia" w:ascii="Times New Roman" w:hAnsi="Times New Roman" w:cs="Times New Roman"/>
                <w:b/>
                <w:bCs/>
                <w:color w:val="auto"/>
                <w:kern w:val="0"/>
                <w:szCs w:val="21"/>
                <w:highlight w:val="none"/>
                <w:lang w:val="en-US" w:eastAsia="zh-CN"/>
              </w:rPr>
              <w:t xml:space="preserve"> </w:t>
            </w:r>
            <w:r>
              <w:rPr>
                <w:rFonts w:hint="eastAsia" w:ascii="Times New Roman" w:hAnsi="Times New Roman" w:cs="Times New Roman"/>
                <w:b/>
                <w:bCs/>
                <w:color w:val="auto"/>
                <w:kern w:val="0"/>
                <w:szCs w:val="21"/>
                <w:highlight w:val="none"/>
                <w:lang w:eastAsia="zh-CN"/>
              </w:rPr>
              <w:t>液体复合微生物肥料</w:t>
            </w:r>
            <w:r>
              <w:rPr>
                <w:rFonts w:ascii="Times New Roman" w:hAnsi="Times New Roman" w:cs="Times New Roman"/>
                <w:b/>
                <w:bCs/>
                <w:color w:val="auto"/>
                <w:kern w:val="0"/>
                <w:szCs w:val="21"/>
                <w:highlight w:val="none"/>
              </w:rPr>
              <w:t>生产工艺流程及产污节点图</w:t>
            </w:r>
          </w:p>
          <w:p w14:paraId="6BD19DA5">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lang w:eastAsia="zh-CN"/>
              </w:rPr>
              <w:t>（</w:t>
            </w:r>
            <w:r>
              <w:rPr>
                <w:rFonts w:hint="default" w:ascii="Times New Roman" w:hAnsi="Times New Roman" w:eastAsia="宋体" w:cs="Times New Roman"/>
                <w:b/>
                <w:bCs/>
                <w:color w:val="auto"/>
                <w:kern w:val="0"/>
                <w:sz w:val="24"/>
                <w:highlight w:val="none"/>
                <w:lang w:val="en-US" w:eastAsia="zh-CN"/>
              </w:rPr>
              <w:t>2</w:t>
            </w:r>
            <w:r>
              <w:rPr>
                <w:rFonts w:hint="default" w:ascii="Times New Roman" w:hAnsi="Times New Roman" w:eastAsia="宋体" w:cs="Times New Roman"/>
                <w:b/>
                <w:bCs/>
                <w:color w:val="auto"/>
                <w:kern w:val="0"/>
                <w:sz w:val="24"/>
                <w:highlight w:val="none"/>
                <w:lang w:eastAsia="zh-CN"/>
              </w:rPr>
              <w:t>）</w:t>
            </w:r>
            <w:r>
              <w:rPr>
                <w:rFonts w:hint="default" w:ascii="Times New Roman" w:hAnsi="Times New Roman" w:eastAsia="宋体" w:cs="Times New Roman"/>
                <w:b/>
                <w:bCs/>
                <w:color w:val="auto"/>
                <w:kern w:val="0"/>
                <w:sz w:val="24"/>
                <w:highlight w:val="none"/>
              </w:rPr>
              <w:t>固</w:t>
            </w:r>
            <w:r>
              <w:rPr>
                <w:rFonts w:hint="default" w:ascii="Times New Roman" w:hAnsi="Times New Roman" w:eastAsia="宋体" w:cs="Times New Roman"/>
                <w:b/>
                <w:bCs/>
                <w:color w:val="auto"/>
                <w:kern w:val="0"/>
                <w:sz w:val="24"/>
                <w:highlight w:val="none"/>
                <w:lang w:val="en-US" w:eastAsia="zh-CN"/>
              </w:rPr>
              <w:t>体复合微生物肥</w:t>
            </w:r>
            <w:r>
              <w:rPr>
                <w:rFonts w:hint="default" w:ascii="Times New Roman" w:hAnsi="Times New Roman" w:eastAsia="宋体" w:cs="Times New Roman"/>
                <w:b/>
                <w:bCs/>
                <w:color w:val="auto"/>
                <w:kern w:val="0"/>
                <w:sz w:val="24"/>
                <w:highlight w:val="none"/>
              </w:rPr>
              <w:t>生产线：</w:t>
            </w:r>
          </w:p>
          <w:p w14:paraId="2F1BC903">
            <w:pPr>
              <w:pStyle w:val="6"/>
              <w:keepNext w:val="0"/>
              <w:keepLines w:val="0"/>
              <w:pageBreakBefore w:val="0"/>
              <w:widowControl w:val="0"/>
              <w:kinsoku/>
              <w:wordWrap/>
              <w:overflowPunct/>
              <w:topLinePunct w:val="0"/>
              <w:autoSpaceDE/>
              <w:autoSpaceDN/>
              <w:bidi w:val="0"/>
              <w:adjustRightInd/>
              <w:snapToGrid/>
              <w:spacing w:line="440" w:lineRule="exact"/>
              <w:ind w:left="0" w:firstLine="482" w:firstLineChars="200"/>
              <w:textAlignment w:val="auto"/>
              <w:rPr>
                <w:rFonts w:hint="default" w:ascii="Times New Roman" w:hAnsi="Times New Roman" w:eastAsia="宋体" w:cs="Times New Roman"/>
                <w:color w:val="auto"/>
                <w:highlight w:val="none"/>
                <w:lang w:val="en-US"/>
              </w:rPr>
            </w:pPr>
            <w:r>
              <w:rPr>
                <w:rFonts w:hint="default" w:ascii="Times New Roman" w:hAnsi="Times New Roman" w:eastAsia="宋体" w:cs="Times New Roman"/>
                <w:color w:val="auto"/>
                <w:highlight w:val="none"/>
                <w:lang w:val="en-US" w:eastAsia="zh-CN"/>
              </w:rPr>
              <w:t>1）</w:t>
            </w:r>
            <w:r>
              <w:rPr>
                <w:rFonts w:hint="eastAsia" w:ascii="Times New Roman" w:hAnsi="Times New Roman" w:cs="Times New Roman"/>
                <w:color w:val="auto"/>
                <w:highlight w:val="none"/>
                <w:lang w:val="en-US" w:eastAsia="zh-CN"/>
              </w:rPr>
              <w:t>一次搅拌混合</w:t>
            </w:r>
          </w:p>
          <w:p w14:paraId="5C9FF39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将菜渣（主要原料，含丰富有机质及水分，水分约</w:t>
            </w:r>
            <w:r>
              <w:rPr>
                <w:rFonts w:hint="default" w:ascii="Times New Roman" w:hAnsi="Times New Roman" w:eastAsia="宋体" w:cs="Times New Roman"/>
                <w:color w:val="auto"/>
                <w:sz w:val="24"/>
                <w:highlight w:val="none"/>
                <w:lang w:val="en-US" w:eastAsia="zh-CN"/>
              </w:rPr>
              <w:t>66.7</w:t>
            </w:r>
            <w:r>
              <w:rPr>
                <w:rFonts w:hint="default" w:ascii="Times New Roman" w:hAnsi="Times New Roman" w:eastAsia="宋体" w:cs="Times New Roman"/>
                <w:color w:val="auto"/>
                <w:sz w:val="24"/>
                <w:highlight w:val="none"/>
              </w:rPr>
              <w:t>%）与辅料（玉米秸秆、甘蔗叶子、菊花渣、椰糠）</w:t>
            </w:r>
            <w:r>
              <w:rPr>
                <w:rFonts w:hint="eastAsia" w:cs="Times New Roman"/>
                <w:color w:val="auto"/>
                <w:sz w:val="24"/>
                <w:highlight w:val="none"/>
                <w:lang w:val="en-US" w:eastAsia="zh-CN"/>
              </w:rPr>
              <w:t>按8:1的比例混合</w:t>
            </w:r>
            <w:r>
              <w:rPr>
                <w:rFonts w:hint="default" w:ascii="Times New Roman" w:hAnsi="Times New Roman" w:eastAsia="宋体" w:cs="Times New Roman"/>
                <w:color w:val="auto"/>
                <w:sz w:val="24"/>
                <w:highlight w:val="none"/>
              </w:rPr>
              <w:t>，通过螺旋投料机及皮带输送机输送至</w:t>
            </w:r>
            <w:r>
              <w:rPr>
                <w:rFonts w:hint="eastAsia" w:ascii="Times New Roman" w:hAnsi="Times New Roman" w:eastAsia="宋体" w:cs="Times New Roman"/>
                <w:color w:val="auto"/>
                <w:sz w:val="24"/>
                <w:highlight w:val="none"/>
                <w:lang w:val="en-US" w:eastAsia="zh-CN"/>
              </w:rPr>
              <w:t>扑粉机。</w:t>
            </w:r>
          </w:p>
          <w:p w14:paraId="505DDEC1">
            <w:pPr>
              <w:keepNext w:val="0"/>
              <w:keepLines w:val="0"/>
              <w:pageBreakBefore w:val="0"/>
              <w:widowControl w:val="0"/>
              <w:tabs>
                <w:tab w:val="center" w:pos="4310"/>
              </w:tabs>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z w:val="24"/>
                <w:szCs w:val="24"/>
                <w:highlight w:val="none"/>
              </w:rPr>
              <w:t>产污节点</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该工序</w:t>
            </w:r>
            <w:r>
              <w:rPr>
                <w:rFonts w:hint="eastAsia" w:cs="Times New Roman"/>
                <w:color w:val="auto"/>
                <w:sz w:val="24"/>
                <w:szCs w:val="24"/>
                <w:highlight w:val="none"/>
                <w:lang w:val="en-US" w:eastAsia="zh-CN"/>
              </w:rPr>
              <w:t>搅拌</w:t>
            </w:r>
            <w:r>
              <w:rPr>
                <w:rFonts w:hint="default" w:ascii="Times New Roman" w:hAnsi="Times New Roman" w:eastAsia="宋体" w:cs="Times New Roman"/>
                <w:color w:val="auto"/>
                <w:sz w:val="24"/>
                <w:szCs w:val="24"/>
                <w:highlight w:val="none"/>
                <w:lang w:val="en-US" w:eastAsia="zh-CN"/>
              </w:rPr>
              <w:t>混合废气</w:t>
            </w:r>
            <w:r>
              <w:rPr>
                <w:rFonts w:hint="default" w:ascii="Times New Roman" w:hAnsi="Times New Roman" w:eastAsia="宋体" w:cs="Times New Roman"/>
                <w:color w:val="auto"/>
                <w:sz w:val="24"/>
                <w:szCs w:val="24"/>
                <w:highlight w:val="none"/>
              </w:rPr>
              <w:t>G</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；设备运行的机械噪声N</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w:t>
            </w:r>
          </w:p>
          <w:p w14:paraId="0060B540">
            <w:pPr>
              <w:pStyle w:val="6"/>
              <w:keepNext w:val="0"/>
              <w:keepLines w:val="0"/>
              <w:pageBreakBefore w:val="0"/>
              <w:widowControl w:val="0"/>
              <w:kinsoku/>
              <w:wordWrap/>
              <w:overflowPunct/>
              <w:topLinePunct w:val="0"/>
              <w:autoSpaceDE/>
              <w:autoSpaceDN/>
              <w:bidi w:val="0"/>
              <w:adjustRightInd/>
              <w:snapToGrid/>
              <w:spacing w:line="440" w:lineRule="exact"/>
              <w:ind w:left="0" w:firstLine="482"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val="en-US" w:eastAsia="zh-CN"/>
              </w:rPr>
              <w:t>一次扑粉</w:t>
            </w:r>
          </w:p>
          <w:p w14:paraId="0DF7AD0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highlight w:val="none"/>
                <w:lang w:val="en-US" w:eastAsia="zh-CN"/>
              </w:rPr>
              <w:t>将</w:t>
            </w:r>
            <w:r>
              <w:rPr>
                <w:rFonts w:hint="eastAsia" w:ascii="Times New Roman" w:hAnsi="Times New Roman" w:eastAsia="宋体" w:cs="Times New Roman"/>
                <w:color w:val="auto"/>
                <w:sz w:val="24"/>
                <w:highlight w:val="none"/>
                <w:lang w:val="en-US" w:eastAsia="zh-CN"/>
              </w:rPr>
              <w:t>输送至扑粉机</w:t>
            </w:r>
            <w:r>
              <w:rPr>
                <w:rFonts w:hint="eastAsia" w:cs="Times New Roman"/>
                <w:color w:val="auto"/>
                <w:sz w:val="24"/>
                <w:highlight w:val="none"/>
                <w:lang w:val="en-US" w:eastAsia="zh-CN"/>
              </w:rPr>
              <w:t>的物料通过</w:t>
            </w:r>
            <w:r>
              <w:rPr>
                <w:rFonts w:hint="eastAsia" w:ascii="Times New Roman" w:hAnsi="Times New Roman" w:eastAsia="宋体" w:cs="Times New Roman"/>
                <w:color w:val="auto"/>
                <w:sz w:val="24"/>
                <w:highlight w:val="none"/>
                <w:lang w:val="en-US" w:eastAsia="zh-CN"/>
              </w:rPr>
              <w:t>扑粉机添加草木灰将物料水分调节至60%（适宜好氧发酵）</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szCs w:val="24"/>
                <w:highlight w:val="none"/>
                <w:lang w:val="en-US" w:eastAsia="zh-CN"/>
              </w:rPr>
              <w:t>搅拌10-20分钟至无明显结块，使水分、碳氮比及物料成分均匀分布，确保发酵反应一致性。</w:t>
            </w:r>
          </w:p>
          <w:p w14:paraId="1F52C8DD">
            <w:pPr>
              <w:keepNext w:val="0"/>
              <w:keepLines w:val="0"/>
              <w:pageBreakBefore w:val="0"/>
              <w:widowControl w:val="0"/>
              <w:tabs>
                <w:tab w:val="center" w:pos="4310"/>
              </w:tabs>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z w:val="24"/>
                <w:szCs w:val="24"/>
                <w:highlight w:val="none"/>
              </w:rPr>
              <w:t>产污节点</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该工序</w:t>
            </w:r>
            <w:r>
              <w:rPr>
                <w:rFonts w:hint="eastAsia" w:cs="Times New Roman"/>
                <w:color w:val="auto"/>
                <w:sz w:val="24"/>
                <w:szCs w:val="24"/>
                <w:highlight w:val="none"/>
                <w:lang w:val="en-US" w:eastAsia="zh-CN"/>
              </w:rPr>
              <w:t>扑粉</w:t>
            </w:r>
            <w:r>
              <w:rPr>
                <w:rFonts w:hint="default" w:ascii="Times New Roman" w:hAnsi="Times New Roman" w:eastAsia="宋体" w:cs="Times New Roman"/>
                <w:color w:val="auto"/>
                <w:sz w:val="24"/>
                <w:szCs w:val="24"/>
                <w:highlight w:val="none"/>
                <w:lang w:val="en-US" w:eastAsia="zh-CN"/>
              </w:rPr>
              <w:t>废气</w:t>
            </w:r>
            <w:r>
              <w:rPr>
                <w:rFonts w:hint="default" w:ascii="Times New Roman" w:hAnsi="Times New Roman" w:eastAsia="宋体" w:cs="Times New Roman"/>
                <w:color w:val="auto"/>
                <w:sz w:val="24"/>
                <w:szCs w:val="24"/>
                <w:highlight w:val="none"/>
              </w:rPr>
              <w:t>G</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；设备运行的机械噪声N</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w:t>
            </w:r>
          </w:p>
          <w:p w14:paraId="10464FF6">
            <w:pPr>
              <w:pStyle w:val="6"/>
              <w:keepNext w:val="0"/>
              <w:keepLines w:val="0"/>
              <w:pageBreakBefore w:val="0"/>
              <w:widowControl w:val="0"/>
              <w:kinsoku/>
              <w:wordWrap/>
              <w:overflowPunct/>
              <w:topLinePunct w:val="0"/>
              <w:autoSpaceDE/>
              <w:autoSpaceDN/>
              <w:bidi w:val="0"/>
              <w:adjustRightInd/>
              <w:snapToGrid/>
              <w:spacing w:line="440" w:lineRule="exact"/>
              <w:ind w:left="0" w:firstLine="482" w:firstLineChars="200"/>
              <w:textAlignment w:val="auto"/>
              <w:rPr>
                <w:rFonts w:hint="default" w:ascii="Times New Roman" w:hAnsi="Times New Roman" w:eastAsia="宋体" w:cs="Times New Roman"/>
                <w:color w:val="auto"/>
                <w:sz w:val="24"/>
                <w:szCs w:val="24"/>
                <w:highlight w:val="none"/>
                <w:lang w:val="en-US" w:eastAsia="zh-CN"/>
              </w:rPr>
            </w:pPr>
          </w:p>
          <w:p w14:paraId="7EFEEEC8">
            <w:pPr>
              <w:pStyle w:val="6"/>
              <w:keepNext w:val="0"/>
              <w:keepLines w:val="0"/>
              <w:pageBreakBefore w:val="0"/>
              <w:widowControl w:val="0"/>
              <w:kinsoku/>
              <w:wordWrap/>
              <w:overflowPunct/>
              <w:topLinePunct w:val="0"/>
              <w:autoSpaceDE/>
              <w:autoSpaceDN/>
              <w:bidi w:val="0"/>
              <w:adjustRightInd/>
              <w:snapToGrid/>
              <w:spacing w:line="420" w:lineRule="exact"/>
              <w:ind w:left="0"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）翻堆发酵工段</w:t>
            </w:r>
          </w:p>
          <w:p w14:paraId="3CE0D692">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将混合好的原料用铲车均匀地送入发酵池前端，经布料机将物料均匀布在发酵槽，槽深5~10cm，发酵物料在槽内堆积厚度为1.8m左右，靠槽下部曝气管强制通风和翻堆时物料与空气接触提供的氧气进行连续好氧发酵，使发酵物料快速腐熟、灭菌、除臭、去水、干燥。</w:t>
            </w:r>
          </w:p>
          <w:p w14:paraId="0E0E9089">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项目堆肥工艺原理</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项目设置专门的发酵槽，是靠槽下部曝气管强制通风和翻堆时物料与空气接触提供氧气进行好氧发酵，在好氧条件下，好氧细菌对有机物进行吸收、氧化、分解。微生物通过自身的生命活动，把一部分被吸收的有机物氧化成简单的无机物，同时释放出可供微生物生长活动所需的能量，而另一部分有机物则被合成新的细胞质，使微生物不断生长繁殖，产生更多的生物体的过程。在有机物生化降解的同时，伴有热量产生，因堆肥工艺中该热能不会全部散发到环境中，就必然造成堆肥物料的温度升高，这样，就会使一些不耐高温的微生物死亡，耐高温的细菌快速繁殖。生态动力学表明，好氧分解中发挥主要作用的是菌体硕大、性能活泼的噬热细菌群，该菌群在大量氧分子存在下将有机物氧化分解，同时释放出大量的能量。</w:t>
            </w:r>
          </w:p>
          <w:p w14:paraId="071908F9">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翻抛使用槽式翻抛机，翻抛机是为了把空气包裹到堆料固体颗粒间并使空气与堆料接触均匀，以达到供氧和促进水分蒸发作用。在堆肥的起始阶段，好氧速率很大，1天翻堆1次。在堆肥后期搅动次数多会引起料堆温度下降，一般1~2天进行1次翻动，若堆心温度达到55~60℃时就需要进行翻动。</w:t>
            </w:r>
          </w:p>
          <w:p w14:paraId="42B95922">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排出水分</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好氧微生物在反应过程中，生成物是二氧化碳、水等。被处理物料中的水，随着反应过程进行，经过微生物降解后，水分子游离出来，以单体分子状态存在。在微生物作用下反应过程会产生生物热能，使堆体温度升高，一般可达到70℃，在温度作用下，水会变成水蒸气，温度越高气化量越大，通过翻抛，将水分带出，减少堆肥物料中的含水率。</w:t>
            </w:r>
          </w:p>
          <w:p w14:paraId="58807137">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通风供氧</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在堆垛的物料中，越疏松空隙越大，含气体的量越大，相应的氧含量也越大。好氧微生物发酵需要消耗大量的氧，排除二氧化碳等气体。这些生产的气体，占据了氧气的空间，实际工作中，通过翻抛搅拌，加大置换面积，减少置换阻力，即可有效的排除二氧化碳、氨气等气体，并补入新鲜空气。据此，好氧堆肥过程应伴随着两次升温，将其分成3个阶段：起始阶段、高温阶段和</w:t>
            </w:r>
            <w:r>
              <w:rPr>
                <w:rFonts w:hint="eastAsia" w:ascii="Times New Roman" w:hAnsi="Times New Roman" w:eastAsia="宋体" w:cs="Times New Roman"/>
                <w:color w:val="auto"/>
                <w:sz w:val="24"/>
                <w:szCs w:val="24"/>
                <w:highlight w:val="none"/>
                <w:lang w:val="en-US" w:eastAsia="zh-CN"/>
              </w:rPr>
              <w:t>陈化</w:t>
            </w:r>
            <w:r>
              <w:rPr>
                <w:rFonts w:hint="default" w:ascii="Times New Roman" w:hAnsi="Times New Roman" w:eastAsia="宋体" w:cs="Times New Roman"/>
                <w:color w:val="auto"/>
                <w:sz w:val="24"/>
                <w:szCs w:val="24"/>
                <w:highlight w:val="none"/>
              </w:rPr>
              <w:t>阶段。</w:t>
            </w:r>
          </w:p>
          <w:p w14:paraId="0B5773B5">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起始阶段（一次发酵前期，3天，第1~3天）：堆肥初期，好氧中的中温细菌和真菌利用堆体中有机物中易降解的碳水化合物、脂肪等迅速增值，同时释放出热量时温度上升，使堆体温度不断升高，温度可达15~45℃。</w:t>
            </w:r>
          </w:p>
          <w:p w14:paraId="31D26EC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高温阶段（一次发酵的主要阶段，5天，第4~8天）：随着堆体热量的积累，温度逐渐上升到50℃以上，即进入了高温阶段。耐高温细菌迅速繁殖，在有氧条件下，大部分难降解的蛋白质、纤维等继续被氧化分解，同时放出大量热能，使温度上升至60~70℃。此时，好热性的微生物如纤维素分解氧化菌逐渐代替了中温微生物的活动，堆体中残留的有机物继续被分解氧化，一些复杂的有机物如纤维素等也开始得到分解，病原菌、寄生虫卵与病毒被杀灭。当有机物基本降解完，噬热菌因缺乏养料而停止生长，产热随之停止。堆体的温度逐渐下降，当温度稳定在40℃，含水率45%左右，堆肥基本达到稳定，形成腐殖质，发酵结束。</w:t>
            </w:r>
          </w:p>
          <w:p w14:paraId="1E1EDD6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陈化</w:t>
            </w:r>
            <w:r>
              <w:rPr>
                <w:rFonts w:hint="default" w:ascii="Times New Roman" w:hAnsi="Times New Roman" w:eastAsia="宋体" w:cs="Times New Roman"/>
                <w:color w:val="auto"/>
                <w:sz w:val="24"/>
                <w:szCs w:val="24"/>
                <w:highlight w:val="none"/>
                <w:lang w:val="en-US" w:eastAsia="zh-CN"/>
              </w:rPr>
              <w:t>阶段</w:t>
            </w:r>
            <w:r>
              <w:rPr>
                <w:rFonts w:hint="default" w:ascii="Times New Roman" w:hAnsi="Times New Roman" w:eastAsia="宋体" w:cs="Times New Roman"/>
                <w:color w:val="auto"/>
                <w:sz w:val="24"/>
                <w:szCs w:val="24"/>
                <w:highlight w:val="none"/>
              </w:rPr>
              <w:t>（二次发酵过程，7天，第9～15天）：经过一次发酵的物料通过皮带输送至陈化区发酵槽，经布料机将物料均匀布在发酵槽中进行陈化发酵（二次发酵熟化），陈化发酵采用槽式发酵，将物料中未降解的大分子有机物进一步分级、稳定，陈化区发酵方式与一次发酵方式相同</w:t>
            </w:r>
            <w:r>
              <w:rPr>
                <w:rFonts w:hint="default" w:ascii="Times New Roman" w:hAnsi="Times New Roman" w:eastAsia="宋体" w:cs="Times New Roman"/>
                <w:color w:val="auto"/>
                <w:sz w:val="24"/>
                <w:szCs w:val="24"/>
                <w:highlight w:val="none"/>
                <w:lang w:eastAsia="zh-CN"/>
              </w:rPr>
              <w:t>。</w:t>
            </w:r>
          </w:p>
          <w:p w14:paraId="722C6BD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经过高温阶段，原料中大部分易于生物降解的有机物得到分解，剩下的是较难分解的有机物和新形成的腐殖质。此时微生物活动量减弱，产热量也随之减少，温度逐渐下降，中温微生物又逐渐成为优势菌种，残余物质进一步分解，腐殖质继续不断地积累，堆肥进入腐熟阶段</w:t>
            </w:r>
            <w:r>
              <w:rPr>
                <w:rFonts w:hint="default" w:ascii="Times New Roman" w:hAnsi="Times New Roman" w:eastAsia="宋体" w:cs="Times New Roman"/>
                <w:color w:val="auto"/>
                <w:sz w:val="24"/>
                <w:highlight w:val="none"/>
              </w:rPr>
              <w:t>（颜色变黑、无恶臭、质地疏松）</w:t>
            </w:r>
            <w:r>
              <w:rPr>
                <w:rFonts w:hint="default" w:ascii="Times New Roman" w:hAnsi="Times New Roman" w:eastAsia="宋体" w:cs="Times New Roman"/>
                <w:color w:val="auto"/>
                <w:sz w:val="24"/>
                <w:szCs w:val="24"/>
                <w:highlight w:val="none"/>
              </w:rPr>
              <w:t>。堆体陈化的温度从40℃逐渐下降到35℃以下，当温度稳定在35℃，含水率</w:t>
            </w:r>
            <w:r>
              <w:rPr>
                <w:rFonts w:hint="eastAsia" w:ascii="Times New Roman" w:hAnsi="Times New Roman" w:eastAsia="宋体" w:cs="Times New Roman"/>
                <w:color w:val="auto"/>
                <w:sz w:val="24"/>
                <w:szCs w:val="24"/>
                <w:highlight w:val="none"/>
                <w:lang w:val="en-US" w:eastAsia="zh-CN"/>
              </w:rPr>
              <w:t>40</w:t>
            </w:r>
            <w:r>
              <w:rPr>
                <w:rFonts w:hint="default" w:ascii="Times New Roman" w:hAnsi="Times New Roman" w:eastAsia="宋体" w:cs="Times New Roman"/>
                <w:color w:val="auto"/>
                <w:sz w:val="24"/>
                <w:szCs w:val="24"/>
                <w:highlight w:val="none"/>
              </w:rPr>
              <w:t>%左右，腐熟基本达到稳定，形成初级有机肥，陈化结束。发酵工艺参数见下表。</w:t>
            </w:r>
          </w:p>
          <w:p w14:paraId="609177C1">
            <w:pPr>
              <w:pStyle w:val="87"/>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textAlignment w:val="auto"/>
              <w:rPr>
                <w:rFonts w:hint="default"/>
                <w:b/>
                <w:bCs w:val="0"/>
                <w:color w:val="auto"/>
                <w:sz w:val="21"/>
                <w:szCs w:val="21"/>
                <w:highlight w:val="none"/>
              </w:rPr>
            </w:pPr>
            <w:r>
              <w:rPr>
                <w:rFonts w:hint="eastAsia"/>
                <w:b/>
                <w:bCs w:val="0"/>
                <w:color w:val="auto"/>
                <w:sz w:val="21"/>
                <w:szCs w:val="21"/>
                <w:highlight w:val="none"/>
              </w:rPr>
              <w:t>表2-1</w:t>
            </w:r>
            <w:r>
              <w:rPr>
                <w:rFonts w:hint="eastAsia"/>
                <w:b/>
                <w:bCs w:val="0"/>
                <w:color w:val="auto"/>
                <w:sz w:val="21"/>
                <w:szCs w:val="21"/>
                <w:highlight w:val="none"/>
                <w:lang w:val="en-US" w:eastAsia="zh-CN"/>
              </w:rPr>
              <w:t>1</w:t>
            </w:r>
            <w:r>
              <w:rPr>
                <w:rFonts w:hint="eastAsia"/>
                <w:b/>
                <w:bCs w:val="0"/>
                <w:color w:val="auto"/>
                <w:sz w:val="21"/>
                <w:szCs w:val="21"/>
                <w:highlight w:val="none"/>
              </w:rPr>
              <w:t xml:space="preserve">  发酵工艺参数</w:t>
            </w:r>
          </w:p>
          <w:tbl>
            <w:tblPr>
              <w:tblStyle w:val="26"/>
              <w:tblW w:w="86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4"/>
              <w:gridCol w:w="1917"/>
              <w:gridCol w:w="2168"/>
              <w:gridCol w:w="2775"/>
            </w:tblGrid>
            <w:tr w14:paraId="6BFB9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7EF3EC">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项目</w:t>
                  </w:r>
                </w:p>
              </w:tc>
              <w:tc>
                <w:tcPr>
                  <w:tcW w:w="19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FF4354">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参数</w:t>
                  </w:r>
                </w:p>
              </w:tc>
              <w:tc>
                <w:tcPr>
                  <w:tcW w:w="21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D6AEA1">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项目</w:t>
                  </w:r>
                </w:p>
              </w:tc>
              <w:tc>
                <w:tcPr>
                  <w:tcW w:w="27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AA435D">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参数</w:t>
                  </w:r>
                </w:p>
              </w:tc>
            </w:tr>
            <w:tr w14:paraId="22938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1130BF">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发酵周期（d）</w:t>
                  </w:r>
                </w:p>
              </w:tc>
              <w:tc>
                <w:tcPr>
                  <w:tcW w:w="19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FE5479">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15</w:t>
                  </w:r>
                </w:p>
              </w:tc>
              <w:tc>
                <w:tcPr>
                  <w:tcW w:w="21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E361F3">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发酵起始阶段</w:t>
                  </w:r>
                </w:p>
              </w:tc>
              <w:tc>
                <w:tcPr>
                  <w:tcW w:w="27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5854A6">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15℃~45℃中温期3d</w:t>
                  </w:r>
                </w:p>
              </w:tc>
            </w:tr>
            <w:tr w14:paraId="1684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3D12BD">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翻堆（次/d）</w:t>
                  </w:r>
                </w:p>
              </w:tc>
              <w:tc>
                <w:tcPr>
                  <w:tcW w:w="19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DF35D2">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1-2</w:t>
                  </w:r>
                </w:p>
              </w:tc>
              <w:tc>
                <w:tcPr>
                  <w:tcW w:w="21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5EE564">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发酵高温阶段</w:t>
                  </w:r>
                </w:p>
              </w:tc>
              <w:tc>
                <w:tcPr>
                  <w:tcW w:w="27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B382C9">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55℃以上高温期5d</w:t>
                  </w:r>
                </w:p>
              </w:tc>
            </w:tr>
            <w:tr w14:paraId="63C24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CD0133">
                  <w:pPr>
                    <w:widowControl/>
                    <w:snapToGrid w:val="0"/>
                    <w:spacing w:before="48" w:beforeLines="20" w:after="48" w:afterLines="20"/>
                    <w:jc w:val="center"/>
                    <w:textAlignment w:val="bottom"/>
                    <w:rPr>
                      <w:rFonts w:hint="default" w:ascii="Times New Roman" w:hAnsi="Times New Roman" w:eastAsia="宋体" w:cs="Times New Roman"/>
                      <w:color w:val="auto"/>
                      <w:kern w:val="0"/>
                      <w:sz w:val="21"/>
                      <w:szCs w:val="21"/>
                      <w:highlight w:val="none"/>
                      <w:lang w:bidi="ar"/>
                    </w:rPr>
                  </w:pPr>
                  <w:r>
                    <w:rPr>
                      <w:rFonts w:hint="eastAsia"/>
                      <w:color w:val="auto"/>
                      <w:kern w:val="0"/>
                      <w:szCs w:val="21"/>
                      <w:highlight w:val="none"/>
                      <w:lang w:bidi="ar"/>
                    </w:rPr>
                    <w:t>供氧</w:t>
                  </w:r>
                </w:p>
              </w:tc>
              <w:tc>
                <w:tcPr>
                  <w:tcW w:w="19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0A6155">
                  <w:pPr>
                    <w:widowControl/>
                    <w:snapToGrid w:val="0"/>
                    <w:spacing w:before="48" w:beforeLines="20" w:after="48" w:afterLines="20"/>
                    <w:jc w:val="center"/>
                    <w:textAlignment w:val="bottom"/>
                    <w:rPr>
                      <w:rFonts w:hint="default" w:ascii="Times New Roman" w:hAnsi="Times New Roman" w:eastAsia="宋体" w:cs="Times New Roman"/>
                      <w:color w:val="auto"/>
                      <w:kern w:val="0"/>
                      <w:sz w:val="21"/>
                      <w:szCs w:val="21"/>
                      <w:highlight w:val="none"/>
                      <w:lang w:bidi="ar"/>
                    </w:rPr>
                  </w:pPr>
                  <w:r>
                    <w:rPr>
                      <w:rFonts w:hint="eastAsia"/>
                      <w:color w:val="auto"/>
                      <w:kern w:val="0"/>
                      <w:szCs w:val="21"/>
                      <w:highlight w:val="none"/>
                      <w:lang w:bidi="ar"/>
                    </w:rPr>
                    <w:t>根据发酵情况调整</w:t>
                  </w:r>
                </w:p>
              </w:tc>
              <w:tc>
                <w:tcPr>
                  <w:tcW w:w="21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933845">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陈化阶段</w:t>
                  </w:r>
                </w:p>
              </w:tc>
              <w:tc>
                <w:tcPr>
                  <w:tcW w:w="27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7D706E">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bidi="ar"/>
                    </w:rPr>
                    <w:t>≤50</w:t>
                  </w:r>
                  <w:r>
                    <w:rPr>
                      <w:rFonts w:hint="eastAsia"/>
                      <w:color w:val="auto"/>
                      <w:kern w:val="0"/>
                      <w:szCs w:val="21"/>
                      <w:highlight w:val="none"/>
                      <w:lang w:val="en-US" w:eastAsia="zh-CN" w:bidi="ar"/>
                    </w:rPr>
                    <w:t>摄氏度7d</w:t>
                  </w:r>
                </w:p>
              </w:tc>
            </w:tr>
            <w:tr w14:paraId="5B45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3C7086">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发酵后含水率</w:t>
                  </w:r>
                </w:p>
              </w:tc>
              <w:tc>
                <w:tcPr>
                  <w:tcW w:w="19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3321DD">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w:t>
                  </w:r>
                  <w:r>
                    <w:rPr>
                      <w:rFonts w:hint="eastAsia" w:ascii="Times New Roman" w:hAnsi="Times New Roman" w:eastAsia="宋体" w:cs="Times New Roman"/>
                      <w:color w:val="auto"/>
                      <w:kern w:val="0"/>
                      <w:sz w:val="21"/>
                      <w:szCs w:val="21"/>
                      <w:highlight w:val="none"/>
                      <w:lang w:val="en-US" w:eastAsia="zh-CN" w:bidi="ar"/>
                    </w:rPr>
                    <w:t>40</w:t>
                  </w:r>
                  <w:r>
                    <w:rPr>
                      <w:rFonts w:hint="default" w:ascii="Times New Roman" w:hAnsi="Times New Roman" w:eastAsia="宋体" w:cs="Times New Roman"/>
                      <w:color w:val="auto"/>
                      <w:kern w:val="0"/>
                      <w:sz w:val="21"/>
                      <w:szCs w:val="21"/>
                      <w:highlight w:val="none"/>
                      <w:lang w:bidi="ar"/>
                    </w:rPr>
                    <w:t>%</w:t>
                  </w:r>
                </w:p>
              </w:tc>
              <w:tc>
                <w:tcPr>
                  <w:tcW w:w="21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901115">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供氧</w:t>
                  </w:r>
                </w:p>
              </w:tc>
              <w:tc>
                <w:tcPr>
                  <w:tcW w:w="27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500CBB">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氧气浓度≥5%</w:t>
                  </w:r>
                </w:p>
              </w:tc>
            </w:tr>
            <w:tr w14:paraId="4C35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981DBD">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卫生要求</w:t>
                  </w:r>
                </w:p>
              </w:tc>
              <w:tc>
                <w:tcPr>
                  <w:tcW w:w="19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A8AC2C">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无蝇虫卵</w:t>
                  </w:r>
                </w:p>
              </w:tc>
              <w:tc>
                <w:tcPr>
                  <w:tcW w:w="21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BED081">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发酵后温度（℃）</w:t>
                  </w:r>
                </w:p>
              </w:tc>
              <w:tc>
                <w:tcPr>
                  <w:tcW w:w="27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0FBEDE">
                  <w:pPr>
                    <w:keepNext w:val="0"/>
                    <w:keepLines w:val="0"/>
                    <w:pageBreakBefore w:val="0"/>
                    <w:widowControl/>
                    <w:kinsoku/>
                    <w:wordWrap/>
                    <w:overflowPunct/>
                    <w:topLinePunct w:val="0"/>
                    <w:autoSpaceDE/>
                    <w:autoSpaceDN/>
                    <w:bidi w:val="0"/>
                    <w:adjustRightInd/>
                    <w:snapToGrid w:val="0"/>
                    <w:spacing w:line="320" w:lineRule="exact"/>
                    <w:jc w:val="center"/>
                    <w:textAlignment w:val="bottom"/>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w:t>
                  </w:r>
                  <w:r>
                    <w:rPr>
                      <w:rFonts w:hint="eastAsia" w:ascii="Times New Roman" w:hAnsi="Times New Roman" w:eastAsia="宋体" w:cs="Times New Roman"/>
                      <w:color w:val="auto"/>
                      <w:kern w:val="0"/>
                      <w:sz w:val="21"/>
                      <w:szCs w:val="21"/>
                      <w:highlight w:val="none"/>
                      <w:lang w:val="en-US" w:eastAsia="zh-CN" w:bidi="ar"/>
                    </w:rPr>
                    <w:t>35</w:t>
                  </w:r>
                </w:p>
              </w:tc>
            </w:tr>
          </w:tbl>
          <w:p w14:paraId="798C5EE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b/>
                <w:color w:val="auto"/>
                <w:sz w:val="24"/>
                <w:highlight w:val="none"/>
              </w:rPr>
              <w:t>产污节点</w:t>
            </w:r>
            <w:r>
              <w:rPr>
                <w:rFonts w:hint="default"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该过程会产生</w:t>
            </w:r>
            <w:r>
              <w:rPr>
                <w:rFonts w:hint="default" w:ascii="Times New Roman" w:hAnsi="Times New Roman" w:eastAsia="宋体" w:cs="Times New Roman"/>
                <w:color w:val="auto"/>
                <w:sz w:val="24"/>
                <w:highlight w:val="none"/>
              </w:rPr>
              <w:t>发酵废气（氨气、硫化氢）G</w:t>
            </w:r>
            <w:r>
              <w:rPr>
                <w:rFonts w:hint="eastAsia" w:ascii="Times New Roman" w:hAnsi="Times New Roman" w:eastAsia="宋体" w:cs="Times New Roman"/>
                <w:color w:val="auto"/>
                <w:sz w:val="24"/>
                <w:highlight w:val="none"/>
                <w:lang w:val="en-US" w:eastAsia="zh-CN"/>
              </w:rPr>
              <w:t>6</w:t>
            </w:r>
            <w:r>
              <w:rPr>
                <w:rFonts w:hint="default" w:ascii="Times New Roman" w:hAnsi="Times New Roman" w:eastAsia="宋体" w:cs="Times New Roman"/>
                <w:color w:val="auto"/>
                <w:sz w:val="24"/>
                <w:highlight w:val="none"/>
              </w:rPr>
              <w:t>；物料水分过高渗出的渗滤液（含有机物、氮磷）W</w:t>
            </w: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；翻堆机运行的机械噪声N</w:t>
            </w:r>
            <w:r>
              <w:rPr>
                <w:rFonts w:hint="eastAsia" w:ascii="Times New Roman" w:hAnsi="Times New Roman" w:eastAsia="宋体" w:cs="Times New Roman"/>
                <w:color w:val="auto"/>
                <w:sz w:val="24"/>
                <w:highlight w:val="none"/>
                <w:lang w:val="en-US" w:eastAsia="zh-CN"/>
              </w:rPr>
              <w:t>5</w:t>
            </w:r>
            <w:r>
              <w:rPr>
                <w:rFonts w:hint="eastAsia" w:cs="Times New Roman"/>
                <w:color w:val="auto"/>
                <w:sz w:val="24"/>
                <w:highlight w:val="none"/>
                <w:lang w:val="en-US" w:eastAsia="zh-CN"/>
              </w:rPr>
              <w:t>及其废纳米膜S3</w:t>
            </w:r>
            <w:r>
              <w:rPr>
                <w:rFonts w:hint="default" w:ascii="Times New Roman" w:hAnsi="Times New Roman" w:eastAsia="宋体" w:cs="Times New Roman"/>
                <w:color w:val="auto"/>
                <w:sz w:val="24"/>
                <w:highlight w:val="none"/>
              </w:rPr>
              <w:t>。</w:t>
            </w:r>
          </w:p>
          <w:p w14:paraId="23E15892">
            <w:pPr>
              <w:pStyle w:val="6"/>
              <w:keepNext w:val="0"/>
              <w:keepLines w:val="0"/>
              <w:pageBreakBefore w:val="0"/>
              <w:widowControl w:val="0"/>
              <w:numPr>
                <w:ilvl w:val="0"/>
                <w:numId w:val="0"/>
              </w:numPr>
              <w:kinsoku/>
              <w:wordWrap/>
              <w:overflowPunct/>
              <w:topLinePunct w:val="0"/>
              <w:autoSpaceDE/>
              <w:autoSpaceDN/>
              <w:bidi w:val="0"/>
              <w:adjustRightInd/>
              <w:snapToGrid/>
              <w:spacing w:line="430" w:lineRule="exact"/>
              <w:ind w:left="0" w:leftChars="0" w:firstLine="482" w:firstLineChars="200"/>
              <w:textAlignment w:val="auto"/>
              <w:rPr>
                <w:rFonts w:hint="default" w:ascii="Times New Roman" w:hAnsi="Times New Roman" w:eastAsia="宋体" w:cs="Times New Roman"/>
                <w:color w:val="auto"/>
                <w:highlight w:val="none"/>
              </w:rPr>
            </w:pPr>
            <w:r>
              <w:rPr>
                <w:rFonts w:hint="eastAsia" w:ascii="Times New Roman" w:hAnsi="Times New Roman" w:eastAsia="宋体" w:cs="Times New Roman"/>
                <w:b/>
                <w:bCs/>
                <w:color w:val="auto"/>
                <w:kern w:val="2"/>
                <w:sz w:val="24"/>
                <w:szCs w:val="24"/>
                <w:highlight w:val="none"/>
                <w:lang w:val="en-US" w:eastAsia="zh-CN" w:bidi="ar-SA"/>
              </w:rPr>
              <w:t>4</w:t>
            </w:r>
            <w:r>
              <w:rPr>
                <w:rFonts w:hint="default" w:ascii="Times New Roman" w:hAnsi="Times New Roman" w:eastAsia="宋体" w:cs="Times New Roman"/>
                <w:b/>
                <w:bCs/>
                <w:color w:val="auto"/>
                <w:kern w:val="2"/>
                <w:sz w:val="24"/>
                <w:szCs w:val="24"/>
                <w:highlight w:val="none"/>
                <w:lang w:val="en-US" w:eastAsia="zh-CN" w:bidi="ar-SA"/>
              </w:rPr>
              <w:t>）</w:t>
            </w:r>
            <w:r>
              <w:rPr>
                <w:rFonts w:hint="eastAsia" w:ascii="Times New Roman" w:hAnsi="Times New Roman" w:cs="Times New Roman"/>
                <w:b/>
                <w:bCs/>
                <w:color w:val="auto"/>
                <w:kern w:val="2"/>
                <w:sz w:val="24"/>
                <w:szCs w:val="24"/>
                <w:highlight w:val="none"/>
                <w:lang w:val="en-US" w:eastAsia="zh-CN" w:bidi="ar-SA"/>
              </w:rPr>
              <w:t>一次</w:t>
            </w:r>
            <w:r>
              <w:rPr>
                <w:rFonts w:hint="default" w:ascii="Times New Roman" w:hAnsi="Times New Roman" w:eastAsia="宋体" w:cs="Times New Roman"/>
                <w:color w:val="auto"/>
                <w:highlight w:val="none"/>
              </w:rPr>
              <w:t>筛选：</w:t>
            </w:r>
          </w:p>
          <w:p w14:paraId="16CA2A33">
            <w:pPr>
              <w:pStyle w:val="6"/>
              <w:keepNext w:val="0"/>
              <w:keepLines w:val="0"/>
              <w:pageBreakBefore w:val="0"/>
              <w:widowControl w:val="0"/>
              <w:numPr>
                <w:ilvl w:val="0"/>
                <w:numId w:val="0"/>
              </w:numPr>
              <w:kinsoku/>
              <w:wordWrap/>
              <w:overflowPunct/>
              <w:topLinePunct w:val="0"/>
              <w:autoSpaceDE/>
              <w:autoSpaceDN/>
              <w:bidi w:val="0"/>
              <w:adjustRightInd/>
              <w:snapToGrid/>
              <w:spacing w:line="430" w:lineRule="exact"/>
              <w:ind w:left="0" w:leftChars="0" w:firstLine="480" w:firstLineChars="200"/>
              <w:textAlignment w:val="auto"/>
              <w:rPr>
                <w:rFonts w:hint="default"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lang w:val="en-US" w:eastAsia="zh-CN"/>
              </w:rPr>
              <w:t>发酵</w:t>
            </w:r>
            <w:r>
              <w:rPr>
                <w:rFonts w:hint="default" w:ascii="Times New Roman" w:hAnsi="Times New Roman" w:eastAsia="宋体" w:cs="Times New Roman"/>
                <w:b w:val="0"/>
                <w:bCs w:val="0"/>
                <w:color w:val="auto"/>
                <w:highlight w:val="none"/>
              </w:rPr>
              <w:t>完成后的熟料基本达到稳定状态，</w:t>
            </w:r>
            <w:r>
              <w:rPr>
                <w:rFonts w:hint="eastAsia" w:ascii="Times New Roman" w:hAnsi="Times New Roman" w:eastAsia="宋体" w:cs="Times New Roman"/>
                <w:b w:val="0"/>
                <w:bCs w:val="0"/>
                <w:color w:val="auto"/>
                <w:highlight w:val="none"/>
                <w:lang w:val="en-US" w:eastAsia="zh-CN"/>
              </w:rPr>
              <w:t>其</w:t>
            </w:r>
            <w:r>
              <w:rPr>
                <w:rFonts w:hint="default" w:ascii="Times New Roman" w:hAnsi="Times New Roman" w:eastAsia="宋体" w:cs="Times New Roman"/>
                <w:b w:val="0"/>
                <w:bCs w:val="0"/>
                <w:color w:val="auto"/>
                <w:highlight w:val="none"/>
              </w:rPr>
              <w:t>通过滚筒筛分机进行筛选，</w:t>
            </w:r>
            <w:r>
              <w:rPr>
                <w:rFonts w:hint="eastAsia" w:ascii="Times New Roman" w:hAnsi="Times New Roman" w:eastAsia="宋体" w:cs="Times New Roman"/>
                <w:b w:val="0"/>
                <w:bCs w:val="0"/>
                <w:color w:val="auto"/>
                <w:highlight w:val="none"/>
                <w:lang w:val="en-US" w:eastAsia="zh-CN"/>
              </w:rPr>
              <w:t>发酵</w:t>
            </w:r>
            <w:r>
              <w:rPr>
                <w:rFonts w:hint="default" w:ascii="Times New Roman" w:hAnsi="Times New Roman" w:eastAsia="宋体" w:cs="Times New Roman"/>
                <w:b w:val="0"/>
                <w:bCs w:val="0"/>
                <w:color w:val="auto"/>
                <w:highlight w:val="none"/>
              </w:rPr>
              <w:t>不完全的产品（不合格）作为原料回用，不外排，合格产品进入</w:t>
            </w:r>
            <w:r>
              <w:rPr>
                <w:rFonts w:hint="eastAsia" w:ascii="Times New Roman" w:hAnsi="Times New Roman" w:eastAsia="宋体" w:cs="Times New Roman"/>
                <w:b w:val="0"/>
                <w:bCs w:val="0"/>
                <w:color w:val="auto"/>
                <w:highlight w:val="none"/>
                <w:lang w:val="en-US" w:eastAsia="zh-CN"/>
              </w:rPr>
              <w:t>扑粉</w:t>
            </w:r>
            <w:r>
              <w:rPr>
                <w:rFonts w:hint="default" w:ascii="Times New Roman" w:hAnsi="Times New Roman" w:eastAsia="宋体" w:cs="Times New Roman"/>
                <w:b w:val="0"/>
                <w:bCs w:val="0"/>
                <w:color w:val="auto"/>
                <w:highlight w:val="none"/>
              </w:rPr>
              <w:t>工序。滚筒筛分机进行筛选过程，有机肥温度从35℃逐渐下降到常温22℃，含水率稳定在</w:t>
            </w:r>
            <w:r>
              <w:rPr>
                <w:rFonts w:hint="eastAsia" w:ascii="Times New Roman" w:hAnsi="Times New Roman" w:cs="Times New Roman"/>
                <w:b w:val="0"/>
                <w:bCs w:val="0"/>
                <w:color w:val="auto"/>
                <w:highlight w:val="none"/>
                <w:lang w:val="en-US" w:eastAsia="zh-CN"/>
              </w:rPr>
              <w:t>40</w:t>
            </w:r>
            <w:r>
              <w:rPr>
                <w:rFonts w:hint="default" w:ascii="Times New Roman" w:hAnsi="Times New Roman" w:eastAsia="宋体" w:cs="Times New Roman"/>
                <w:b w:val="0"/>
                <w:bCs w:val="0"/>
                <w:color w:val="auto"/>
                <w:highlight w:val="none"/>
              </w:rPr>
              <w:t>%左右。</w:t>
            </w:r>
          </w:p>
          <w:p w14:paraId="29FADC52">
            <w:pPr>
              <w:keepNext w:val="0"/>
              <w:keepLines w:val="0"/>
              <w:pageBreakBefore w:val="0"/>
              <w:widowControl w:val="0"/>
              <w:kinsoku/>
              <w:wordWrap/>
              <w:overflowPunct/>
              <w:topLinePunct w:val="0"/>
              <w:autoSpaceDE/>
              <w:autoSpaceDN/>
              <w:bidi w:val="0"/>
              <w:adjustRightInd/>
              <w:snapToGrid/>
              <w:spacing w:line="430" w:lineRule="exact"/>
              <w:ind w:firstLine="482"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
                <w:color w:val="auto"/>
                <w:sz w:val="24"/>
                <w:highlight w:val="none"/>
              </w:rPr>
              <w:t>产污节点</w:t>
            </w:r>
            <w:r>
              <w:rPr>
                <w:rFonts w:hint="default"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筛分过程会产生筛分废气</w:t>
            </w:r>
            <w:r>
              <w:rPr>
                <w:rFonts w:hint="default" w:ascii="Times New Roman" w:hAnsi="Times New Roman" w:eastAsia="宋体" w:cs="Times New Roman"/>
                <w:color w:val="auto"/>
                <w:sz w:val="24"/>
                <w:highlight w:val="none"/>
              </w:rPr>
              <w:t>G</w:t>
            </w:r>
            <w:r>
              <w:rPr>
                <w:rFonts w:hint="eastAsia" w:ascii="Times New Roman" w:hAnsi="Times New Roman" w:eastAsia="宋体" w:cs="Times New Roman"/>
                <w:color w:val="auto"/>
                <w:sz w:val="24"/>
                <w:highlight w:val="none"/>
                <w:lang w:val="en-US" w:eastAsia="zh-CN"/>
              </w:rPr>
              <w:t>7</w:t>
            </w:r>
            <w:r>
              <w:rPr>
                <w:rFonts w:hint="default"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筛分机</w:t>
            </w:r>
            <w:r>
              <w:rPr>
                <w:rFonts w:hint="default" w:ascii="Times New Roman" w:hAnsi="Times New Roman" w:eastAsia="宋体" w:cs="Times New Roman"/>
                <w:color w:val="auto"/>
                <w:sz w:val="24"/>
                <w:highlight w:val="none"/>
              </w:rPr>
              <w:t>运行</w:t>
            </w:r>
            <w:r>
              <w:rPr>
                <w:rFonts w:hint="eastAsia" w:ascii="Times New Roman" w:hAnsi="Times New Roman" w:eastAsia="宋体" w:cs="Times New Roman"/>
                <w:color w:val="auto"/>
                <w:sz w:val="24"/>
                <w:highlight w:val="none"/>
                <w:lang w:val="en-US" w:eastAsia="zh-CN"/>
              </w:rPr>
              <w:t>产生的</w:t>
            </w:r>
            <w:r>
              <w:rPr>
                <w:rFonts w:hint="default" w:ascii="Times New Roman" w:hAnsi="Times New Roman" w:eastAsia="宋体" w:cs="Times New Roman"/>
                <w:color w:val="auto"/>
                <w:sz w:val="24"/>
                <w:highlight w:val="none"/>
              </w:rPr>
              <w:t>机械噪声N</w:t>
            </w:r>
            <w:r>
              <w:rPr>
                <w:rFonts w:hint="eastAsia" w:ascii="Times New Roman" w:hAnsi="Times New Roman" w:eastAsia="宋体" w:cs="Times New Roman"/>
                <w:color w:val="auto"/>
                <w:sz w:val="24"/>
                <w:highlight w:val="none"/>
                <w:lang w:val="en-US" w:eastAsia="zh-CN"/>
              </w:rPr>
              <w:t>6及其筛分不合格品（S</w:t>
            </w:r>
            <w:r>
              <w:rPr>
                <w:rFonts w:hint="eastAsia" w:cs="Times New Roman"/>
                <w:color w:val="auto"/>
                <w:sz w:val="24"/>
                <w:highlight w:val="none"/>
                <w:lang w:val="en-US" w:eastAsia="zh-CN"/>
              </w:rPr>
              <w:t>2-2</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w:t>
            </w:r>
          </w:p>
          <w:p w14:paraId="0CC26D1C">
            <w:pPr>
              <w:pStyle w:val="6"/>
              <w:keepNext w:val="0"/>
              <w:keepLines w:val="0"/>
              <w:pageBreakBefore w:val="0"/>
              <w:widowControl w:val="0"/>
              <w:kinsoku/>
              <w:wordWrap/>
              <w:overflowPunct/>
              <w:topLinePunct w:val="0"/>
              <w:autoSpaceDE/>
              <w:autoSpaceDN/>
              <w:bidi w:val="0"/>
              <w:adjustRightInd/>
              <w:snapToGrid/>
              <w:spacing w:line="430" w:lineRule="exact"/>
              <w:ind w:left="0" w:firstLine="482"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w:t>
            </w:r>
            <w:r>
              <w:rPr>
                <w:rFonts w:hint="eastAsia" w:ascii="Times New Roman" w:hAnsi="Times New Roman" w:eastAsia="宋体" w:cs="Times New Roman"/>
                <w:color w:val="auto"/>
                <w:highlight w:val="none"/>
                <w:lang w:val="en-US" w:eastAsia="zh-CN"/>
              </w:rPr>
              <w:t>扑粉、</w:t>
            </w:r>
            <w:r>
              <w:rPr>
                <w:rFonts w:hint="default" w:ascii="Times New Roman" w:hAnsi="Times New Roman" w:eastAsia="宋体" w:cs="Times New Roman"/>
                <w:color w:val="auto"/>
                <w:highlight w:val="none"/>
              </w:rPr>
              <w:t>菌剂投加工段</w:t>
            </w:r>
          </w:p>
          <w:p w14:paraId="12E18BB5">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筛选完成的熟料通过传送带连接至扑粉机，使用草木灰将熟料含水率调整至35%左右，在传送至配料机，按一定比例添加微生物菌剂及多元素矿物质，增强肥</w:t>
            </w:r>
            <w:r>
              <w:rPr>
                <w:rFonts w:hint="eastAsia" w:cs="Times New Roman"/>
                <w:color w:val="auto"/>
                <w:sz w:val="24"/>
                <w:highlight w:val="none"/>
                <w:lang w:val="en-US" w:eastAsia="zh-CN"/>
              </w:rPr>
              <w:t>料</w:t>
            </w:r>
            <w:r>
              <w:rPr>
                <w:rFonts w:hint="eastAsia" w:ascii="Times New Roman" w:hAnsi="Times New Roman" w:eastAsia="宋体" w:cs="Times New Roman"/>
                <w:color w:val="auto"/>
                <w:sz w:val="24"/>
                <w:highlight w:val="none"/>
                <w:lang w:val="en-US" w:eastAsia="zh-CN"/>
              </w:rPr>
              <w:t>生物活性。</w:t>
            </w:r>
          </w:p>
          <w:p w14:paraId="68CA8D2B">
            <w:pPr>
              <w:keepNext w:val="0"/>
              <w:keepLines w:val="0"/>
              <w:pageBreakBefore w:val="0"/>
              <w:widowControl w:val="0"/>
              <w:kinsoku/>
              <w:wordWrap/>
              <w:overflowPunct/>
              <w:topLinePunct w:val="0"/>
              <w:autoSpaceDE/>
              <w:autoSpaceDN/>
              <w:bidi w:val="0"/>
              <w:adjustRightInd/>
              <w:snapToGrid/>
              <w:spacing w:line="430" w:lineRule="exact"/>
              <w:ind w:firstLine="482" w:firstLineChars="200"/>
              <w:textAlignment w:val="auto"/>
              <w:rPr>
                <w:rFonts w:hint="default"/>
                <w:color w:val="auto"/>
                <w:highlight w:val="none"/>
                <w:lang w:val="en-US" w:eastAsia="zh-CN"/>
              </w:rPr>
            </w:pPr>
            <w:r>
              <w:rPr>
                <w:rFonts w:hint="default" w:ascii="Times New Roman" w:hAnsi="Times New Roman" w:eastAsia="宋体" w:cs="Times New Roman"/>
                <w:b/>
                <w:color w:val="auto"/>
                <w:sz w:val="24"/>
                <w:highlight w:val="none"/>
              </w:rPr>
              <w:t>产污节点</w:t>
            </w:r>
            <w:r>
              <w:rPr>
                <w:rFonts w:hint="default" w:ascii="Times New Roman" w:hAnsi="Times New Roman" w:eastAsia="宋体" w:cs="Times New Roman"/>
                <w:color w:val="auto"/>
                <w:sz w:val="24"/>
                <w:highlight w:val="none"/>
              </w:rPr>
              <w:t>：扑粉、菌剂投加</w:t>
            </w:r>
            <w:r>
              <w:rPr>
                <w:rFonts w:hint="eastAsia" w:ascii="Times New Roman" w:hAnsi="Times New Roman" w:eastAsia="宋体" w:cs="Times New Roman"/>
                <w:color w:val="auto"/>
                <w:sz w:val="24"/>
                <w:highlight w:val="none"/>
                <w:lang w:val="en-US" w:eastAsia="zh-CN"/>
              </w:rPr>
              <w:t>会</w:t>
            </w:r>
            <w:r>
              <w:rPr>
                <w:rFonts w:hint="default" w:ascii="Times New Roman" w:hAnsi="Times New Roman" w:eastAsia="宋体" w:cs="Times New Roman"/>
                <w:color w:val="auto"/>
                <w:sz w:val="24"/>
                <w:highlight w:val="none"/>
              </w:rPr>
              <w:t>产生的投加粉尘G</w:t>
            </w:r>
            <w:r>
              <w:rPr>
                <w:rFonts w:hint="eastAsia" w:ascii="Times New Roman" w:hAnsi="Times New Roman" w:eastAsia="宋体" w:cs="Times New Roman"/>
                <w:color w:val="auto"/>
                <w:sz w:val="24"/>
                <w:highlight w:val="none"/>
                <w:lang w:val="en-US" w:eastAsia="zh-CN"/>
              </w:rPr>
              <w:t>8</w:t>
            </w:r>
            <w:r>
              <w:rPr>
                <w:rFonts w:hint="default" w:ascii="Times New Roman" w:hAnsi="Times New Roman" w:eastAsia="宋体" w:cs="Times New Roman"/>
                <w:color w:val="auto"/>
                <w:sz w:val="24"/>
                <w:highlight w:val="none"/>
              </w:rPr>
              <w:t>；投料系统运行的机械噪声N</w:t>
            </w:r>
            <w:r>
              <w:rPr>
                <w:rFonts w:hint="eastAsia" w:ascii="Times New Roman" w:hAnsi="Times New Roman" w:eastAsia="宋体" w:cs="Times New Roman"/>
                <w:color w:val="auto"/>
                <w:sz w:val="24"/>
                <w:highlight w:val="none"/>
                <w:lang w:val="en-US" w:eastAsia="zh-CN"/>
              </w:rPr>
              <w:t>7和微生物菌剂及多元素矿物质拆袋会产生废包装袋S</w:t>
            </w:r>
            <w:r>
              <w:rPr>
                <w:rFonts w:hint="eastAsia" w:cs="Times New Roman"/>
                <w:color w:val="auto"/>
                <w:sz w:val="24"/>
                <w:highlight w:val="none"/>
                <w:lang w:val="en-US" w:eastAsia="zh-CN"/>
              </w:rPr>
              <w:t>1-4</w:t>
            </w:r>
            <w:r>
              <w:rPr>
                <w:rFonts w:hint="default" w:ascii="Times New Roman" w:hAnsi="Times New Roman" w:eastAsia="宋体" w:cs="Times New Roman"/>
                <w:color w:val="auto"/>
                <w:sz w:val="24"/>
                <w:highlight w:val="none"/>
              </w:rPr>
              <w:t>。</w:t>
            </w:r>
          </w:p>
          <w:p w14:paraId="701A8304">
            <w:pPr>
              <w:keepNext w:val="0"/>
              <w:keepLines w:val="0"/>
              <w:pageBreakBefore w:val="0"/>
              <w:widowControl w:val="0"/>
              <w:kinsoku/>
              <w:wordWrap/>
              <w:overflowPunct/>
              <w:topLinePunct w:val="0"/>
              <w:autoSpaceDE/>
              <w:autoSpaceDN/>
              <w:bidi w:val="0"/>
              <w:adjustRightInd/>
              <w:snapToGrid/>
              <w:spacing w:line="430" w:lineRule="exact"/>
              <w:ind w:firstLine="482" w:firstLineChars="200"/>
              <w:textAlignment w:val="auto"/>
              <w:rPr>
                <w:rFonts w:hint="default"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6</w:t>
            </w:r>
            <w:r>
              <w:rPr>
                <w:rFonts w:hint="eastAsia" w:ascii="Times New Roman" w:hAnsi="Times New Roman" w:eastAsia="宋体" w:cs="Times New Roman"/>
                <w:b/>
                <w:bCs/>
                <w:color w:val="auto"/>
                <w:sz w:val="24"/>
                <w:highlight w:val="none"/>
                <w:lang w:eastAsia="zh-CN"/>
              </w:rPr>
              <w:t>）</w:t>
            </w:r>
            <w:r>
              <w:rPr>
                <w:rFonts w:hint="eastAsia" w:cs="Times New Roman"/>
                <w:b/>
                <w:bCs/>
                <w:color w:val="auto"/>
                <w:sz w:val="24"/>
                <w:highlight w:val="none"/>
                <w:lang w:val="en-US" w:eastAsia="zh-CN"/>
              </w:rPr>
              <w:t>二次</w:t>
            </w:r>
            <w:r>
              <w:rPr>
                <w:rFonts w:hint="eastAsia" w:ascii="Times New Roman" w:hAnsi="Times New Roman" w:eastAsia="宋体" w:cs="Times New Roman"/>
                <w:b/>
                <w:bCs/>
                <w:color w:val="auto"/>
                <w:sz w:val="24"/>
                <w:highlight w:val="none"/>
                <w:lang w:val="en-US" w:eastAsia="zh-CN"/>
              </w:rPr>
              <w:t>混合搅拌</w:t>
            </w:r>
          </w:p>
          <w:p w14:paraId="3B7D81E7">
            <w:pPr>
              <w:keepNext w:val="0"/>
              <w:keepLines w:val="0"/>
              <w:pageBreakBefore w:val="0"/>
              <w:widowControl w:val="0"/>
              <w:kinsoku/>
              <w:wordWrap/>
              <w:overflowPunct/>
              <w:topLinePunct w:val="0"/>
              <w:autoSpaceDE/>
              <w:autoSpaceDN/>
              <w:bidi w:val="0"/>
              <w:adjustRightInd/>
              <w:snapToGrid/>
              <w:spacing w:line="430" w:lineRule="exact"/>
              <w:ind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highlight w:val="none"/>
              </w:rPr>
              <w:t>按照比例添加辅料混合后通过配料机内部搅拌机搅拌均匀。</w:t>
            </w:r>
            <w:r>
              <w:rPr>
                <w:rFonts w:hint="eastAsia" w:ascii="Times New Roman" w:hAnsi="Times New Roman" w:eastAsia="宋体" w:cs="Times New Roman"/>
                <w:color w:val="auto"/>
                <w:sz w:val="24"/>
                <w:highlight w:val="none"/>
                <w:lang w:val="en-US" w:eastAsia="zh-CN"/>
              </w:rPr>
              <w:t>此时</w:t>
            </w:r>
            <w:r>
              <w:rPr>
                <w:rFonts w:hint="default" w:ascii="Times New Roman" w:hAnsi="Times New Roman" w:eastAsia="宋体" w:cs="Times New Roman"/>
                <w:color w:val="auto"/>
                <w:sz w:val="24"/>
                <w:highlight w:val="none"/>
              </w:rPr>
              <w:t>初级</w:t>
            </w:r>
            <w:r>
              <w:rPr>
                <w:rFonts w:hint="eastAsia" w:cs="Times New Roman"/>
                <w:color w:val="auto"/>
                <w:sz w:val="24"/>
                <w:highlight w:val="none"/>
                <w:lang w:eastAsia="zh-CN"/>
              </w:rPr>
              <w:t>复合微生物肥</w:t>
            </w:r>
            <w:r>
              <w:rPr>
                <w:rFonts w:hint="default" w:ascii="Times New Roman" w:hAnsi="Times New Roman" w:eastAsia="宋体" w:cs="Times New Roman"/>
                <w:color w:val="auto"/>
                <w:sz w:val="24"/>
                <w:highlight w:val="none"/>
              </w:rPr>
              <w:t>温度保持常温22℃，</w:t>
            </w:r>
            <w:r>
              <w:rPr>
                <w:rFonts w:hint="default" w:ascii="Times New Roman" w:hAnsi="Times New Roman" w:eastAsia="宋体" w:cs="Times New Roman"/>
                <w:color w:val="auto"/>
                <w:sz w:val="24"/>
                <w:szCs w:val="24"/>
                <w:highlight w:val="none"/>
              </w:rPr>
              <w:t>含水率稳定在3</w:t>
            </w:r>
            <w:r>
              <w:rPr>
                <w:rFonts w:hint="eastAsia"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%左右。</w:t>
            </w:r>
          </w:p>
          <w:p w14:paraId="75AE041E">
            <w:pPr>
              <w:keepNext w:val="0"/>
              <w:keepLines w:val="0"/>
              <w:pageBreakBefore w:val="0"/>
              <w:widowControl w:val="0"/>
              <w:tabs>
                <w:tab w:val="center" w:pos="4310"/>
              </w:tabs>
              <w:kinsoku/>
              <w:wordWrap/>
              <w:overflowPunct/>
              <w:topLinePunct w:val="0"/>
              <w:autoSpaceDE/>
              <w:autoSpaceDN/>
              <w:bidi w:val="0"/>
              <w:adjustRightInd/>
              <w:snapToGrid/>
              <w:spacing w:line="430" w:lineRule="exact"/>
              <w:ind w:firstLine="482"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color w:val="auto"/>
                <w:sz w:val="24"/>
                <w:szCs w:val="24"/>
                <w:highlight w:val="none"/>
              </w:rPr>
              <w:t>产污节点</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该工序</w:t>
            </w:r>
            <w:r>
              <w:rPr>
                <w:rFonts w:hint="default" w:ascii="Times New Roman" w:hAnsi="Times New Roman" w:eastAsia="宋体" w:cs="Times New Roman"/>
                <w:color w:val="auto"/>
                <w:sz w:val="24"/>
                <w:szCs w:val="24"/>
                <w:highlight w:val="none"/>
              </w:rPr>
              <w:t>投料</w:t>
            </w:r>
            <w:r>
              <w:rPr>
                <w:rFonts w:hint="default" w:ascii="Times New Roman" w:hAnsi="Times New Roman" w:eastAsia="宋体" w:cs="Times New Roman"/>
                <w:color w:val="auto"/>
                <w:sz w:val="24"/>
                <w:szCs w:val="24"/>
                <w:highlight w:val="none"/>
                <w:lang w:val="en-US" w:eastAsia="zh-CN"/>
              </w:rPr>
              <w:t>产生搅拌混合废气</w:t>
            </w:r>
            <w:r>
              <w:rPr>
                <w:rFonts w:hint="default" w:ascii="Times New Roman" w:hAnsi="Times New Roman" w:eastAsia="宋体" w:cs="Times New Roman"/>
                <w:color w:val="auto"/>
                <w:sz w:val="24"/>
                <w:szCs w:val="24"/>
                <w:highlight w:val="none"/>
              </w:rPr>
              <w:t>G</w:t>
            </w:r>
            <w:r>
              <w:rPr>
                <w:rFonts w:hint="eastAsia"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rPr>
              <w:t>；设备运行的机械噪声N</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w:t>
            </w:r>
          </w:p>
          <w:p w14:paraId="69FBD310">
            <w:pPr>
              <w:keepNext w:val="0"/>
              <w:keepLines w:val="0"/>
              <w:pageBreakBefore w:val="0"/>
              <w:widowControl w:val="0"/>
              <w:numPr>
                <w:ilvl w:val="0"/>
                <w:numId w:val="0"/>
              </w:numPr>
              <w:kinsoku/>
              <w:wordWrap/>
              <w:overflowPunct/>
              <w:topLinePunct w:val="0"/>
              <w:autoSpaceDE/>
              <w:autoSpaceDN/>
              <w:bidi w:val="0"/>
              <w:adjustRightInd/>
              <w:snapToGrid/>
              <w:spacing w:line="430" w:lineRule="exact"/>
              <w:ind w:right="0" w:rightChars="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kern w:val="2"/>
                <w:sz w:val="24"/>
                <w:szCs w:val="24"/>
                <w:highlight w:val="none"/>
                <w:lang w:val="en-US" w:eastAsia="zh-CN" w:bidi="ar-SA"/>
              </w:rPr>
              <w:t>7）</w:t>
            </w:r>
            <w:r>
              <w:rPr>
                <w:rFonts w:hint="eastAsia" w:ascii="Times New Roman" w:hAnsi="Times New Roman" w:eastAsia="宋体" w:cs="Times New Roman"/>
                <w:b/>
                <w:bCs/>
                <w:color w:val="auto"/>
                <w:kern w:val="2"/>
                <w:sz w:val="24"/>
                <w:szCs w:val="24"/>
                <w:highlight w:val="none"/>
                <w:lang w:val="en-US" w:eastAsia="zh-CN" w:bidi="ar-SA"/>
              </w:rPr>
              <w:t>粉碎</w:t>
            </w:r>
          </w:p>
          <w:p w14:paraId="1ACFD6EC">
            <w:pPr>
              <w:keepNext w:val="0"/>
              <w:keepLines w:val="0"/>
              <w:pageBreakBefore w:val="0"/>
              <w:widowControl w:val="0"/>
              <w:numPr>
                <w:ilvl w:val="0"/>
                <w:numId w:val="0"/>
              </w:numPr>
              <w:kinsoku/>
              <w:wordWrap/>
              <w:overflowPunct/>
              <w:topLinePunct w:val="0"/>
              <w:autoSpaceDE/>
              <w:autoSpaceDN/>
              <w:bidi w:val="0"/>
              <w:adjustRightInd/>
              <w:snapToGrid/>
              <w:spacing w:line="430" w:lineRule="exact"/>
              <w:ind w:right="0" w:righ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比较大的物料由进料口落入到</w:t>
            </w:r>
            <w:r>
              <w:rPr>
                <w:rFonts w:hint="eastAsia" w:ascii="Times New Roman" w:hAnsi="Times New Roman" w:eastAsia="宋体" w:cs="Times New Roman"/>
                <w:color w:val="auto"/>
                <w:sz w:val="24"/>
                <w:szCs w:val="24"/>
                <w:highlight w:val="none"/>
                <w:lang w:val="en-US" w:eastAsia="zh-CN"/>
              </w:rPr>
              <w:t>粉碎</w:t>
            </w:r>
            <w:r>
              <w:rPr>
                <w:rFonts w:hint="default" w:ascii="Times New Roman" w:hAnsi="Times New Roman" w:eastAsia="宋体" w:cs="Times New Roman"/>
                <w:color w:val="auto"/>
                <w:sz w:val="24"/>
                <w:szCs w:val="24"/>
                <w:highlight w:val="none"/>
                <w:lang w:val="en-US" w:eastAsia="zh-CN"/>
              </w:rPr>
              <w:t>机以后通过重力作用穿过高层运转，使得运转速度比较高的破碎链，最终破碎链可以通过高速旋转的</w:t>
            </w:r>
            <w:r>
              <w:rPr>
                <w:rFonts w:hint="eastAsia" w:ascii="Times New Roman" w:hAnsi="Times New Roman" w:eastAsia="宋体" w:cs="Times New Roman"/>
                <w:color w:val="auto"/>
                <w:sz w:val="24"/>
                <w:szCs w:val="24"/>
                <w:highlight w:val="none"/>
                <w:lang w:val="en-US" w:eastAsia="zh-CN"/>
              </w:rPr>
              <w:t>破碎</w:t>
            </w:r>
            <w:r>
              <w:rPr>
                <w:rFonts w:hint="default" w:ascii="Times New Roman" w:hAnsi="Times New Roman" w:eastAsia="宋体" w:cs="Times New Roman"/>
                <w:color w:val="auto"/>
                <w:sz w:val="24"/>
                <w:szCs w:val="24"/>
                <w:highlight w:val="none"/>
                <w:lang w:val="en-US" w:eastAsia="zh-CN"/>
              </w:rPr>
              <w:t>击打成颗粒状的物料从物料的落入口到下一道工序。</w:t>
            </w:r>
          </w:p>
          <w:p w14:paraId="602D0040">
            <w:pPr>
              <w:keepNext w:val="0"/>
              <w:keepLines w:val="0"/>
              <w:pageBreakBefore w:val="0"/>
              <w:widowControl w:val="0"/>
              <w:numPr>
                <w:ilvl w:val="0"/>
                <w:numId w:val="0"/>
              </w:numPr>
              <w:kinsoku/>
              <w:wordWrap/>
              <w:overflowPunct/>
              <w:topLinePunct w:val="0"/>
              <w:autoSpaceDE/>
              <w:autoSpaceDN/>
              <w:bidi w:val="0"/>
              <w:adjustRightInd/>
              <w:snapToGrid/>
              <w:spacing w:line="430" w:lineRule="exact"/>
              <w:ind w:right="0" w:firstLine="482"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color w:val="auto"/>
                <w:sz w:val="24"/>
                <w:szCs w:val="24"/>
                <w:highlight w:val="none"/>
              </w:rPr>
              <w:t>产污节点</w:t>
            </w:r>
            <w:r>
              <w:rPr>
                <w:rFonts w:hint="default" w:ascii="Times New Roman" w:hAnsi="Times New Roman" w:eastAsia="宋体" w:cs="Times New Roman"/>
                <w:color w:val="auto"/>
                <w:sz w:val="24"/>
                <w:szCs w:val="24"/>
                <w:highlight w:val="none"/>
              </w:rPr>
              <w:t>：粉碎过程中产生的大量粉碎粉尘G</w:t>
            </w:r>
            <w:r>
              <w:rPr>
                <w:rFonts w:hint="eastAsia"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rPr>
              <w:t>；粉碎机运行的高噪声</w:t>
            </w:r>
            <w:r>
              <w:rPr>
                <w:rFonts w:hint="eastAsia" w:ascii="Times New Roman" w:hAnsi="Times New Roman" w:eastAsia="宋体" w:cs="Times New Roman"/>
                <w:color w:val="auto"/>
                <w:sz w:val="24"/>
                <w:szCs w:val="24"/>
                <w:highlight w:val="none"/>
                <w:lang w:val="en-US" w:eastAsia="zh-CN"/>
              </w:rPr>
              <w:t>N9</w:t>
            </w:r>
            <w:r>
              <w:rPr>
                <w:rFonts w:hint="default" w:ascii="Times New Roman" w:hAnsi="Times New Roman" w:eastAsia="宋体" w:cs="Times New Roman"/>
                <w:color w:val="auto"/>
                <w:sz w:val="24"/>
                <w:szCs w:val="24"/>
                <w:highlight w:val="none"/>
              </w:rPr>
              <w:t>。</w:t>
            </w:r>
          </w:p>
          <w:p w14:paraId="2496A41F">
            <w:pPr>
              <w:keepNext w:val="0"/>
              <w:keepLines w:val="0"/>
              <w:pageBreakBefore w:val="0"/>
              <w:widowControl w:val="0"/>
              <w:numPr>
                <w:ilvl w:val="0"/>
                <w:numId w:val="0"/>
              </w:numPr>
              <w:kinsoku/>
              <w:wordWrap/>
              <w:overflowPunct/>
              <w:topLinePunct w:val="0"/>
              <w:autoSpaceDE/>
              <w:autoSpaceDN/>
              <w:bidi w:val="0"/>
              <w:adjustRightInd/>
              <w:snapToGrid/>
              <w:spacing w:line="430" w:lineRule="exact"/>
              <w:ind w:right="0" w:rightChars="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kern w:val="2"/>
                <w:sz w:val="24"/>
                <w:szCs w:val="24"/>
                <w:highlight w:val="none"/>
                <w:lang w:val="en-US" w:eastAsia="zh-CN" w:bidi="ar-SA"/>
              </w:rPr>
              <w:t>8）</w:t>
            </w:r>
            <w:r>
              <w:rPr>
                <w:rFonts w:hint="eastAsia" w:cs="Times New Roman"/>
                <w:b/>
                <w:bCs/>
                <w:color w:val="auto"/>
                <w:kern w:val="2"/>
                <w:sz w:val="24"/>
                <w:szCs w:val="24"/>
                <w:highlight w:val="none"/>
                <w:lang w:val="en-US" w:eastAsia="zh-CN" w:bidi="ar-SA"/>
              </w:rPr>
              <w:t>二次</w:t>
            </w:r>
            <w:r>
              <w:rPr>
                <w:rFonts w:hint="default" w:ascii="Times New Roman" w:hAnsi="Times New Roman" w:eastAsia="宋体" w:cs="Times New Roman"/>
                <w:b/>
                <w:bCs/>
                <w:color w:val="auto"/>
                <w:sz w:val="24"/>
                <w:szCs w:val="24"/>
                <w:highlight w:val="none"/>
                <w:lang w:val="en-US" w:eastAsia="zh-CN"/>
              </w:rPr>
              <w:t>筛分</w:t>
            </w:r>
          </w:p>
          <w:p w14:paraId="270CBB1B">
            <w:pPr>
              <w:keepNext w:val="0"/>
              <w:keepLines w:val="0"/>
              <w:pageBreakBefore w:val="0"/>
              <w:widowControl w:val="0"/>
              <w:numPr>
                <w:ilvl w:val="0"/>
                <w:numId w:val="0"/>
              </w:numPr>
              <w:kinsoku/>
              <w:wordWrap/>
              <w:overflowPunct/>
              <w:topLinePunct w:val="0"/>
              <w:autoSpaceDE/>
              <w:autoSpaceDN/>
              <w:bidi w:val="0"/>
              <w:adjustRightInd/>
              <w:snapToGrid/>
              <w:spacing w:line="430" w:lineRule="exact"/>
              <w:ind w:right="0" w:rightChars="0" w:firstLine="480" w:firstLineChars="200"/>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粉</w:t>
            </w:r>
            <w:r>
              <w:rPr>
                <w:rFonts w:hint="default" w:ascii="Times New Roman" w:hAnsi="Times New Roman" w:eastAsia="宋体" w:cs="Times New Roman"/>
                <w:color w:val="auto"/>
                <w:sz w:val="24"/>
                <w:szCs w:val="24"/>
                <w:highlight w:val="none"/>
                <w:lang w:val="en-US" w:eastAsia="zh-CN"/>
              </w:rPr>
              <w:t>碎后的生物</w:t>
            </w:r>
            <w:r>
              <w:rPr>
                <w:rFonts w:hint="eastAsia" w:cs="Times New Roman"/>
                <w:color w:val="auto"/>
                <w:sz w:val="24"/>
                <w:szCs w:val="24"/>
                <w:highlight w:val="none"/>
                <w:lang w:val="en-US" w:eastAsia="zh-CN"/>
              </w:rPr>
              <w:t>复合微生物肥</w:t>
            </w:r>
            <w:r>
              <w:rPr>
                <w:rFonts w:hint="default" w:ascii="Times New Roman" w:hAnsi="Times New Roman" w:eastAsia="宋体" w:cs="Times New Roman"/>
                <w:color w:val="auto"/>
                <w:sz w:val="24"/>
                <w:szCs w:val="24"/>
                <w:highlight w:val="none"/>
                <w:lang w:val="en-US" w:eastAsia="zh-CN"/>
              </w:rPr>
              <w:t>通过传送带连接输送至筛分设备，</w:t>
            </w:r>
            <w:r>
              <w:rPr>
                <w:rFonts w:hint="default" w:ascii="Times New Roman" w:hAnsi="Times New Roman" w:eastAsia="宋体" w:cs="Times New Roman"/>
                <w:color w:val="auto"/>
                <w:sz w:val="24"/>
                <w:szCs w:val="24"/>
                <w:highlight w:val="none"/>
              </w:rPr>
              <w:t>通过孔径≤1mm的筛网分离合格细粉（进入成品环节）与粗粉（返回粉碎工段），保证成品粒度均匀。</w:t>
            </w:r>
            <w:r>
              <w:rPr>
                <w:rFonts w:hint="default" w:ascii="Times New Roman" w:hAnsi="Times New Roman" w:eastAsia="宋体" w:cs="Times New Roman"/>
                <w:color w:val="auto"/>
                <w:sz w:val="24"/>
                <w:szCs w:val="24"/>
                <w:highlight w:val="none"/>
                <w:lang w:val="en-US" w:eastAsia="zh-CN"/>
              </w:rPr>
              <w:t>通</w:t>
            </w:r>
            <w:r>
              <w:rPr>
                <w:rFonts w:hint="eastAsia" w:cs="Times New Roman"/>
                <w:color w:val="auto"/>
                <w:sz w:val="24"/>
                <w:szCs w:val="24"/>
                <w:highlight w:val="none"/>
                <w:lang w:val="en-US" w:eastAsia="zh-CN"/>
              </w:rPr>
              <w:t>此时，复合微生物肥</w:t>
            </w:r>
            <w:r>
              <w:rPr>
                <w:rFonts w:hint="default" w:ascii="Times New Roman" w:hAnsi="Times New Roman" w:eastAsia="宋体" w:cs="Times New Roman"/>
                <w:color w:val="auto"/>
                <w:sz w:val="24"/>
                <w:szCs w:val="24"/>
                <w:highlight w:val="none"/>
                <w:lang w:val="en-US" w:eastAsia="zh-CN"/>
              </w:rPr>
              <w:t>温度保持常温22℃，含水率稳定在30%及以下。</w:t>
            </w:r>
          </w:p>
          <w:p w14:paraId="17448F52">
            <w:pPr>
              <w:keepNext w:val="0"/>
              <w:keepLines w:val="0"/>
              <w:pageBreakBefore w:val="0"/>
              <w:widowControl w:val="0"/>
              <w:kinsoku/>
              <w:wordWrap/>
              <w:overflowPunct/>
              <w:topLinePunct w:val="0"/>
              <w:autoSpaceDE/>
              <w:autoSpaceDN/>
              <w:bidi w:val="0"/>
              <w:adjustRightInd/>
              <w:snapToGrid/>
              <w:spacing w:line="430" w:lineRule="exact"/>
              <w:ind w:right="0"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z w:val="24"/>
                <w:szCs w:val="24"/>
                <w:highlight w:val="none"/>
              </w:rPr>
              <w:t>产污节点</w:t>
            </w:r>
            <w:r>
              <w:rPr>
                <w:rFonts w:hint="default" w:ascii="Times New Roman" w:hAnsi="Times New Roman" w:eastAsia="宋体" w:cs="Times New Roman"/>
                <w:color w:val="auto"/>
                <w:sz w:val="24"/>
                <w:szCs w:val="24"/>
                <w:highlight w:val="none"/>
              </w:rPr>
              <w:t>：物料翻动产生的筛分粉尘G</w:t>
            </w:r>
            <w:r>
              <w:rPr>
                <w:rFonts w:hint="eastAsia" w:ascii="Times New Roman" w:hAnsi="Times New Roman" w:eastAsia="宋体" w:cs="Times New Roman"/>
                <w:color w:val="auto"/>
                <w:sz w:val="24"/>
                <w:szCs w:val="24"/>
                <w:highlight w:val="none"/>
                <w:lang w:val="en-US" w:eastAsia="zh-CN"/>
              </w:rPr>
              <w:t>11</w:t>
            </w:r>
            <w:r>
              <w:rPr>
                <w:rFonts w:hint="default" w:ascii="Times New Roman" w:hAnsi="Times New Roman" w:eastAsia="宋体" w:cs="Times New Roman"/>
                <w:color w:val="auto"/>
                <w:sz w:val="24"/>
                <w:szCs w:val="24"/>
                <w:highlight w:val="none"/>
              </w:rPr>
              <w:t>；筛分机运行的机械噪声N</w:t>
            </w:r>
            <w:r>
              <w:rPr>
                <w:rFonts w:hint="eastAsia"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rPr>
              <w:t>；筛分出的筛上物（固废，回粉碎工段）S</w:t>
            </w:r>
            <w:r>
              <w:rPr>
                <w:rFonts w:hint="eastAsia" w:cs="Times New Roman"/>
                <w:color w:val="auto"/>
                <w:sz w:val="24"/>
                <w:szCs w:val="24"/>
                <w:highlight w:val="none"/>
                <w:lang w:val="en-US" w:eastAsia="zh-CN"/>
              </w:rPr>
              <w:t>2-3</w:t>
            </w:r>
            <w:r>
              <w:rPr>
                <w:rFonts w:hint="default" w:ascii="Times New Roman" w:hAnsi="Times New Roman" w:eastAsia="宋体" w:cs="Times New Roman"/>
                <w:color w:val="auto"/>
                <w:sz w:val="24"/>
                <w:szCs w:val="24"/>
                <w:highlight w:val="none"/>
              </w:rPr>
              <w:t>。</w:t>
            </w:r>
          </w:p>
          <w:p w14:paraId="2B81B6DB">
            <w:pPr>
              <w:keepNext w:val="0"/>
              <w:keepLines w:val="0"/>
              <w:pageBreakBefore w:val="0"/>
              <w:widowControl w:val="0"/>
              <w:numPr>
                <w:ilvl w:val="0"/>
                <w:numId w:val="0"/>
              </w:numPr>
              <w:kinsoku/>
              <w:wordWrap/>
              <w:overflowPunct/>
              <w:topLinePunct w:val="0"/>
              <w:autoSpaceDE/>
              <w:autoSpaceDN/>
              <w:bidi w:val="0"/>
              <w:adjustRightInd/>
              <w:snapToGrid/>
              <w:spacing w:line="430" w:lineRule="exact"/>
              <w:ind w:firstLine="482" w:firstLineChars="200"/>
              <w:jc w:val="both"/>
              <w:textAlignment w:val="auto"/>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kern w:val="2"/>
                <w:sz w:val="24"/>
                <w:szCs w:val="24"/>
                <w:highlight w:val="none"/>
                <w:lang w:val="en-US" w:eastAsia="zh-CN" w:bidi="ar-SA"/>
              </w:rPr>
              <w:t>9</w:t>
            </w:r>
            <w:r>
              <w:rPr>
                <w:rFonts w:hint="default" w:ascii="Times New Roman" w:hAnsi="Times New Roman" w:eastAsia="宋体" w:cs="Times New Roman"/>
                <w:b/>
                <w:bCs/>
                <w:color w:val="auto"/>
                <w:kern w:val="2"/>
                <w:sz w:val="24"/>
                <w:szCs w:val="24"/>
                <w:highlight w:val="none"/>
                <w:lang w:val="en-US" w:eastAsia="zh-CN" w:bidi="ar-SA"/>
              </w:rPr>
              <w:t>）</w:t>
            </w:r>
            <w:r>
              <w:rPr>
                <w:rFonts w:hint="default" w:ascii="Times New Roman" w:hAnsi="Times New Roman" w:eastAsia="宋体" w:cs="Times New Roman"/>
                <w:b/>
                <w:bCs/>
                <w:color w:val="auto"/>
                <w:sz w:val="24"/>
                <w:szCs w:val="24"/>
                <w:highlight w:val="none"/>
              </w:rPr>
              <w:t>质量检验</w:t>
            </w:r>
          </w:p>
          <w:p w14:paraId="6F936F79">
            <w:pPr>
              <w:keepNext w:val="0"/>
              <w:keepLines w:val="0"/>
              <w:pageBreakBefore w:val="0"/>
              <w:widowControl w:val="0"/>
              <w:numPr>
                <w:ilvl w:val="0"/>
                <w:numId w:val="0"/>
              </w:numPr>
              <w:kinsoku/>
              <w:wordWrap/>
              <w:overflowPunct/>
              <w:topLinePunct w:val="0"/>
              <w:autoSpaceDE/>
              <w:autoSpaceDN/>
              <w:bidi w:val="0"/>
              <w:adjustRightInd/>
              <w:snapToGrid/>
              <w:spacing w:line="43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对成品</w:t>
            </w:r>
            <w:r>
              <w:rPr>
                <w:rFonts w:hint="default" w:ascii="Times New Roman" w:hAnsi="Times New Roman" w:eastAsia="宋体" w:cs="Times New Roman"/>
                <w:color w:val="auto"/>
                <w:sz w:val="24"/>
                <w:szCs w:val="24"/>
                <w:highlight w:val="none"/>
                <w:lang w:val="en-US" w:eastAsia="zh-CN"/>
              </w:rPr>
              <w:t>委托有资单位进行</w:t>
            </w:r>
            <w:r>
              <w:rPr>
                <w:rFonts w:hint="default" w:ascii="Times New Roman" w:hAnsi="Times New Roman" w:eastAsia="宋体" w:cs="Times New Roman"/>
                <w:color w:val="auto"/>
                <w:sz w:val="24"/>
                <w:szCs w:val="24"/>
                <w:highlight w:val="none"/>
              </w:rPr>
              <w:t>质量检验。若检验不合格，则返回重新生产。若检验合格，则进入下一工序。</w:t>
            </w:r>
          </w:p>
          <w:p w14:paraId="368CBF10">
            <w:pPr>
              <w:keepNext w:val="0"/>
              <w:keepLines w:val="0"/>
              <w:pageBreakBefore w:val="0"/>
              <w:widowControl w:val="0"/>
              <w:numPr>
                <w:ilvl w:val="0"/>
                <w:numId w:val="0"/>
              </w:numPr>
              <w:kinsoku/>
              <w:wordWrap/>
              <w:overflowPunct/>
              <w:topLinePunct w:val="0"/>
              <w:autoSpaceDE/>
              <w:autoSpaceDN/>
              <w:bidi w:val="0"/>
              <w:adjustRightInd/>
              <w:snapToGrid/>
              <w:spacing w:line="430" w:lineRule="exact"/>
              <w:ind w:firstLine="482"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z w:val="24"/>
                <w:szCs w:val="24"/>
                <w:highlight w:val="none"/>
              </w:rPr>
              <w:t>产污节点</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该工序会产生不合格产品</w:t>
            </w:r>
            <w:r>
              <w:rPr>
                <w:rFonts w:hint="default" w:ascii="Times New Roman" w:hAnsi="Times New Roman" w:eastAsia="宋体" w:cs="Times New Roman"/>
                <w:color w:val="auto"/>
                <w:sz w:val="24"/>
                <w:szCs w:val="24"/>
                <w:highlight w:val="none"/>
              </w:rPr>
              <w:t>S</w:t>
            </w:r>
            <w:r>
              <w:rPr>
                <w:rFonts w:hint="eastAsia" w:cs="Times New Roman"/>
                <w:color w:val="auto"/>
                <w:sz w:val="24"/>
                <w:szCs w:val="24"/>
                <w:highlight w:val="none"/>
                <w:lang w:val="en-US" w:eastAsia="zh-CN"/>
              </w:rPr>
              <w:t>2-4</w:t>
            </w:r>
            <w:r>
              <w:rPr>
                <w:rFonts w:hint="default" w:ascii="Times New Roman" w:hAnsi="Times New Roman" w:eastAsia="宋体" w:cs="Times New Roman"/>
                <w:color w:val="auto"/>
                <w:sz w:val="24"/>
                <w:szCs w:val="24"/>
                <w:highlight w:val="none"/>
              </w:rPr>
              <w:t>。</w:t>
            </w:r>
          </w:p>
          <w:p w14:paraId="00CA6641">
            <w:pPr>
              <w:keepNext w:val="0"/>
              <w:keepLines w:val="0"/>
              <w:pageBreakBefore w:val="0"/>
              <w:widowControl w:val="0"/>
              <w:numPr>
                <w:ilvl w:val="0"/>
                <w:numId w:val="0"/>
              </w:numPr>
              <w:kinsoku/>
              <w:wordWrap/>
              <w:overflowPunct/>
              <w:topLinePunct w:val="0"/>
              <w:autoSpaceDE/>
              <w:autoSpaceDN/>
              <w:bidi w:val="0"/>
              <w:adjustRightInd/>
              <w:snapToGrid/>
              <w:spacing w:line="430" w:lineRule="exact"/>
              <w:ind w:right="0" w:rightChars="0" w:firstLine="482" w:firstLineChars="200"/>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kern w:val="2"/>
                <w:sz w:val="24"/>
                <w:szCs w:val="24"/>
                <w:highlight w:val="none"/>
                <w:lang w:val="en-US" w:eastAsia="zh-CN" w:bidi="ar-SA"/>
              </w:rPr>
              <w:t>10）</w:t>
            </w:r>
            <w:r>
              <w:rPr>
                <w:rFonts w:hint="default" w:ascii="Times New Roman" w:hAnsi="Times New Roman" w:eastAsia="宋体" w:cs="Times New Roman"/>
                <w:b/>
                <w:bCs/>
                <w:color w:val="auto"/>
                <w:sz w:val="24"/>
                <w:szCs w:val="24"/>
                <w:highlight w:val="none"/>
              </w:rPr>
              <w:t>包装</w:t>
            </w:r>
            <w:r>
              <w:rPr>
                <w:rFonts w:hint="eastAsia" w:ascii="Times New Roman" w:hAnsi="Times New Roman" w:eastAsia="宋体" w:cs="Times New Roman"/>
                <w:b/>
                <w:bCs/>
                <w:color w:val="auto"/>
                <w:sz w:val="24"/>
                <w:szCs w:val="24"/>
                <w:highlight w:val="none"/>
                <w:lang w:val="en-US" w:eastAsia="zh-CN"/>
              </w:rPr>
              <w:t>外售</w:t>
            </w:r>
          </w:p>
          <w:p w14:paraId="21B1C5DA">
            <w:pPr>
              <w:keepNext w:val="0"/>
              <w:keepLines w:val="0"/>
              <w:pageBreakBefore w:val="0"/>
              <w:widowControl w:val="0"/>
              <w:numPr>
                <w:ilvl w:val="0"/>
                <w:numId w:val="0"/>
              </w:numPr>
              <w:kinsoku/>
              <w:wordWrap/>
              <w:overflowPunct/>
              <w:topLinePunct w:val="0"/>
              <w:autoSpaceDE/>
              <w:autoSpaceDN/>
              <w:bidi w:val="0"/>
              <w:adjustRightInd/>
              <w:snapToGrid/>
              <w:spacing w:line="430" w:lineRule="exact"/>
              <w:ind w:right="0" w:righ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合格产品通过自动包装机计量包装</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在</w:t>
            </w:r>
            <w:r>
              <w:rPr>
                <w:rFonts w:hint="default" w:ascii="Times New Roman" w:hAnsi="Times New Roman" w:eastAsia="宋体" w:cs="Times New Roman"/>
                <w:color w:val="auto"/>
                <w:sz w:val="24"/>
                <w:szCs w:val="24"/>
                <w:highlight w:val="none"/>
              </w:rPr>
              <w:t>进行封装、贴标签</w:t>
            </w:r>
            <w:r>
              <w:rPr>
                <w:rFonts w:hint="eastAsia" w:ascii="Times New Roman" w:hAnsi="Times New Roman" w:eastAsia="宋体" w:cs="Times New Roman"/>
                <w:color w:val="auto"/>
                <w:sz w:val="24"/>
                <w:szCs w:val="24"/>
                <w:highlight w:val="none"/>
                <w:lang w:val="en-US" w:eastAsia="zh-CN"/>
              </w:rPr>
              <w:t>后暂存成品库，外售</w:t>
            </w:r>
            <w:r>
              <w:rPr>
                <w:rFonts w:hint="default" w:ascii="Times New Roman" w:hAnsi="Times New Roman" w:eastAsia="宋体" w:cs="Times New Roman"/>
                <w:color w:val="auto"/>
                <w:sz w:val="24"/>
                <w:szCs w:val="24"/>
                <w:highlight w:val="none"/>
              </w:rPr>
              <w:t>。</w:t>
            </w:r>
          </w:p>
          <w:p w14:paraId="1248211F">
            <w:pPr>
              <w:keepNext w:val="0"/>
              <w:keepLines w:val="0"/>
              <w:pageBreakBefore w:val="0"/>
              <w:widowControl w:val="0"/>
              <w:kinsoku/>
              <w:wordWrap/>
              <w:overflowPunct/>
              <w:topLinePunct w:val="0"/>
              <w:autoSpaceDE/>
              <w:autoSpaceDN/>
              <w:bidi w:val="0"/>
              <w:adjustRightInd/>
              <w:snapToGrid/>
              <w:spacing w:line="430" w:lineRule="exact"/>
              <w:ind w:right="0"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z w:val="24"/>
                <w:szCs w:val="24"/>
                <w:highlight w:val="none"/>
              </w:rPr>
              <w:t>产污节点</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该工序会产生</w:t>
            </w:r>
            <w:r>
              <w:rPr>
                <w:rFonts w:hint="default" w:ascii="Times New Roman" w:hAnsi="Times New Roman" w:eastAsia="宋体" w:cs="Times New Roman"/>
                <w:color w:val="auto"/>
                <w:sz w:val="24"/>
                <w:szCs w:val="24"/>
                <w:highlight w:val="none"/>
              </w:rPr>
              <w:t>包装粉尘G</w:t>
            </w:r>
            <w:r>
              <w:rPr>
                <w:rFonts w:hint="eastAsia" w:ascii="Times New Roman" w:hAnsi="Times New Roman" w:eastAsia="宋体" w:cs="Times New Roman"/>
                <w:color w:val="auto"/>
                <w:sz w:val="24"/>
                <w:szCs w:val="24"/>
                <w:highlight w:val="none"/>
                <w:lang w:val="en-US" w:eastAsia="zh-CN"/>
              </w:rPr>
              <w:t>12</w:t>
            </w:r>
            <w:r>
              <w:rPr>
                <w:rFonts w:hint="default" w:ascii="Times New Roman" w:hAnsi="Times New Roman" w:eastAsia="宋体" w:cs="Times New Roman"/>
                <w:color w:val="auto"/>
                <w:sz w:val="24"/>
                <w:szCs w:val="24"/>
                <w:highlight w:val="none"/>
              </w:rPr>
              <w:t>、包装材料边角料（编织袋、塑料袋）S</w:t>
            </w:r>
            <w:r>
              <w:rPr>
                <w:rFonts w:hint="eastAsia" w:cs="Times New Roman"/>
                <w:color w:val="auto"/>
                <w:sz w:val="24"/>
                <w:szCs w:val="24"/>
                <w:highlight w:val="none"/>
                <w:lang w:val="en-US" w:eastAsia="zh-CN"/>
              </w:rPr>
              <w:t>1-5</w:t>
            </w:r>
            <w:r>
              <w:rPr>
                <w:rFonts w:hint="default" w:ascii="Times New Roman" w:hAnsi="Times New Roman" w:eastAsia="宋体" w:cs="Times New Roman"/>
                <w:color w:val="auto"/>
                <w:sz w:val="24"/>
                <w:szCs w:val="24"/>
                <w:highlight w:val="none"/>
              </w:rPr>
              <w:t>；包装机运行的机械噪声N</w:t>
            </w:r>
            <w:r>
              <w:rPr>
                <w:rFonts w:hint="eastAsia" w:ascii="Times New Roman" w:hAnsi="Times New Roman" w:eastAsia="宋体" w:cs="Times New Roman"/>
                <w:color w:val="auto"/>
                <w:sz w:val="24"/>
                <w:szCs w:val="24"/>
                <w:highlight w:val="none"/>
                <w:lang w:val="en-US" w:eastAsia="zh-CN"/>
              </w:rPr>
              <w:t>11</w:t>
            </w:r>
            <w:r>
              <w:rPr>
                <w:rFonts w:hint="default" w:ascii="Times New Roman" w:hAnsi="Times New Roman" w:eastAsia="宋体" w:cs="Times New Roman"/>
                <w:color w:val="auto"/>
                <w:sz w:val="24"/>
                <w:szCs w:val="24"/>
                <w:highlight w:val="none"/>
              </w:rPr>
              <w:t>。</w:t>
            </w:r>
          </w:p>
          <w:p w14:paraId="0133D50C">
            <w:pPr>
              <w:keepNext w:val="0"/>
              <w:keepLines w:val="0"/>
              <w:pageBreakBefore w:val="0"/>
              <w:widowControl w:val="0"/>
              <w:kinsoku/>
              <w:wordWrap/>
              <w:overflowPunct/>
              <w:topLinePunct w:val="0"/>
              <w:autoSpaceDE/>
              <w:autoSpaceDN/>
              <w:bidi w:val="0"/>
              <w:adjustRightInd/>
              <w:snapToGrid/>
              <w:spacing w:line="430" w:lineRule="exact"/>
              <w:ind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工艺流程详见图2-7。</w:t>
            </w:r>
          </w:p>
          <w:p w14:paraId="722A959C">
            <w:pPr>
              <w:pStyle w:val="6"/>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Times New Roman" w:hAnsi="Times New Roman" w:eastAsia="黑体" w:cs="Times New Roman"/>
                <w:color w:val="auto"/>
                <w:kern w:val="0"/>
                <w:szCs w:val="21"/>
                <w:highlight w:val="none"/>
              </w:rPr>
            </w:pPr>
            <w:r>
              <w:rPr>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2269490</wp:posOffset>
                      </wp:positionH>
                      <wp:positionV relativeFrom="paragraph">
                        <wp:posOffset>7479665</wp:posOffset>
                      </wp:positionV>
                      <wp:extent cx="869315" cy="327660"/>
                      <wp:effectExtent l="6350" t="6350" r="8255" b="16510"/>
                      <wp:wrapNone/>
                      <wp:docPr id="128" name="矩形 128"/>
                      <wp:cNvGraphicFramePr/>
                      <a:graphic xmlns:a="http://schemas.openxmlformats.org/drawingml/2006/main">
                        <a:graphicData uri="http://schemas.microsoft.com/office/word/2010/wordprocessingShape">
                          <wps:wsp>
                            <wps:cNvSpPr/>
                            <wps:spPr>
                              <a:xfrm>
                                <a:off x="0" y="0"/>
                                <a:ext cx="869315" cy="32766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ED95A5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包装外售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8.7pt;margin-top:588.95pt;height:25.8pt;width:68.45pt;z-index:251663360;v-text-anchor:middle;mso-width-relative:page;mso-height-relative:page;" filled="f" stroked="t" coordsize="21600,21600" o:gfxdata="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UyMgwtsAAAANAQAADwAAAAAAAAABACAAAAAiAAAAZHJzL2Rvd25yZXYueG1sUEsB&#10;AhQAFAAAAAgAh07iQF7eutNkAgAAwgQAAA4AAAAAAAAAAQAgAAAAKgEAAGRycy9lMm9Eb2MueG1s&#10;UEsFBgAAAAAGAAYAWQEAAAAGAAAAAA==&#10;">
                      <v:fill on="f" focussize="0,0"/>
                      <v:stroke weight="1pt" color="#000000 [3213]" joinstyle="round"/>
                      <v:imagedata o:title=""/>
                      <o:lock v:ext="edit" aspectratio="f"/>
                      <v:textbox>
                        <w:txbxContent>
                          <w:p w14:paraId="4ED95A55">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包装外售</w:t>
                            </w:r>
                          </w:p>
                        </w:txbxContent>
                      </v:textbox>
                    </v:rect>
                  </w:pict>
                </mc:Fallback>
              </mc:AlternateContent>
            </w:r>
            <w:r>
              <w:rPr>
                <w:color w:val="auto"/>
                <w:highlight w:val="none"/>
              </w:rPr>
              <mc:AlternateContent>
                <mc:Choice Requires="wpg">
                  <w:drawing>
                    <wp:anchor distT="0" distB="0" distL="114300" distR="114300" simplePos="0" relativeHeight="251663360" behindDoc="0" locked="0" layoutInCell="1" allowOverlap="1">
                      <wp:simplePos x="0" y="0"/>
                      <wp:positionH relativeFrom="column">
                        <wp:posOffset>2101850</wp:posOffset>
                      </wp:positionH>
                      <wp:positionV relativeFrom="paragraph">
                        <wp:posOffset>6751320</wp:posOffset>
                      </wp:positionV>
                      <wp:extent cx="1151255" cy="728345"/>
                      <wp:effectExtent l="6350" t="6350" r="15875" b="12065"/>
                      <wp:wrapNone/>
                      <wp:docPr id="129" name="组合 129"/>
                      <wp:cNvGraphicFramePr/>
                      <a:graphic xmlns:a="http://schemas.openxmlformats.org/drawingml/2006/main">
                        <a:graphicData uri="http://schemas.microsoft.com/office/word/2010/wordprocessingGroup">
                          <wpg:wgp>
                            <wpg:cNvGrpSpPr/>
                            <wpg:grpSpPr>
                              <a:xfrm>
                                <a:off x="0" y="0"/>
                                <a:ext cx="1151255" cy="728345"/>
                                <a:chOff x="3355" y="163"/>
                                <a:chExt cx="1813" cy="1147"/>
                              </a:xfrm>
                            </wpg:grpSpPr>
                            <wps:wsp>
                              <wps:cNvPr id="130" name="矩形 16"/>
                              <wps:cNvSpPr/>
                              <wps:spPr>
                                <a:xfrm>
                                  <a:off x="3355" y="163"/>
                                  <a:ext cx="1813" cy="516"/>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3CB5427">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质量检测（外委）</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31" name="直接箭头连接符 20"/>
                              <wps:cNvCnPr/>
                              <wps:spPr>
                                <a:xfrm>
                                  <a:off x="4279" y="667"/>
                                  <a:ext cx="5" cy="643"/>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165.5pt;margin-top:531.6pt;height:57.35pt;width:90.65pt;z-index:251663360;mso-width-relative:page;mso-height-relative:page;" coordorigin="3355,163" coordsize="1813,1147" o:gfxdata="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&#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">
                      <o:lock v:ext="edit" aspectratio="f"/>
                      <v:rect id="矩形 16" o:spid="_x0000_s1026" o:spt="1" style="position:absolute;left:3355;top:163;height:516;width:1813;v-text-anchor:middle;" filled="f" stroked="t" coordsize="21600,21600" o:gfxdata="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CWQq/&#10;AAAA3AAAAA8AAAAAAAAAAQAgAAAAIgAAAGRycy9kb3ducmV2LnhtbFBLAQIUABQAAAAIAIdO4kAz&#10;LwWeOwAAADkAAAAQAAAAAAAAAAEAIAAAAA4BAABkcnMvc2hhcGV4bWwueG1sUEsFBgAAAAAGAAYA&#10;WwEAALgDAAAAAA==&#10;">
                        <v:fill on="f" focussize="0,0"/>
                        <v:stroke weight="1pt" color="#000000 [3213]" joinstyle="round"/>
                        <v:imagedata o:title=""/>
                        <o:lock v:ext="edit" aspectratio="f"/>
                        <v:textbox>
                          <w:txbxContent>
                            <w:p w14:paraId="33CB5427">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质量检测（外委）</w:t>
                              </w:r>
                            </w:p>
                          </w:txbxContent>
                        </v:textbox>
                      </v:rect>
                      <v:shape id="直接箭头连接符 20" o:spid="_x0000_s1026" o:spt="32" type="#_x0000_t32" style="position:absolute;left:4279;top:667;height:643;width:5;" filled="f" stroked="t" coordsize="21600,21600" o:gfxdata="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LdXsHugAAANwA&#10;AAAPAAAAAAAAAAEAIAAAACIAAABkcnMvZG93bnJldi54bWxQSwECFAAUAAAACACHTuJAMy8FnjsA&#10;AAA5AAAAEAAAAAAAAAABACAAAAAJAQAAZHJzL3NoYXBleG1sLnhtbFBLBQYAAAAABgAGAFsBAACz&#10;AwAAAAA=&#10;">
                        <v:fill on="f" focussize="0,0"/>
                        <v:stroke weight="1pt" color="#000000 [3213]" joinstyle="round" endarrow="classic" endarrowlength="long"/>
                        <v:imagedata o:title=""/>
                        <o:lock v:ext="edit" aspectratio="f"/>
                      </v:shape>
                    </v:group>
                  </w:pict>
                </mc:Fallback>
              </mc:AlternateContent>
            </w:r>
            <w:r>
              <w:rPr>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2185670</wp:posOffset>
                      </wp:positionH>
                      <wp:positionV relativeFrom="paragraph">
                        <wp:posOffset>7040880</wp:posOffset>
                      </wp:positionV>
                      <wp:extent cx="838200" cy="327660"/>
                      <wp:effectExtent l="0" t="0" r="0" b="0"/>
                      <wp:wrapNone/>
                      <wp:docPr id="132" name="矩形 132"/>
                      <wp:cNvGraphicFramePr/>
                      <a:graphic xmlns:a="http://schemas.openxmlformats.org/drawingml/2006/main">
                        <a:graphicData uri="http://schemas.microsoft.com/office/word/2010/wordprocessingShape">
                          <wps:wsp>
                            <wps:cNvSpPr/>
                            <wps:spPr>
                              <a:xfrm>
                                <a:off x="0" y="0"/>
                                <a:ext cx="838200" cy="32766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BE92484">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合格品</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2.1pt;margin-top:554.4pt;height:25.8pt;width:66pt;z-index:251663360;v-text-anchor:middle;mso-width-relative:page;mso-height-relative:page;" filled="f" stroked="f" coordsize="21600,21600" o:gfxdata="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N/Nt8LYAAAADQEA&#10;AA8AAAAAAAAAAQAgAAAAIgAAAGRycy9kb3ducmV2LnhtbFBLAQIUABQAAAAIAIdO4kBk/LBoUwIA&#10;AJkEAAAOAAAAAAAAAAEAIAAAACcBAABkcnMvZTJvRG9jLnhtbFBLBQYAAAAABgAGAFkBAADsBQAA&#10;AAA=&#10;">
                      <v:fill on="f" focussize="0,0"/>
                      <v:stroke on="f" weight="1pt"/>
                      <v:imagedata o:title=""/>
                      <o:lock v:ext="edit" aspectratio="f"/>
                      <v:textbox>
                        <w:txbxContent>
                          <w:p w14:paraId="0BE92484">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合格品</w:t>
                            </w:r>
                          </w:p>
                        </w:txbxContent>
                      </v:textbox>
                    </v:rect>
                  </w:pict>
                </mc:Fallback>
              </mc:AlternateContent>
            </w:r>
            <w:r>
              <w:rPr>
                <w:color w:val="auto"/>
                <w:sz w:val="24"/>
                <w:highlight w:val="none"/>
              </w:rPr>
              <mc:AlternateContent>
                <mc:Choice Requires="wpc">
                  <w:drawing>
                    <wp:inline distT="0" distB="0" distL="114300" distR="114300">
                      <wp:extent cx="5564505" cy="7911465"/>
                      <wp:effectExtent l="0" t="0" r="0" b="0"/>
                      <wp:docPr id="73" name="画布 73"/>
                      <wp:cNvGraphicFramePr/>
                      <a:graphic xmlns:a="http://schemas.openxmlformats.org/drawingml/2006/main">
                        <a:graphicData uri="http://schemas.microsoft.com/office/word/2010/wordprocessingCanvas">
                          <wpc:wpc>
                            <wpc:bg/>
                            <wpc:whole/>
                            <wps:wsp>
                              <wps:cNvPr id="21" name="矩形 13"/>
                              <wps:cNvSpPr/>
                              <wps:spPr>
                                <a:xfrm>
                                  <a:off x="1071245" y="172085"/>
                                  <a:ext cx="1699895" cy="32766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FAADB5B">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现有项目产生的果蔬渣</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0" name="直接箭头连接符 14"/>
                              <wps:cNvCnPr>
                                <a:stCxn id="13" idx="2"/>
                              </wps:cNvCnPr>
                              <wps:spPr>
                                <a:xfrm>
                                  <a:off x="1921510" y="415925"/>
                                  <a:ext cx="3175" cy="408305"/>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45" name="矩形 15"/>
                              <wps:cNvSpPr/>
                              <wps:spPr>
                                <a:xfrm>
                                  <a:off x="1612265" y="835025"/>
                                  <a:ext cx="2066925" cy="32766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CA9A8D9">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一次</w:t>
                                    </w:r>
                                    <w:r>
                                      <w:rPr>
                                        <w:rFonts w:hint="eastAsia" w:eastAsia="宋体"/>
                                        <w:color w:val="000000" w:themeColor="text1"/>
                                        <w:lang w:val="en-US" w:eastAsia="zh-CN"/>
                                        <w14:textFill>
                                          <w14:solidFill>
                                            <w14:schemeClr w14:val="tx1"/>
                                          </w14:solidFill>
                                        </w14:textFill>
                                      </w:rPr>
                                      <w:t>混合搅拌</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4" name="直接箭头连接符 20"/>
                              <wps:cNvCnPr/>
                              <wps:spPr>
                                <a:xfrm>
                                  <a:off x="3380105" y="431165"/>
                                  <a:ext cx="3175" cy="408305"/>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g:cNvPr id="78" name="组合 22"/>
                              <wpg:cNvGrpSpPr/>
                              <wpg:grpSpPr>
                                <a:xfrm>
                                  <a:off x="2115185" y="1574165"/>
                                  <a:ext cx="998855" cy="728345"/>
                                  <a:chOff x="3487" y="163"/>
                                  <a:chExt cx="1573" cy="1147"/>
                                </a:xfrm>
                              </wpg:grpSpPr>
                              <wps:wsp>
                                <wps:cNvPr id="84" name="矩形 16"/>
                                <wps:cNvSpPr/>
                                <wps:spPr>
                                  <a:xfrm>
                                    <a:off x="3487" y="163"/>
                                    <a:ext cx="1573" cy="516"/>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976B1F1">
                                      <w:pPr>
                                        <w:jc w:val="cente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一次扑粉</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5" name="直接箭头连接符 20"/>
                                <wps:cNvCnPr/>
                                <wps:spPr>
                                  <a:xfrm>
                                    <a:off x="4279" y="667"/>
                                    <a:ext cx="5" cy="643"/>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s:wsp>
                              <wps:cNvPr id="95" name="矩形 25"/>
                              <wps:cNvSpPr/>
                              <wps:spPr>
                                <a:xfrm>
                                  <a:off x="2755265" y="12700"/>
                                  <a:ext cx="1264920" cy="479425"/>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25D1E78">
                                    <w:pPr>
                                      <w:jc w:val="both"/>
                                      <w:rPr>
                                        <w:rFonts w:hint="default" w:eastAsia="宋体"/>
                                        <w:color w:val="000000" w:themeColor="text1"/>
                                        <w:lang w:val="en-US" w:eastAsia="zh-CN"/>
                                        <w14:textFill>
                                          <w14:solidFill>
                                            <w14:schemeClr w14:val="tx1"/>
                                          </w14:solidFill>
                                        </w14:textFill>
                                      </w:rPr>
                                    </w:pPr>
                                    <w:r>
                                      <w:rPr>
                                        <w:rFonts w:hint="default" w:eastAsia="宋体"/>
                                        <w:color w:val="000000" w:themeColor="text1"/>
                                        <w:lang w:val="en-US" w:eastAsia="zh-CN"/>
                                        <w14:textFill>
                                          <w14:solidFill>
                                            <w14:schemeClr w14:val="tx1"/>
                                          </w14:solidFill>
                                        </w14:textFill>
                                      </w:rPr>
                                      <w:t>甘蔗叶子、玉米秸秆、菊花渣、椰糠</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0" name="直接箭头连接符 28"/>
                              <wps:cNvCnPr/>
                              <wps:spPr>
                                <a:xfrm>
                                  <a:off x="2633345" y="1162685"/>
                                  <a:ext cx="3175" cy="408305"/>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g:cNvPr id="101" name="组合 29"/>
                              <wpg:cNvGrpSpPr/>
                              <wpg:grpSpPr>
                                <a:xfrm>
                                  <a:off x="2191385" y="2305685"/>
                                  <a:ext cx="868680" cy="727710"/>
                                  <a:chOff x="3583" y="163"/>
                                  <a:chExt cx="1368" cy="1146"/>
                                </a:xfrm>
                              </wpg:grpSpPr>
                              <wps:wsp>
                                <wps:cNvPr id="103" name="矩形 16"/>
                                <wps:cNvSpPr/>
                                <wps:spPr>
                                  <a:xfrm>
                                    <a:off x="3583" y="163"/>
                                    <a:ext cx="1369" cy="516"/>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38E4CE5">
                                      <w:pPr>
                                        <w:jc w:val="center"/>
                                        <w:rPr>
                                          <w:rFonts w:hint="default"/>
                                          <w:lang w:val="en-US" w:eastAsia="zh-CN"/>
                                        </w:rPr>
                                      </w:pPr>
                                      <w:r>
                                        <w:rPr>
                                          <w:rFonts w:hint="eastAsia" w:eastAsia="宋体"/>
                                          <w:color w:val="000000" w:themeColor="text1"/>
                                          <w:lang w:val="en-US" w:eastAsia="zh-CN"/>
                                          <w14:textFill>
                                            <w14:solidFill>
                                              <w14:schemeClr w14:val="tx1"/>
                                            </w14:solidFill>
                                          </w14:textFill>
                                        </w:rPr>
                                        <w:t>翻堆发酵</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7" name="直接箭头连接符 20"/>
                                <wps:cNvCnPr/>
                                <wps:spPr>
                                  <a:xfrm>
                                    <a:off x="4279" y="667"/>
                                    <a:ext cx="5" cy="643"/>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s:wsp>
                              <wps:cNvPr id="109" name="矩形 32"/>
                              <wps:cNvSpPr/>
                              <wps:spPr>
                                <a:xfrm>
                                  <a:off x="255905" y="2047240"/>
                                  <a:ext cx="1295400" cy="845185"/>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78AC970">
                                    <w:pPr>
                                      <w:jc w:val="both"/>
                                      <w:rPr>
                                        <w:rFonts w:hint="default" w:eastAsia="宋体"/>
                                        <w:color w:val="000000" w:themeColor="text1"/>
                                        <w:lang w:val="en-US"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0" name="直接箭头连接符 33"/>
                              <wps:cNvCnPr/>
                              <wps:spPr>
                                <a:xfrm>
                                  <a:off x="1170305" y="3943985"/>
                                  <a:ext cx="725170" cy="6350"/>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g:cNvPr id="111" name="组合 34"/>
                              <wpg:cNvGrpSpPr/>
                              <wpg:grpSpPr>
                                <a:xfrm>
                                  <a:off x="2107565" y="3044825"/>
                                  <a:ext cx="1021080" cy="728345"/>
                                  <a:chOff x="3439" y="163"/>
                                  <a:chExt cx="1680" cy="1147"/>
                                </a:xfrm>
                              </wpg:grpSpPr>
                              <wps:wsp>
                                <wps:cNvPr id="112" name="矩形 16"/>
                                <wps:cNvSpPr/>
                                <wps:spPr>
                                  <a:xfrm>
                                    <a:off x="3439" y="163"/>
                                    <a:ext cx="1680" cy="516"/>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4C5CC18">
                                      <w:pPr>
                                        <w:jc w:val="center"/>
                                        <w:rPr>
                                          <w:rFonts w:hint="default"/>
                                          <w:lang w:val="en-US" w:eastAsia="zh-CN"/>
                                        </w:rPr>
                                      </w:pPr>
                                      <w:r>
                                        <w:rPr>
                                          <w:rFonts w:hint="eastAsia"/>
                                          <w:color w:val="000000" w:themeColor="text1"/>
                                          <w:lang w:val="en-US" w:eastAsia="zh-CN"/>
                                          <w14:textFill>
                                            <w14:solidFill>
                                              <w14:schemeClr w14:val="tx1"/>
                                            </w14:solidFill>
                                          </w14:textFill>
                                        </w:rPr>
                                        <w:t>一次</w:t>
                                      </w:r>
                                      <w:r>
                                        <w:rPr>
                                          <w:rFonts w:hint="eastAsia" w:eastAsia="宋体"/>
                                          <w:color w:val="000000" w:themeColor="text1"/>
                                          <w:lang w:val="en-US" w:eastAsia="zh-CN"/>
                                          <w14:textFill>
                                            <w14:solidFill>
                                              <w14:schemeClr w14:val="tx1"/>
                                            </w14:solidFill>
                                          </w14:textFill>
                                        </w:rPr>
                                        <w:t>筛分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6" name="直接箭头连接符 20"/>
                                <wps:cNvCnPr/>
                                <wps:spPr>
                                  <a:xfrm>
                                    <a:off x="4279" y="667"/>
                                    <a:ext cx="5" cy="643"/>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s:wsp>
                              <wps:cNvPr id="117" name="矩形 38"/>
                              <wps:cNvSpPr/>
                              <wps:spPr>
                                <a:xfrm>
                                  <a:off x="317500" y="3547745"/>
                                  <a:ext cx="957580" cy="761365"/>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CBB793D">
                                    <w:pPr>
                                      <w:jc w:val="both"/>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多元素矿物、</w:t>
                                    </w:r>
                                  </w:p>
                                  <w:p w14:paraId="235ACD42">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微生物菌剂、草木灰</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cNvPr id="118" name="组合 39"/>
                              <wpg:cNvGrpSpPr/>
                              <wpg:grpSpPr>
                                <a:xfrm>
                                  <a:off x="1917065" y="3776345"/>
                                  <a:ext cx="1348105" cy="735965"/>
                                  <a:chOff x="3151" y="163"/>
                                  <a:chExt cx="2123" cy="1159"/>
                                </a:xfrm>
                              </wpg:grpSpPr>
                              <wps:wsp>
                                <wps:cNvPr id="160" name="矩形 16"/>
                                <wps:cNvSpPr/>
                                <wps:spPr>
                                  <a:xfrm>
                                    <a:off x="3151" y="163"/>
                                    <a:ext cx="2123" cy="516"/>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833877A">
                                      <w:pPr>
                                        <w:jc w:val="center"/>
                                        <w:rPr>
                                          <w:rFonts w:hint="default"/>
                                          <w:lang w:val="en-US" w:eastAsia="zh-CN"/>
                                        </w:rPr>
                                      </w:pPr>
                                      <w:r>
                                        <w:rPr>
                                          <w:rFonts w:hint="eastAsia"/>
                                          <w:color w:val="000000" w:themeColor="text1"/>
                                          <w:lang w:val="en-US" w:eastAsia="zh-CN"/>
                                          <w14:textFill>
                                            <w14:solidFill>
                                              <w14:schemeClr w14:val="tx1"/>
                                            </w14:solidFill>
                                          </w14:textFill>
                                        </w:rPr>
                                        <w:t>二次扑粉、菌种添加</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61" name="直接箭头连接符 20"/>
                                <wps:cNvCnPr/>
                                <wps:spPr>
                                  <a:xfrm>
                                    <a:off x="4279" y="679"/>
                                    <a:ext cx="5" cy="643"/>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s:wsp>
                              <wps:cNvPr id="164" name="矩形 56"/>
                              <wps:cNvSpPr/>
                              <wps:spPr>
                                <a:xfrm>
                                  <a:off x="3555365" y="6169025"/>
                                  <a:ext cx="533400" cy="73914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D69C05A">
                                    <w:pPr>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不</w:t>
                                    </w:r>
                                  </w:p>
                                  <w:p w14:paraId="51F9C305">
                                    <w:pPr>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合</w:t>
                                    </w:r>
                                  </w:p>
                                  <w:p w14:paraId="31B83E87">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格</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cNvPr id="165" name="组合 61"/>
                              <wpg:cNvGrpSpPr/>
                              <wpg:grpSpPr>
                                <a:xfrm>
                                  <a:off x="3679190" y="644525"/>
                                  <a:ext cx="1301115" cy="353695"/>
                                  <a:chOff x="5794" y="1015"/>
                                  <a:chExt cx="2049" cy="557"/>
                                </a:xfrm>
                              </wpg:grpSpPr>
                              <wps:wsp>
                                <wps:cNvPr id="176" name="曲线连接符 58"/>
                                <wps:cNvCnPr>
                                  <a:stCxn id="15" idx="3"/>
                                </wps:cNvCnPr>
                                <wps:spPr>
                                  <a:xfrm flipV="1">
                                    <a:off x="5794" y="1268"/>
                                    <a:ext cx="486" cy="305"/>
                                  </a:xfrm>
                                  <a:prstGeom prst="curvedConnector3">
                                    <a:avLst>
                                      <a:gd name="adj1" fmla="val 50000"/>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177" name="矩形 59"/>
                                <wps:cNvSpPr/>
                                <wps:spPr>
                                  <a:xfrm>
                                    <a:off x="6163" y="1015"/>
                                    <a:ext cx="1680" cy="516"/>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63EBFD44">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G4、N3</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s:wsp>
                              <wps:cNvPr id="178" name="曲线连接符 58"/>
                              <wps:cNvCnPr>
                                <a:stCxn id="15" idx="3"/>
                              </wps:cNvCnPr>
                              <wps:spPr>
                                <a:xfrm flipV="1">
                                  <a:off x="2732405" y="1369060"/>
                                  <a:ext cx="308610" cy="193675"/>
                                </a:xfrm>
                                <a:prstGeom prst="curvedConnector3">
                                  <a:avLst>
                                    <a:gd name="adj1" fmla="val 50000"/>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g:cNvPr id="179" name="组合 68"/>
                              <wpg:cNvGrpSpPr/>
                              <wpg:grpSpPr>
                                <a:xfrm>
                                  <a:off x="2648585" y="4126865"/>
                                  <a:ext cx="1301115" cy="353695"/>
                                  <a:chOff x="5794" y="1015"/>
                                  <a:chExt cx="2049" cy="557"/>
                                </a:xfrm>
                              </wpg:grpSpPr>
                              <wps:wsp>
                                <wps:cNvPr id="209" name="曲线连接符 58"/>
                                <wps:cNvCnPr>
                                  <a:stCxn id="15" idx="3"/>
                                </wps:cNvCnPr>
                                <wps:spPr>
                                  <a:xfrm flipV="1">
                                    <a:off x="5794" y="1268"/>
                                    <a:ext cx="486" cy="305"/>
                                  </a:xfrm>
                                  <a:prstGeom prst="curvedConnector3">
                                    <a:avLst>
                                      <a:gd name="adj1" fmla="val 50000"/>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274" name="矩形 59"/>
                                <wps:cNvSpPr/>
                                <wps:spPr>
                                  <a:xfrm>
                                    <a:off x="6163" y="1015"/>
                                    <a:ext cx="1680" cy="516"/>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AE6B760">
                                      <w:pPr>
                                        <w:jc w:val="both"/>
                                        <w:rPr>
                                          <w:rFonts w:hint="default" w:eastAsia="宋体"/>
                                          <w:color w:val="000000" w:themeColor="text1"/>
                                          <w:lang w:val="en-US" w:eastAsia="zh-CN"/>
                                          <w14:textFill>
                                            <w14:solidFill>
                                              <w14:schemeClr w14:val="tx1"/>
                                            </w14:solidFill>
                                          </w14:textFill>
                                        </w:rPr>
                                      </w:pPr>
                                      <w:r>
                                        <w:rPr>
                                          <w:rFonts w:hint="default" w:eastAsia="宋体"/>
                                          <w:color w:val="000000" w:themeColor="text1"/>
                                          <w:lang w:val="en-US" w:eastAsia="zh-CN"/>
                                          <w14:textFill>
                                            <w14:solidFill>
                                              <w14:schemeClr w14:val="tx1"/>
                                            </w14:solidFill>
                                          </w14:textFill>
                                        </w:rPr>
                                        <w:t>G</w:t>
                                      </w:r>
                                      <w:r>
                                        <w:rPr>
                                          <w:rFonts w:hint="eastAsia" w:eastAsia="宋体"/>
                                          <w:color w:val="000000" w:themeColor="text1"/>
                                          <w:lang w:val="en-US" w:eastAsia="zh-CN"/>
                                          <w14:textFill>
                                            <w14:solidFill>
                                              <w14:schemeClr w14:val="tx1"/>
                                            </w14:solidFill>
                                          </w14:textFill>
                                        </w:rPr>
                                        <w:t>9</w:t>
                                      </w:r>
                                      <w:r>
                                        <w:rPr>
                                          <w:rFonts w:hint="default" w:eastAsia="宋体"/>
                                          <w:color w:val="000000" w:themeColor="text1"/>
                                          <w:lang w:val="en-US" w:eastAsia="zh-CN"/>
                                          <w14:textFill>
                                            <w14:solidFill>
                                              <w14:schemeClr w14:val="tx1"/>
                                            </w14:solidFill>
                                          </w14:textFill>
                                        </w:rPr>
                                        <w:t>、N</w:t>
                                      </w:r>
                                      <w:r>
                                        <w:rPr>
                                          <w:rFonts w:hint="eastAsia" w:eastAsia="宋体"/>
                                          <w:color w:val="000000" w:themeColor="text1"/>
                                          <w:lang w:val="en-US" w:eastAsia="zh-CN"/>
                                          <w14:textFill>
                                            <w14:solidFill>
                                              <w14:schemeClr w14:val="tx1"/>
                                            </w14:solidFill>
                                          </w14:textFill>
                                        </w:rPr>
                                        <w:t>8</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wgp>
                              <wpg:cNvPr id="275" name="组合 34"/>
                              <wpg:cNvGrpSpPr/>
                              <wpg:grpSpPr>
                                <a:xfrm>
                                  <a:off x="2070100" y="4507865"/>
                                  <a:ext cx="1112520" cy="728345"/>
                                  <a:chOff x="3368" y="163"/>
                                  <a:chExt cx="1752" cy="1147"/>
                                </a:xfrm>
                              </wpg:grpSpPr>
                              <wps:wsp>
                                <wps:cNvPr id="276" name="矩形 16"/>
                                <wps:cNvSpPr/>
                                <wps:spPr>
                                  <a:xfrm>
                                    <a:off x="3368" y="163"/>
                                    <a:ext cx="1752" cy="516"/>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644D452">
                                      <w:pPr>
                                        <w:jc w:val="center"/>
                                        <w:rPr>
                                          <w:rFonts w:hint="default"/>
                                          <w:lang w:val="en-US" w:eastAsia="zh-CN"/>
                                        </w:rPr>
                                      </w:pPr>
                                      <w:r>
                                        <w:rPr>
                                          <w:rFonts w:hint="eastAsia"/>
                                          <w:color w:val="000000" w:themeColor="text1"/>
                                          <w:lang w:val="en-US" w:eastAsia="zh-CN"/>
                                          <w14:textFill>
                                            <w14:solidFill>
                                              <w14:schemeClr w14:val="tx1"/>
                                            </w14:solidFill>
                                          </w14:textFill>
                                        </w:rPr>
                                        <w:t>二次</w:t>
                                      </w:r>
                                      <w:r>
                                        <w:rPr>
                                          <w:rFonts w:hint="eastAsia" w:eastAsia="宋体"/>
                                          <w:color w:val="000000" w:themeColor="text1"/>
                                          <w:lang w:val="en-US" w:eastAsia="zh-CN"/>
                                          <w14:textFill>
                                            <w14:solidFill>
                                              <w14:schemeClr w14:val="tx1"/>
                                            </w14:solidFill>
                                          </w14:textFill>
                                        </w:rPr>
                                        <w:t>混合搅拌</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77" name="直接箭头连接符 20"/>
                                <wps:cNvCnPr/>
                                <wps:spPr>
                                  <a:xfrm>
                                    <a:off x="4279" y="667"/>
                                    <a:ext cx="5" cy="643"/>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g:wgp>
                              <wpg:cNvPr id="278" name="组合 34"/>
                              <wpg:cNvGrpSpPr/>
                              <wpg:grpSpPr>
                                <a:xfrm>
                                  <a:off x="2229485" y="5231765"/>
                                  <a:ext cx="868680" cy="727710"/>
                                  <a:chOff x="3583" y="163"/>
                                  <a:chExt cx="1368" cy="1146"/>
                                </a:xfrm>
                              </wpg:grpSpPr>
                              <wps:wsp>
                                <wps:cNvPr id="282" name="矩形 16"/>
                                <wps:cNvSpPr/>
                                <wps:spPr>
                                  <a:xfrm>
                                    <a:off x="3583" y="163"/>
                                    <a:ext cx="1369" cy="516"/>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309AADA">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粉碎</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83" name="直接箭头连接符 20"/>
                                <wps:cNvCnPr/>
                                <wps:spPr>
                                  <a:xfrm>
                                    <a:off x="4279" y="667"/>
                                    <a:ext cx="5" cy="643"/>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g:wgp>
                              <wpg:cNvPr id="284" name="组合 34"/>
                              <wpg:cNvGrpSpPr/>
                              <wpg:grpSpPr>
                                <a:xfrm>
                                  <a:off x="2229485" y="5948045"/>
                                  <a:ext cx="868680" cy="727710"/>
                                  <a:chOff x="3583" y="163"/>
                                  <a:chExt cx="1368" cy="1146"/>
                                </a:xfrm>
                              </wpg:grpSpPr>
                              <wps:wsp>
                                <wps:cNvPr id="285" name="矩形 16"/>
                                <wps:cNvSpPr/>
                                <wps:spPr>
                                  <a:xfrm>
                                    <a:off x="3583" y="163"/>
                                    <a:ext cx="1369" cy="516"/>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788E586">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二次</w:t>
                                      </w:r>
                                      <w:r>
                                        <w:rPr>
                                          <w:rFonts w:hint="eastAsia" w:eastAsia="宋体"/>
                                          <w:color w:val="000000" w:themeColor="text1"/>
                                          <w:lang w:val="en-US" w:eastAsia="zh-CN"/>
                                          <w14:textFill>
                                            <w14:solidFill>
                                              <w14:schemeClr w14:val="tx1"/>
                                            </w14:solidFill>
                                          </w14:textFill>
                                        </w:rPr>
                                        <w:t>筛分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86" name="直接箭头连接符 20"/>
                                <wps:cNvCnPr/>
                                <wps:spPr>
                                  <a:xfrm>
                                    <a:off x="4279" y="667"/>
                                    <a:ext cx="5" cy="643"/>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g:wgp>
                            <wps:wsp>
                              <wps:cNvPr id="287" name="直接箭头连接符 33"/>
                              <wps:cNvCnPr/>
                              <wps:spPr>
                                <a:xfrm>
                                  <a:off x="1398905" y="1726565"/>
                                  <a:ext cx="725170" cy="6350"/>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288" name="矩形 38"/>
                              <wps:cNvSpPr/>
                              <wps:spPr>
                                <a:xfrm>
                                  <a:off x="1475105" y="1345565"/>
                                  <a:ext cx="957580" cy="593725"/>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11A82AB">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草木灰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89" name="直接连接符 135"/>
                              <wps:cNvCnPr/>
                              <wps:spPr>
                                <a:xfrm flipH="1">
                                  <a:off x="3610610" y="1179195"/>
                                  <a:ext cx="8255" cy="5655310"/>
                                </a:xfrm>
                                <a:prstGeom prst="line">
                                  <a:avLst/>
                                </a:prstGeom>
                                <a:ln w="12700">
                                  <a:solidFill>
                                    <a:schemeClr val="tx1"/>
                                  </a:solidFill>
                                  <a:headEnd type="stealth" w="med" len="lg"/>
                                  <a:tailEnd type="none"/>
                                </a:ln>
                              </wps:spPr>
                              <wps:style>
                                <a:lnRef idx="2">
                                  <a:schemeClr val="accent1"/>
                                </a:lnRef>
                                <a:fillRef idx="0">
                                  <a:srgbClr val="FFFFFF"/>
                                </a:fillRef>
                                <a:effectRef idx="0">
                                  <a:srgbClr val="FFFFFF"/>
                                </a:effectRef>
                                <a:fontRef idx="minor">
                                  <a:schemeClr val="tx1"/>
                                </a:fontRef>
                              </wps:style>
                              <wps:bodyPr/>
                            </wps:wsp>
                            <wps:wsp>
                              <wps:cNvPr id="290" name="直接箭头连接符 33"/>
                              <wps:cNvCnPr/>
                              <wps:spPr>
                                <a:xfrm>
                                  <a:off x="3273425" y="6839585"/>
                                  <a:ext cx="356235" cy="4445"/>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291" name="直接箭头连接符 33"/>
                              <wps:cNvCnPr/>
                              <wps:spPr>
                                <a:xfrm>
                                  <a:off x="3128645" y="3197225"/>
                                  <a:ext cx="531495" cy="4445"/>
                                </a:xfrm>
                                <a:prstGeom prst="straightConnector1">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292" name="直接箭头连接符 33"/>
                              <wps:cNvCnPr/>
                              <wps:spPr>
                                <a:xfrm>
                                  <a:off x="1703705" y="6115685"/>
                                  <a:ext cx="531495" cy="4445"/>
                                </a:xfrm>
                                <a:prstGeom prst="straightConnector1">
                                  <a:avLst/>
                                </a:prstGeom>
                                <a:ln w="12700">
                                  <a:solidFill>
                                    <a:schemeClr val="tx1"/>
                                  </a:solidFill>
                                  <a:headEnd type="stealth" w="med" len="lg"/>
                                  <a:tailEnd type="none" w="med" len="lg"/>
                                </a:ln>
                              </wps:spPr>
                              <wps:style>
                                <a:lnRef idx="2">
                                  <a:schemeClr val="accent1"/>
                                </a:lnRef>
                                <a:fillRef idx="0">
                                  <a:srgbClr val="FFFFFF"/>
                                </a:fillRef>
                                <a:effectRef idx="0">
                                  <a:srgbClr val="FFFFFF"/>
                                </a:effectRef>
                                <a:fontRef idx="minor">
                                  <a:schemeClr val="tx1"/>
                                </a:fontRef>
                              </wps:style>
                              <wps:bodyPr/>
                            </wps:wsp>
                            <wps:wsp>
                              <wps:cNvPr id="293" name="矩形 38"/>
                              <wps:cNvSpPr/>
                              <wps:spPr>
                                <a:xfrm>
                                  <a:off x="3067685" y="2816225"/>
                                  <a:ext cx="957580" cy="593725"/>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98F7C2C">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筛上物</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94" name="矩形 38"/>
                              <wps:cNvSpPr/>
                              <wps:spPr>
                                <a:xfrm>
                                  <a:off x="1703705" y="5711825"/>
                                  <a:ext cx="957580" cy="593725"/>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D3F6951">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筛上物</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cNvPr id="295" name="组合 68"/>
                              <wpg:cNvGrpSpPr/>
                              <wpg:grpSpPr>
                                <a:xfrm>
                                  <a:off x="2663825" y="4873625"/>
                                  <a:ext cx="1301115" cy="353695"/>
                                  <a:chOff x="5794" y="1015"/>
                                  <a:chExt cx="2049" cy="557"/>
                                </a:xfrm>
                              </wpg:grpSpPr>
                              <wps:wsp>
                                <wps:cNvPr id="296" name="曲线连接符 58"/>
                                <wps:cNvCnPr>
                                  <a:stCxn id="15" idx="3"/>
                                </wps:cNvCnPr>
                                <wps:spPr>
                                  <a:xfrm flipV="1">
                                    <a:off x="5794" y="1268"/>
                                    <a:ext cx="486" cy="305"/>
                                  </a:xfrm>
                                  <a:prstGeom prst="curvedConnector3">
                                    <a:avLst>
                                      <a:gd name="adj1" fmla="val 50000"/>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297" name="矩形 59"/>
                                <wps:cNvSpPr/>
                                <wps:spPr>
                                  <a:xfrm>
                                    <a:off x="6163" y="1015"/>
                                    <a:ext cx="1680" cy="516"/>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E59ED2C">
                                      <w:pPr>
                                        <w:jc w:val="both"/>
                                        <w:rPr>
                                          <w:rFonts w:hint="default" w:eastAsia="宋体"/>
                                          <w:color w:val="000000" w:themeColor="text1"/>
                                          <w:lang w:val="en-US" w:eastAsia="zh-CN"/>
                                          <w14:textFill>
                                            <w14:solidFill>
                                              <w14:schemeClr w14:val="tx1"/>
                                            </w14:solidFill>
                                          </w14:textFill>
                                        </w:rPr>
                                      </w:pPr>
                                      <w:r>
                                        <w:rPr>
                                          <w:rFonts w:hint="default" w:eastAsia="宋体"/>
                                          <w:color w:val="000000" w:themeColor="text1"/>
                                          <w:lang w:val="en-US" w:eastAsia="zh-CN"/>
                                          <w14:textFill>
                                            <w14:solidFill>
                                              <w14:schemeClr w14:val="tx1"/>
                                            </w14:solidFill>
                                          </w14:textFill>
                                        </w:rPr>
                                        <w:t>G</w:t>
                                      </w:r>
                                      <w:r>
                                        <w:rPr>
                                          <w:rFonts w:hint="eastAsia" w:eastAsia="宋体"/>
                                          <w:color w:val="000000" w:themeColor="text1"/>
                                          <w:lang w:val="en-US" w:eastAsia="zh-CN"/>
                                          <w14:textFill>
                                            <w14:solidFill>
                                              <w14:schemeClr w14:val="tx1"/>
                                            </w14:solidFill>
                                          </w14:textFill>
                                        </w:rPr>
                                        <w:t>10</w:t>
                                      </w:r>
                                      <w:r>
                                        <w:rPr>
                                          <w:rFonts w:hint="default" w:eastAsia="宋体"/>
                                          <w:color w:val="000000" w:themeColor="text1"/>
                                          <w:lang w:val="en-US" w:eastAsia="zh-CN"/>
                                          <w14:textFill>
                                            <w14:solidFill>
                                              <w14:schemeClr w14:val="tx1"/>
                                            </w14:solidFill>
                                          </w14:textFill>
                                        </w:rPr>
                                        <w:t>、N</w:t>
                                      </w:r>
                                      <w:r>
                                        <w:rPr>
                                          <w:rFonts w:hint="eastAsia" w:eastAsia="宋体"/>
                                          <w:color w:val="000000" w:themeColor="text1"/>
                                          <w:lang w:val="en-US" w:eastAsia="zh-CN"/>
                                          <w14:textFill>
                                            <w14:solidFill>
                                              <w14:schemeClr w14:val="tx1"/>
                                            </w14:solidFill>
                                          </w14:textFill>
                                        </w:rPr>
                                        <w:t>9</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wgp>
                              <wpg:cNvPr id="298" name="组合 68"/>
                              <wpg:cNvGrpSpPr/>
                              <wpg:grpSpPr>
                                <a:xfrm>
                                  <a:off x="2648585" y="5605145"/>
                                  <a:ext cx="1301115" cy="353695"/>
                                  <a:chOff x="5794" y="1015"/>
                                  <a:chExt cx="2049" cy="557"/>
                                </a:xfrm>
                              </wpg:grpSpPr>
                              <wps:wsp>
                                <wps:cNvPr id="299" name="曲线连接符 58"/>
                                <wps:cNvCnPr>
                                  <a:stCxn id="15" idx="3"/>
                                </wps:cNvCnPr>
                                <wps:spPr>
                                  <a:xfrm flipV="1">
                                    <a:off x="5794" y="1268"/>
                                    <a:ext cx="486" cy="305"/>
                                  </a:xfrm>
                                  <a:prstGeom prst="curvedConnector3">
                                    <a:avLst>
                                      <a:gd name="adj1" fmla="val 50000"/>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300" name="矩形 59"/>
                                <wps:cNvSpPr/>
                                <wps:spPr>
                                  <a:xfrm>
                                    <a:off x="6163" y="1015"/>
                                    <a:ext cx="1680" cy="516"/>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390C4F2">
                                      <w:pPr>
                                        <w:jc w:val="both"/>
                                        <w:rPr>
                                          <w:rFonts w:hint="default" w:eastAsia="宋体"/>
                                          <w:color w:val="000000" w:themeColor="text1"/>
                                          <w:lang w:val="en-US" w:eastAsia="zh-CN"/>
                                          <w14:textFill>
                                            <w14:solidFill>
                                              <w14:schemeClr w14:val="tx1"/>
                                            </w14:solidFill>
                                          </w14:textFill>
                                        </w:rPr>
                                      </w:pPr>
                                      <w:r>
                                        <w:rPr>
                                          <w:rFonts w:hint="default" w:eastAsia="宋体"/>
                                          <w:color w:val="000000" w:themeColor="text1"/>
                                          <w:lang w:val="en-US" w:eastAsia="zh-CN"/>
                                          <w14:textFill>
                                            <w14:solidFill>
                                              <w14:schemeClr w14:val="tx1"/>
                                            </w14:solidFill>
                                          </w14:textFill>
                                        </w:rPr>
                                        <w:t>G</w:t>
                                      </w:r>
                                      <w:r>
                                        <w:rPr>
                                          <w:rFonts w:hint="eastAsia" w:eastAsia="宋体"/>
                                          <w:color w:val="000000" w:themeColor="text1"/>
                                          <w:lang w:val="en-US" w:eastAsia="zh-CN"/>
                                          <w14:textFill>
                                            <w14:solidFill>
                                              <w14:schemeClr w14:val="tx1"/>
                                            </w14:solidFill>
                                          </w14:textFill>
                                        </w:rPr>
                                        <w:t>11</w:t>
                                      </w:r>
                                      <w:r>
                                        <w:rPr>
                                          <w:rFonts w:hint="default" w:eastAsia="宋体"/>
                                          <w:color w:val="000000" w:themeColor="text1"/>
                                          <w:lang w:val="en-US" w:eastAsia="zh-CN"/>
                                          <w14:textFill>
                                            <w14:solidFill>
                                              <w14:schemeClr w14:val="tx1"/>
                                            </w14:solidFill>
                                          </w14:textFill>
                                        </w:rPr>
                                        <w:t>、N</w:t>
                                      </w:r>
                                      <w:r>
                                        <w:rPr>
                                          <w:rFonts w:hint="eastAsia" w:eastAsia="宋体"/>
                                          <w:color w:val="000000" w:themeColor="text1"/>
                                          <w:lang w:val="en-US" w:eastAsia="zh-CN"/>
                                          <w14:textFill>
                                            <w14:solidFill>
                                              <w14:schemeClr w14:val="tx1"/>
                                            </w14:solidFill>
                                          </w14:textFill>
                                        </w:rPr>
                                        <w:t>10、S</w:t>
                                      </w:r>
                                      <w:r>
                                        <w:rPr>
                                          <w:rFonts w:hint="eastAsia"/>
                                          <w:color w:val="000000" w:themeColor="text1"/>
                                          <w:lang w:val="en-US" w:eastAsia="zh-CN"/>
                                          <w14:textFill>
                                            <w14:solidFill>
                                              <w14:schemeClr w14:val="tx1"/>
                                            </w14:solidFill>
                                          </w14:textFill>
                                        </w:rPr>
                                        <w:t>2-3</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wgp>
                              <wpg:cNvPr id="301" name="组合 68"/>
                              <wpg:cNvGrpSpPr/>
                              <wpg:grpSpPr>
                                <a:xfrm>
                                  <a:off x="2717165" y="7037705"/>
                                  <a:ext cx="1301115" cy="353695"/>
                                  <a:chOff x="5794" y="1015"/>
                                  <a:chExt cx="2049" cy="557"/>
                                </a:xfrm>
                              </wpg:grpSpPr>
                              <wps:wsp>
                                <wps:cNvPr id="302" name="曲线连接符 58"/>
                                <wps:cNvCnPr>
                                  <a:stCxn id="15" idx="3"/>
                                </wps:cNvCnPr>
                                <wps:spPr>
                                  <a:xfrm flipV="1">
                                    <a:off x="5794" y="1268"/>
                                    <a:ext cx="486" cy="305"/>
                                  </a:xfrm>
                                  <a:prstGeom prst="curvedConnector3">
                                    <a:avLst>
                                      <a:gd name="adj1" fmla="val 50000"/>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303" name="矩形 59"/>
                                <wps:cNvSpPr/>
                                <wps:spPr>
                                  <a:xfrm>
                                    <a:off x="6163" y="1015"/>
                                    <a:ext cx="1680" cy="516"/>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705781D">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G12、S</w:t>
                                      </w:r>
                                      <w:r>
                                        <w:rPr>
                                          <w:rFonts w:hint="eastAsia"/>
                                          <w:color w:val="000000" w:themeColor="text1"/>
                                          <w:lang w:val="en-US" w:eastAsia="zh-CN"/>
                                          <w14:textFill>
                                            <w14:solidFill>
                                              <w14:schemeClr w14:val="tx1"/>
                                            </w14:solidFill>
                                          </w14:textFill>
                                        </w:rPr>
                                        <w:t>1-5</w:t>
                                      </w:r>
                                      <w:r>
                                        <w:rPr>
                                          <w:rFonts w:hint="eastAsia" w:eastAsia="宋体"/>
                                          <w:color w:val="000000" w:themeColor="text1"/>
                                          <w:lang w:val="en-US" w:eastAsia="zh-CN"/>
                                          <w14:textFill>
                                            <w14:solidFill>
                                              <w14:schemeClr w14:val="tx1"/>
                                            </w14:solidFill>
                                          </w14:textFill>
                                        </w:rPr>
                                        <w:t>、N11</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s:wsp>
                              <wps:cNvPr id="304" name="矩形 59"/>
                              <wps:cNvSpPr/>
                              <wps:spPr>
                                <a:xfrm>
                                  <a:off x="2938145" y="1208405"/>
                                  <a:ext cx="1066800" cy="32766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6657DFB">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G5、N4</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cNvPr id="305" name="组合 61"/>
                              <wpg:cNvGrpSpPr/>
                              <wpg:grpSpPr>
                                <a:xfrm>
                                  <a:off x="2610485" y="1947545"/>
                                  <a:ext cx="1301115" cy="353695"/>
                                  <a:chOff x="5794" y="1015"/>
                                  <a:chExt cx="2049" cy="557"/>
                                </a:xfrm>
                              </wpg:grpSpPr>
                              <wps:wsp>
                                <wps:cNvPr id="306" name="曲线连接符 58"/>
                                <wps:cNvCnPr>
                                  <a:stCxn id="15" idx="3"/>
                                </wps:cNvCnPr>
                                <wps:spPr>
                                  <a:xfrm flipV="1">
                                    <a:off x="5794" y="1268"/>
                                    <a:ext cx="486" cy="305"/>
                                  </a:xfrm>
                                  <a:prstGeom prst="curvedConnector3">
                                    <a:avLst>
                                      <a:gd name="adj1" fmla="val 50000"/>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307" name="矩形 59"/>
                                <wps:cNvSpPr/>
                                <wps:spPr>
                                  <a:xfrm>
                                    <a:off x="6163" y="1015"/>
                                    <a:ext cx="1680" cy="516"/>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664281F1">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G6、N5、S3</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wgp>
                              <wpg:cNvPr id="308" name="组合 61"/>
                              <wpg:cNvGrpSpPr/>
                              <wpg:grpSpPr>
                                <a:xfrm>
                                  <a:off x="2724785" y="2618105"/>
                                  <a:ext cx="1095375" cy="415290"/>
                                  <a:chOff x="6106" y="895"/>
                                  <a:chExt cx="1725" cy="654"/>
                                </a:xfrm>
                              </wpg:grpSpPr>
                              <wps:wsp>
                                <wps:cNvPr id="309" name="曲线连接符 58"/>
                                <wps:cNvCnPr>
                                  <a:stCxn id="15" idx="3"/>
                                </wps:cNvCnPr>
                                <wps:spPr>
                                  <a:xfrm flipV="1">
                                    <a:off x="6106" y="1244"/>
                                    <a:ext cx="486" cy="305"/>
                                  </a:xfrm>
                                  <a:prstGeom prst="curvedConnector3">
                                    <a:avLst>
                                      <a:gd name="adj1" fmla="val 50000"/>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310" name="矩形 59"/>
                                <wps:cNvSpPr/>
                                <wps:spPr>
                                  <a:xfrm>
                                    <a:off x="6151" y="895"/>
                                    <a:ext cx="1680" cy="516"/>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76876C32">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G7、N6、S2-2</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wgp>
                              <wpg:cNvPr id="311" name="组合 61"/>
                              <wpg:cNvGrpSpPr/>
                              <wpg:grpSpPr>
                                <a:xfrm>
                                  <a:off x="2618105" y="3402965"/>
                                  <a:ext cx="1301115" cy="353695"/>
                                  <a:chOff x="5794" y="1015"/>
                                  <a:chExt cx="2049" cy="557"/>
                                </a:xfrm>
                              </wpg:grpSpPr>
                              <wps:wsp>
                                <wps:cNvPr id="312" name="曲线连接符 58"/>
                                <wps:cNvCnPr>
                                  <a:stCxn id="15" idx="3"/>
                                </wps:cNvCnPr>
                                <wps:spPr>
                                  <a:xfrm flipV="1">
                                    <a:off x="5794" y="1268"/>
                                    <a:ext cx="486" cy="305"/>
                                  </a:xfrm>
                                  <a:prstGeom prst="curvedConnector3">
                                    <a:avLst>
                                      <a:gd name="adj1" fmla="val 50000"/>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313" name="矩形 59"/>
                                <wps:cNvSpPr/>
                                <wps:spPr>
                                  <a:xfrm>
                                    <a:off x="6163" y="1015"/>
                                    <a:ext cx="1680" cy="516"/>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F497504">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G8、N7、S1-4</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s:wsp>
                              <wps:cNvPr id="314" name="直接箭头连接符 33"/>
                              <wps:cNvCnPr/>
                              <wps:spPr>
                                <a:xfrm flipH="1">
                                  <a:off x="1688465" y="5399405"/>
                                  <a:ext cx="550545" cy="4445"/>
                                </a:xfrm>
                                <a:prstGeom prst="straightConnector1">
                                  <a:avLst/>
                                </a:prstGeom>
                                <a:ln w="12700">
                                  <a:solidFill>
                                    <a:schemeClr val="tx1"/>
                                  </a:solidFill>
                                  <a:headEnd type="stealth" w="med" len="lg"/>
                                  <a:tailEnd type="none" w="med" len="lg"/>
                                </a:ln>
                              </wps:spPr>
                              <wps:style>
                                <a:lnRef idx="2">
                                  <a:schemeClr val="accent1"/>
                                </a:lnRef>
                                <a:fillRef idx="0">
                                  <a:srgbClr val="FFFFFF"/>
                                </a:fillRef>
                                <a:effectRef idx="0">
                                  <a:srgbClr val="FFFFFF"/>
                                </a:effectRef>
                                <a:fontRef idx="minor">
                                  <a:schemeClr val="tx1"/>
                                </a:fontRef>
                              </wps:style>
                              <wps:bodyPr/>
                            </wps:wsp>
                            <wps:wsp>
                              <wps:cNvPr id="315" name="直接连接符 163"/>
                              <wps:cNvCnPr/>
                              <wps:spPr>
                                <a:xfrm>
                                  <a:off x="1694180" y="5398135"/>
                                  <a:ext cx="9525" cy="721360"/>
                                </a:xfrm>
                                <a:prstGeom prst="line">
                                  <a:avLst/>
                                </a:prstGeom>
                                <a:ln w="12700">
                                  <a:solidFill>
                                    <a:schemeClr val="tx1"/>
                                  </a:solidFill>
                                  <a:headEnd type="none" w="med" len="lg"/>
                                  <a:tailEnd type="none"/>
                                </a:ln>
                              </wps:spPr>
                              <wps:style>
                                <a:lnRef idx="2">
                                  <a:schemeClr val="accent1"/>
                                </a:lnRef>
                                <a:fillRef idx="0">
                                  <a:srgbClr val="FFFFFF"/>
                                </a:fillRef>
                                <a:effectRef idx="0">
                                  <a:srgbClr val="FFFFFF"/>
                                </a:effectRef>
                                <a:fontRef idx="minor">
                                  <a:schemeClr val="tx1"/>
                                </a:fontRef>
                              </wps:style>
                              <wps:bodyPr/>
                            </wps:wsp>
                            <wpg:wgp>
                              <wpg:cNvPr id="316" name="组合 68"/>
                              <wpg:cNvGrpSpPr/>
                              <wpg:grpSpPr>
                                <a:xfrm>
                                  <a:off x="2663825" y="6329045"/>
                                  <a:ext cx="1301115" cy="353695"/>
                                  <a:chOff x="5794" y="1015"/>
                                  <a:chExt cx="2049" cy="557"/>
                                </a:xfrm>
                              </wpg:grpSpPr>
                              <wps:wsp>
                                <wps:cNvPr id="317" name="曲线连接符 58"/>
                                <wps:cNvCnPr>
                                  <a:stCxn id="15" idx="3"/>
                                </wps:cNvCnPr>
                                <wps:spPr>
                                  <a:xfrm flipV="1">
                                    <a:off x="5794" y="1268"/>
                                    <a:ext cx="486" cy="305"/>
                                  </a:xfrm>
                                  <a:prstGeom prst="curvedConnector3">
                                    <a:avLst>
                                      <a:gd name="adj1" fmla="val 50000"/>
                                    </a:avLst>
                                  </a:prstGeom>
                                  <a:ln w="12700">
                                    <a:solidFill>
                                      <a:schemeClr val="tx1"/>
                                    </a:solidFill>
                                    <a:tailEnd type="stealth" w="med" len="lg"/>
                                  </a:ln>
                                </wps:spPr>
                                <wps:style>
                                  <a:lnRef idx="2">
                                    <a:schemeClr val="accent1"/>
                                  </a:lnRef>
                                  <a:fillRef idx="0">
                                    <a:srgbClr val="FFFFFF"/>
                                  </a:fillRef>
                                  <a:effectRef idx="0">
                                    <a:srgbClr val="FFFFFF"/>
                                  </a:effectRef>
                                  <a:fontRef idx="minor">
                                    <a:schemeClr val="tx1"/>
                                  </a:fontRef>
                                </wps:style>
                                <wps:bodyPr/>
                              </wps:wsp>
                              <wps:wsp>
                                <wps:cNvPr id="318" name="矩形 59"/>
                                <wps:cNvSpPr/>
                                <wps:spPr>
                                  <a:xfrm>
                                    <a:off x="6163" y="1015"/>
                                    <a:ext cx="1680" cy="516"/>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D1CE133">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S</w:t>
                                      </w:r>
                                      <w:r>
                                        <w:rPr>
                                          <w:rFonts w:hint="eastAsia"/>
                                          <w:color w:val="000000" w:themeColor="text1"/>
                                          <w:lang w:val="en-US" w:eastAsia="zh-CN"/>
                                          <w14:textFill>
                                            <w14:solidFill>
                                              <w14:schemeClr w14:val="tx1"/>
                                            </w14:solidFill>
                                          </w14:textFill>
                                        </w:rPr>
                                        <w:t>2-4</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c:wpc>
                        </a:graphicData>
                      </a:graphic>
                    </wp:inline>
                  </w:drawing>
                </mc:Choice>
                <mc:Fallback>
                  <w:pict>
                    <v:group id="_x0000_s1026" o:spid="_x0000_s1026" o:spt="203" style="height:622.95pt;width:438.15pt;" coordsize="5564505,7911465" editas="canvas" o:gfxdata="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">
                      <o:lock v:ext="edit" aspectratio="f"/>
                      <v:shape id="_x0000_s1026" o:spid="_x0000_s1026" style="position:absolute;left:0;top:0;height:7911465;width:5564505;" filled="f" stroked="f" coordsize="21600,21600" o:gfxdata="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">
                        <v:fill on="f" focussize="0,0"/>
                        <v:stroke on="f"/>
                        <v:imagedata o:title=""/>
                        <o:lock v:ext="edit" aspectratio="f"/>
                      </v:shape>
                      <v:rect id="矩形 13" o:spid="_x0000_s1026" o:spt="1" style="position:absolute;left:1071245;top:172085;height:327660;width:1699895;v-text-anchor:middle;" filled="f" stroked="f" coordsize="21600,21600" o:gfxdata="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H&#10;4PeK1QAAAAYBAAAPAAAAAAAAAAEAIAAAACIAAABkcnMvZG93bnJldi54bWxQSwECFAAUAAAACACH&#10;TuJA7o7QD2ACAACjBAAADgAAAAAAAAABACAAAAAkAQAAZHJzL2Uyb0RvYy54bWxQSwUGAAAAAAYA&#10;BgBZAQAA9gUAAAAA&#10;">
                        <v:fill on="f" focussize="0,0"/>
                        <v:stroke on="f" weight="1pt"/>
                        <v:imagedata o:title=""/>
                        <o:lock v:ext="edit" aspectratio="f"/>
                        <v:textbox>
                          <w:txbxContent>
                            <w:p w14:paraId="4FAADB5B">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现有项目产生的果蔬渣</w:t>
                              </w:r>
                            </w:p>
                          </w:txbxContent>
                        </v:textbox>
                      </v:rect>
                      <v:shape id="直接箭头连接符 14" o:spid="_x0000_s1026" o:spt="32" type="#_x0000_t32" style="position:absolute;left:1921510;top:415925;height:408305;width:3175;" filled="f" stroked="t" coordsize="21600,21600" o:gfxdata="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Aatdn7U&#10;AAAABgEAAA8AAAAAAAAAAQAgAAAAIgAAAGRycy9kb3ducmV2LnhtbFBLAQIUABQAAAAIAIdO4kAf&#10;lsZCJAIAABEEAAAOAAAAAAAAAAEAIAAAACMBAABkcnMvZTJvRG9jLnhtbFBLBQYAAAAABgAGAFkB&#10;AAC5BQAAAAA=&#10;">
                        <v:fill on="f" focussize="0,0"/>
                        <v:stroke weight="1pt" color="#000000 [3213]" joinstyle="round" endarrow="classic" endarrowlength="long"/>
                        <v:imagedata o:title=""/>
                        <o:lock v:ext="edit" aspectratio="f"/>
                      </v:shape>
                      <v:rect id="矩形 15" o:spid="_x0000_s1026" o:spt="1" style="position:absolute;left:1612265;top:835025;height:327660;width:2066925;v-text-anchor:middle;" filled="f" stroked="t" coordsize="21600,21600" o:gfxdata="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dqMWI1gAAAAYBAAAPAAAAAAAAAAEAIAAAACIAAABkcnMvZG93bnJl&#10;di54bWxQSwECFAAUAAAACACHTuJA2m0KC3ECAADMBAAADgAAAAAAAAABACAAAAAlAQAAZHJzL2Uy&#10;b0RvYy54bWxQSwUGAAAAAAYABgBZAQAACAYAAAAA&#10;">
                        <v:fill on="f" focussize="0,0"/>
                        <v:stroke weight="1pt" color="#000000 [3213]" joinstyle="round"/>
                        <v:imagedata o:title=""/>
                        <o:lock v:ext="edit" aspectratio="f"/>
                        <v:textbox>
                          <w:txbxContent>
                            <w:p w14:paraId="7CA9A8D9">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一次</w:t>
                              </w:r>
                              <w:r>
                                <w:rPr>
                                  <w:rFonts w:hint="eastAsia" w:eastAsia="宋体"/>
                                  <w:color w:val="000000" w:themeColor="text1"/>
                                  <w:lang w:val="en-US" w:eastAsia="zh-CN"/>
                                  <w14:textFill>
                                    <w14:solidFill>
                                      <w14:schemeClr w14:val="tx1"/>
                                    </w14:solidFill>
                                  </w14:textFill>
                                </w:rPr>
                                <w:t>混合搅拌</w:t>
                              </w:r>
                            </w:p>
                          </w:txbxContent>
                        </v:textbox>
                      </v:rect>
                      <v:shape id="直接箭头连接符 20" o:spid="_x0000_s1026" o:spt="32" type="#_x0000_t32" style="position:absolute;left:3380105;top:431165;height:408305;width:3175;" filled="f" stroked="t" coordsize="21600,21600" o:gfxdata="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GrXZ+1AAAAAYBAAAPAAAAAAAAAAEAIAAA&#10;ACIAAABkcnMvZG93bnJldi54bWxQSwECFAAUAAAACACHTuJA4fPVChACAADqAwAADgAAAAAAAAAB&#10;ACAAAAAjAQAAZHJzL2Uyb0RvYy54bWxQSwUGAAAAAAYABgBZAQAApQUAAAAA&#10;">
                        <v:fill on="f" focussize="0,0"/>
                        <v:stroke weight="1pt" color="#000000 [3213]" joinstyle="round" endarrow="classic" endarrowlength="long"/>
                        <v:imagedata o:title=""/>
                        <o:lock v:ext="edit" aspectratio="f"/>
                      </v:shape>
                      <v:group id="组合 22" o:spid="_x0000_s1026" o:spt="203" style="position:absolute;left:2115185;top:1574165;height:728345;width:998855;" coordorigin="3487,163" coordsize="1573,1147" o:gfxdata="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">
                        <o:lock v:ext="edit" aspectratio="f"/>
                        <v:rect id="矩形 16" o:spid="_x0000_s1026" o:spt="1" style="position:absolute;left:3487;top:163;height:516;width:1573;v-text-anchor:middle;" filled="f" stroked="t" coordsize="21600,21600" o:gfxdata="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9kNmb4A&#10;AADb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textbox>
                            <w:txbxContent>
                              <w:p w14:paraId="0976B1F1">
                                <w:pPr>
                                  <w:jc w:val="cente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一次扑粉</w:t>
                                </w:r>
                              </w:p>
                            </w:txbxContent>
                          </v:textbox>
                        </v:rect>
                        <v:shape id="直接箭头连接符 20" o:spid="_x0000_s1026" o:spt="32" type="#_x0000_t32" style="position:absolute;left:4279;top:667;height:643;width:5;" filled="f" stroked="t" coordsize="21600,21600" o:gfxdata="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rQ+4y5AAAA2wAA&#10;AA8AAAAAAAAAAQAgAAAAIgAAAGRycy9kb3ducmV2LnhtbFBLAQIUABQAAAAIAIdO4kAzLwWeOwAA&#10;ADkAAAAQAAAAAAAAAAEAIAAAAAgBAABkcnMvc2hhcGV4bWwueG1sUEsFBgAAAAAGAAYAWwEAALID&#10;AAAAAA==&#10;">
                          <v:fill on="f" focussize="0,0"/>
                          <v:stroke weight="1pt" color="#000000 [3213]" joinstyle="round" endarrow="classic" endarrowlength="long"/>
                          <v:imagedata o:title=""/>
                          <o:lock v:ext="edit" aspectratio="f"/>
                        </v:shape>
                      </v:group>
                      <v:rect id="矩形 25" o:spid="_x0000_s1026" o:spt="1" style="position:absolute;left:2755265;top:12700;height:479425;width:1264920;v-text-anchor:middle;" filled="f" stroked="f" coordsize="21600,21600" o:gfxdata="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H4PeK1QAA&#10;AAYBAAAPAAAAAAAAAAEAIAAAACIAAABkcnMvZG93bnJldi54bWxQSwECFAAUAAAACACHTuJAzyKX&#10;oVoCAACiBAAADgAAAAAAAAABACAAAAAkAQAAZHJzL2Uyb0RvYy54bWxQSwUGAAAAAAYABgBZAQAA&#10;8AUAAAAA&#10;">
                        <v:fill on="f" focussize="0,0"/>
                        <v:stroke on="f" weight="1pt"/>
                        <v:imagedata o:title=""/>
                        <o:lock v:ext="edit" aspectratio="f"/>
                        <v:textbox>
                          <w:txbxContent>
                            <w:p w14:paraId="425D1E78">
                              <w:pPr>
                                <w:jc w:val="both"/>
                                <w:rPr>
                                  <w:rFonts w:hint="default" w:eastAsia="宋体"/>
                                  <w:color w:val="000000" w:themeColor="text1"/>
                                  <w:lang w:val="en-US" w:eastAsia="zh-CN"/>
                                  <w14:textFill>
                                    <w14:solidFill>
                                      <w14:schemeClr w14:val="tx1"/>
                                    </w14:solidFill>
                                  </w14:textFill>
                                </w:rPr>
                              </w:pPr>
                              <w:r>
                                <w:rPr>
                                  <w:rFonts w:hint="default" w:eastAsia="宋体"/>
                                  <w:color w:val="000000" w:themeColor="text1"/>
                                  <w:lang w:val="en-US" w:eastAsia="zh-CN"/>
                                  <w14:textFill>
                                    <w14:solidFill>
                                      <w14:schemeClr w14:val="tx1"/>
                                    </w14:solidFill>
                                  </w14:textFill>
                                </w:rPr>
                                <w:t>甘蔗叶子、玉米秸秆、菊花渣、椰糠</w:t>
                              </w:r>
                            </w:p>
                          </w:txbxContent>
                        </v:textbox>
                      </v:rect>
                      <v:shape id="直接箭头连接符 28" o:spid="_x0000_s1026" o:spt="32" type="#_x0000_t32" style="position:absolute;left:2633345;top:1162685;height:408305;width:3175;" filled="f" stroked="t" coordsize="21600,21600" o:gfxdata="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Bq12ftQAAAAGAQAADwAAAAAAAAAB&#10;ACAAAAAiAAAAZHJzL2Rvd25yZXYueG1sUEsBAhQAFAAAAAgAh07iQEY2cbkUAgAA7AMAAA4AAAAA&#10;AAAAAQAgAAAAIwEAAGRycy9lMm9Eb2MueG1sUEsFBgAAAAAGAAYAWQEAAKkFAAAAAA==&#10;">
                        <v:fill on="f" focussize="0,0"/>
                        <v:stroke weight="1pt" color="#000000 [3213]" joinstyle="round" endarrow="classic" endarrowlength="long"/>
                        <v:imagedata o:title=""/>
                        <o:lock v:ext="edit" aspectratio="f"/>
                      </v:shape>
                      <v:group id="组合 29" o:spid="_x0000_s1026" o:spt="203" style="position:absolute;left:2191385;top:2305685;height:727710;width:868680;" coordorigin="3583,163" coordsize="1368,1146" o:gfxdata="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">
                        <o:lock v:ext="edit" aspectratio="f"/>
                        <v:rect id="矩形 16" o:spid="_x0000_s1026" o:spt="1" style="position:absolute;left:3583;top:163;height:516;width:1369;v-text-anchor:middle;" filled="f" stroked="t" coordsize="21600,21600" o:gfxdata="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F8DcC8AAAA&#10;3AAAAA8AAAAAAAAAAQAgAAAAIgAAAGRycy9kb3ducmV2LnhtbFBLAQIUABQAAAAIAIdO4kAzLwWe&#10;OwAAADkAAAAQAAAAAAAAAAEAIAAAAAsBAABkcnMvc2hhcGV4bWwueG1sUEsFBgAAAAAGAAYAWwEA&#10;ALUDAAAAAA==&#10;">
                          <v:fill on="f" focussize="0,0"/>
                          <v:stroke weight="1pt" color="#000000 [3213]" joinstyle="round"/>
                          <v:imagedata o:title=""/>
                          <o:lock v:ext="edit" aspectratio="f"/>
                          <v:textbox>
                            <w:txbxContent>
                              <w:p w14:paraId="038E4CE5">
                                <w:pPr>
                                  <w:jc w:val="center"/>
                                  <w:rPr>
                                    <w:rFonts w:hint="default"/>
                                    <w:lang w:val="en-US" w:eastAsia="zh-CN"/>
                                  </w:rPr>
                                </w:pPr>
                                <w:r>
                                  <w:rPr>
                                    <w:rFonts w:hint="eastAsia" w:eastAsia="宋体"/>
                                    <w:color w:val="000000" w:themeColor="text1"/>
                                    <w:lang w:val="en-US" w:eastAsia="zh-CN"/>
                                    <w14:textFill>
                                      <w14:solidFill>
                                        <w14:schemeClr w14:val="tx1"/>
                                      </w14:solidFill>
                                    </w14:textFill>
                                  </w:rPr>
                                  <w:t>翻堆发酵</w:t>
                                </w:r>
                              </w:p>
                            </w:txbxContent>
                          </v:textbox>
                        </v:rect>
                        <v:shape id="直接箭头连接符 20" o:spid="_x0000_s1026" o:spt="32" type="#_x0000_t32" style="position:absolute;left:4279;top:667;height:643;width:5;" filled="f" stroked="t" coordsize="21600,21600" o:gfxdata="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byMVbgAAADcAAAA&#10;DwAAAAAAAAABACAAAAAiAAAAZHJzL2Rvd25yZXYueG1sUEsBAhQAFAAAAAgAh07iQDMvBZ47AAAA&#10;OQAAABAAAAAAAAAAAQAgAAAABwEAAGRycy9zaGFwZXhtbC54bWxQSwUGAAAAAAYABgBbAQAAsQMA&#10;AAAA&#10;">
                          <v:fill on="f" focussize="0,0"/>
                          <v:stroke weight="1pt" color="#000000 [3213]" joinstyle="round" endarrow="classic" endarrowlength="long"/>
                          <v:imagedata o:title=""/>
                          <o:lock v:ext="edit" aspectratio="f"/>
                        </v:shape>
                      </v:group>
                      <v:rect id="矩形 32" o:spid="_x0000_s1026" o:spt="1" style="position:absolute;left:255905;top:2047240;height:845185;width:1295400;v-text-anchor:middle;" filled="f" stroked="f" coordsize="21600,21600" o:gfxdata="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R+D3&#10;itUAAAAGAQAADwAAAAAAAAABACAAAAAiAAAAZHJzL2Rvd25yZXYueG1sUEsBAhQAFAAAAAgAh07i&#10;QK++mtVeAgAApAQAAA4AAAAAAAAAAQAgAAAAJAEAAGRycy9lMm9Eb2MueG1sUEsFBgAAAAAGAAYA&#10;WQEAAPQFAAAAAA==&#10;">
                        <v:fill on="f" focussize="0,0"/>
                        <v:stroke on="f" weight="1pt"/>
                        <v:imagedata o:title=""/>
                        <o:lock v:ext="edit" aspectratio="f"/>
                        <v:textbox>
                          <w:txbxContent>
                            <w:p w14:paraId="178AC970">
                              <w:pPr>
                                <w:jc w:val="both"/>
                                <w:rPr>
                                  <w:rFonts w:hint="default" w:eastAsia="宋体"/>
                                  <w:color w:val="000000" w:themeColor="text1"/>
                                  <w:lang w:val="en-US" w:eastAsia="zh-CN"/>
                                  <w14:textFill>
                                    <w14:solidFill>
                                      <w14:schemeClr w14:val="tx1"/>
                                    </w14:solidFill>
                                  </w14:textFill>
                                </w:rPr>
                              </w:pPr>
                            </w:p>
                          </w:txbxContent>
                        </v:textbox>
                      </v:rect>
                      <v:shape id="直接箭头连接符 33" o:spid="_x0000_s1026" o:spt="32" type="#_x0000_t32" style="position:absolute;left:1170305;top:3943985;height:6350;width:725170;" filled="f" stroked="t" coordsize="21600,21600" o:gfxdata="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Aatdn7UAAAABgEAAA8AAAAAAAAA&#10;AQAgAAAAIgAAAGRycy9kb3ducmV2LnhtbFBLAQIUABQAAAAIAIdO4kCrXPkLFQIAAOwDAAAOAAAA&#10;AAAAAAEAIAAAACMBAABkcnMvZTJvRG9jLnhtbFBLBQYAAAAABgAGAFkBAACqBQAAAAA=&#10;">
                        <v:fill on="f" focussize="0,0"/>
                        <v:stroke weight="1pt" color="#000000 [3213]" joinstyle="round" endarrow="classic" endarrowlength="long"/>
                        <v:imagedata o:title=""/>
                        <o:lock v:ext="edit" aspectratio="f"/>
                      </v:shape>
                      <v:group id="组合 34" o:spid="_x0000_s1026" o:spt="203" style="position:absolute;left:2107565;top:3044825;height:728345;width:1021080;" coordorigin="3439,163" coordsize="1680,1147" o:gfxdata="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">
                        <o:lock v:ext="edit" aspectratio="f"/>
                        <v:rect id="矩形 16" o:spid="_x0000_s1026" o:spt="1" style="position:absolute;left:3439;top:163;height:516;width:1680;v-text-anchor:middle;" filled="f" stroked="t" coordsize="21600,21600" o:gfxdata="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vpPoa8AAAA&#10;3AAAAA8AAAAAAAAAAQAgAAAAIgAAAGRycy9kb3ducmV2LnhtbFBLAQIUABQAAAAIAIdO4kAzLwWe&#10;OwAAADkAAAAQAAAAAAAAAAEAIAAAAAsBAABkcnMvc2hhcGV4bWwueG1sUEsFBgAAAAAGAAYAWwEA&#10;ALUDAAAAAA==&#10;">
                          <v:fill on="f" focussize="0,0"/>
                          <v:stroke weight="1pt" color="#000000 [3213]" joinstyle="round"/>
                          <v:imagedata o:title=""/>
                          <o:lock v:ext="edit" aspectratio="f"/>
                          <v:textbox>
                            <w:txbxContent>
                              <w:p w14:paraId="34C5CC18">
                                <w:pPr>
                                  <w:jc w:val="center"/>
                                  <w:rPr>
                                    <w:rFonts w:hint="default"/>
                                    <w:lang w:val="en-US" w:eastAsia="zh-CN"/>
                                  </w:rPr>
                                </w:pPr>
                                <w:r>
                                  <w:rPr>
                                    <w:rFonts w:hint="eastAsia"/>
                                    <w:color w:val="000000" w:themeColor="text1"/>
                                    <w:lang w:val="en-US" w:eastAsia="zh-CN"/>
                                    <w14:textFill>
                                      <w14:solidFill>
                                        <w14:schemeClr w14:val="tx1"/>
                                      </w14:solidFill>
                                    </w14:textFill>
                                  </w:rPr>
                                  <w:t>一次</w:t>
                                </w:r>
                                <w:r>
                                  <w:rPr>
                                    <w:rFonts w:hint="eastAsia" w:eastAsia="宋体"/>
                                    <w:color w:val="000000" w:themeColor="text1"/>
                                    <w:lang w:val="en-US" w:eastAsia="zh-CN"/>
                                    <w14:textFill>
                                      <w14:solidFill>
                                        <w14:schemeClr w14:val="tx1"/>
                                      </w14:solidFill>
                                    </w14:textFill>
                                  </w:rPr>
                                  <w:t>筛分</w:t>
                                </w:r>
                              </w:p>
                            </w:txbxContent>
                          </v:textbox>
                        </v:rect>
                        <v:shape id="直接箭头连接符 20" o:spid="_x0000_s1026" o:spt="32" type="#_x0000_t32" style="position:absolute;left:4279;top:667;height:643;width:5;" filled="f" stroked="t" coordsize="21600,21600" o:gfxdata="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PKb8TugAAANwA&#10;AAAPAAAAAAAAAAEAIAAAACIAAABkcnMvZG93bnJldi54bWxQSwECFAAUAAAACACHTuJAMy8FnjsA&#10;AAA5AAAAEAAAAAAAAAABACAAAAAJAQAAZHJzL3NoYXBleG1sLnhtbFBLBQYAAAAABgAGAFsBAACz&#10;AwAAAAA=&#10;">
                          <v:fill on="f" focussize="0,0"/>
                          <v:stroke weight="1pt" color="#000000 [3213]" joinstyle="round" endarrow="classic" endarrowlength="long"/>
                          <v:imagedata o:title=""/>
                          <o:lock v:ext="edit" aspectratio="f"/>
                        </v:shape>
                      </v:group>
                      <v:rect id="矩形 38" o:spid="_x0000_s1026" o:spt="1" style="position:absolute;left:317500;top:3547745;height:761365;width:957580;v-text-anchor:middle;" filled="f" stroked="f" coordsize="21600,21600" o:gfxdata="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Efg&#10;94rVAAAABgEAAA8AAAAAAAAAAQAgAAAAIgAAAGRycy9kb3ducmV2LnhtbFBLAQIUABQAAAAIAIdO&#10;4kBlAN7qXwIAAKMEAAAOAAAAAAAAAAEAIAAAACQBAABkcnMvZTJvRG9jLnhtbFBLBQYAAAAABgAG&#10;AFkBAAD1BQAAAAA=&#10;">
                        <v:fill on="f" focussize="0,0"/>
                        <v:stroke on="f" weight="1pt"/>
                        <v:imagedata o:title=""/>
                        <o:lock v:ext="edit" aspectratio="f"/>
                        <v:textbox>
                          <w:txbxContent>
                            <w:p w14:paraId="0CBB793D">
                              <w:pPr>
                                <w:jc w:val="both"/>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多元素矿物、</w:t>
                              </w:r>
                            </w:p>
                            <w:p w14:paraId="235ACD42">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微生物菌剂、草木灰</w:t>
                              </w:r>
                            </w:p>
                          </w:txbxContent>
                        </v:textbox>
                      </v:rect>
                      <v:group id="组合 39" o:spid="_x0000_s1026" o:spt="203" style="position:absolute;left:1917065;top:3776345;height:735965;width:1348105;" coordorigin="3151,163" coordsize="2123,1159" o:gfxdata="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">
                        <o:lock v:ext="edit" aspectratio="f"/>
                        <v:rect id="矩形 16" o:spid="_x0000_s1026" o:spt="1" style="position:absolute;left:3151;top:163;height:516;width:2123;v-text-anchor:middle;" filled="f" stroked="t" coordsize="21600,21600" o:gfxdata="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xxdhe/&#10;AAAA3AAAAA8AAAAAAAAAAQAgAAAAIgAAAGRycy9kb3ducmV2LnhtbFBLAQIUABQAAAAIAIdO4kAz&#10;LwWeOwAAADkAAAAQAAAAAAAAAAEAIAAAAA4BAABkcnMvc2hhcGV4bWwueG1sUEsFBgAAAAAGAAYA&#10;WwEAALgDAAAAAA==&#10;">
                          <v:fill on="f" focussize="0,0"/>
                          <v:stroke weight="1pt" color="#000000 [3213]" joinstyle="round"/>
                          <v:imagedata o:title=""/>
                          <o:lock v:ext="edit" aspectratio="f"/>
                          <v:textbox>
                            <w:txbxContent>
                              <w:p w14:paraId="1833877A">
                                <w:pPr>
                                  <w:jc w:val="center"/>
                                  <w:rPr>
                                    <w:rFonts w:hint="default"/>
                                    <w:lang w:val="en-US" w:eastAsia="zh-CN"/>
                                  </w:rPr>
                                </w:pPr>
                                <w:r>
                                  <w:rPr>
                                    <w:rFonts w:hint="eastAsia"/>
                                    <w:color w:val="000000" w:themeColor="text1"/>
                                    <w:lang w:val="en-US" w:eastAsia="zh-CN"/>
                                    <w14:textFill>
                                      <w14:solidFill>
                                        <w14:schemeClr w14:val="tx1"/>
                                      </w14:solidFill>
                                    </w14:textFill>
                                  </w:rPr>
                                  <w:t>二次扑粉、菌种添加</w:t>
                                </w:r>
                              </w:p>
                            </w:txbxContent>
                          </v:textbox>
                        </v:rect>
                        <v:shape id="直接箭头连接符 20" o:spid="_x0000_s1026" o:spt="32" type="#_x0000_t32" style="position:absolute;left:4279;top:679;height:643;width:5;" filled="f" stroked="t" coordsize="21600,21600" o:gfxdata="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YxlQaugAAANwA&#10;AAAPAAAAAAAAAAEAIAAAACIAAABkcnMvZG93bnJldi54bWxQSwECFAAUAAAACACHTuJAMy8FnjsA&#10;AAA5AAAAEAAAAAAAAAABACAAAAAJAQAAZHJzL3NoYXBleG1sLnhtbFBLBQYAAAAABgAGAFsBAACz&#10;AwAAAAA=&#10;">
                          <v:fill on="f" focussize="0,0"/>
                          <v:stroke weight="1pt" color="#000000 [3213]" joinstyle="round" endarrow="classic" endarrowlength="long"/>
                          <v:imagedata o:title=""/>
                          <o:lock v:ext="edit" aspectratio="f"/>
                        </v:shape>
                      </v:group>
                      <v:rect id="矩形 56" o:spid="_x0000_s1026" o:spt="1" style="position:absolute;left:3555365;top:6169025;height:739140;width:533400;v-text-anchor:middle;" filled="f" stroked="f" coordsize="21600,21600" o:gfxdata="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H&#10;4PeK1QAAAAYBAAAPAAAAAAAAAAEAIAAAACIAAABkcnMvZG93bnJldi54bWxQSwECFAAUAAAACACH&#10;TuJA2nFMSGACAACkBAAADgAAAAAAAAABACAAAAAkAQAAZHJzL2Uyb0RvYy54bWxQSwUGAAAAAAYA&#10;BgBZAQAA9gUAAAAA&#10;">
                        <v:fill on="f" focussize="0,0"/>
                        <v:stroke on="f" weight="1pt"/>
                        <v:imagedata o:title=""/>
                        <o:lock v:ext="edit" aspectratio="f"/>
                        <v:textbox>
                          <w:txbxContent>
                            <w:p w14:paraId="1D69C05A">
                              <w:pPr>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不</w:t>
                              </w:r>
                            </w:p>
                            <w:p w14:paraId="51F9C305">
                              <w:pPr>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合</w:t>
                              </w:r>
                            </w:p>
                            <w:p w14:paraId="31B83E87">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格</w:t>
                              </w:r>
                            </w:p>
                          </w:txbxContent>
                        </v:textbox>
                      </v:rect>
                      <v:group id="组合 61" o:spid="_x0000_s1026" o:spt="203" style="position:absolute;left:3679190;top:644525;height:353695;width:1301115;" coordorigin="5794,1015" coordsize="2049,557" o:gfxdata="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">
                        <o:lock v:ext="edit" aspectratio="f"/>
                        <v:shape id="曲线连接符 58" o:spid="_x0000_s1026" o:spt="38" type="#_x0000_t38" style="position:absolute;left:5794;top:1268;flip:y;height:305;width:486;" filled="f" stroked="t" coordsize="21600,21600" o:gfxdata="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0vy6S8AAAA&#10;3AAAAA8AAAAAAAAAAQAgAAAAIgAAAGRycy9kb3ducmV2LnhtbFBLAQIUABQAAAAIAIdO4kAzLwWe&#10;OwAAADkAAAAQAAAAAAAAAAEAIAAAAAsBAABkcnMvc2hhcGV4bWwueG1sUEsFBgAAAAAGAAYAWwEA&#10;ALUDAAAAAA==&#10;" adj="10800">
                          <v:fill on="f" focussize="0,0"/>
                          <v:stroke weight="1pt" color="#000000 [3213]" joinstyle="round" endarrow="classic" endarrowlength="long"/>
                          <v:imagedata o:title=""/>
                          <o:lock v:ext="edit" aspectratio="f"/>
                        </v:shape>
                        <v:rect id="矩形 59" o:spid="_x0000_s1026" o:spt="1" style="position:absolute;left:6163;top:1015;height:516;width:1680;v-text-anchor:middle;" filled="f" stroked="f" coordsize="21600,21600" o:gfxdata="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WG+ErsAAADc&#10;AAAADwAAAAAAAAABACAAAAAiAAAAZHJzL2Rvd25yZXYueG1sUEsBAhQAFAAAAAgAh07iQDMvBZ47&#10;AAAAOQAAABAAAAAAAAAAAQAgAAAACgEAAGRycy9zaGFwZXhtbC54bWxQSwUGAAAAAAYABgBbAQAA&#10;tAMAAAAA&#10;">
                          <v:fill on="f" focussize="0,0"/>
                          <v:stroke on="f" weight="1pt"/>
                          <v:imagedata o:title=""/>
                          <o:lock v:ext="edit" aspectratio="f"/>
                          <v:textbox>
                            <w:txbxContent>
                              <w:p w14:paraId="63EBFD44">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G4、N3</w:t>
                                </w:r>
                              </w:p>
                            </w:txbxContent>
                          </v:textbox>
                        </v:rect>
                      </v:group>
                      <v:shape id="曲线连接符 58" o:spid="_x0000_s1026" o:spt="38" type="#_x0000_t38" style="position:absolute;left:2732405;top:1369060;flip:y;height:193675;width:308610;" filled="f" stroked="t" coordsize="21600,21600" o:gfxdata="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ax+1o9cAAAAGAQAADwAAAAAAAAABACAAAAAiAAAAZHJzL2Rvd25y&#10;ZXYueG1sUEsBAhQAFAAAAAgAh07iQBFZKZg4AgAARAQAAA4AAAAAAAAAAQAgAAAAJgEAAGRycy9l&#10;Mm9Eb2MueG1sUEsFBgAAAAAGAAYAWQEAANAFAAAAAA==&#10;" adj="10800">
                        <v:fill on="f" focussize="0,0"/>
                        <v:stroke weight="1pt" color="#000000 [3213]" joinstyle="round" endarrow="classic" endarrowlength="long"/>
                        <v:imagedata o:title=""/>
                        <o:lock v:ext="edit" aspectratio="f"/>
                      </v:shape>
                      <v:group id="组合 68" o:spid="_x0000_s1026" o:spt="203" style="position:absolute;left:2648585;top:4126865;height:353695;width:1301115;" coordorigin="5794,1015" coordsize="2049,557" o:gfxdata="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">
                        <o:lock v:ext="edit" aspectratio="f"/>
                        <v:shape id="曲线连接符 58" o:spid="_x0000_s1026" o:spt="38" type="#_x0000_t38" style="position:absolute;left:5794;top:1268;flip:y;height:305;width:486;" filled="f" stroked="t" coordsize="21600,21600" o:gfxdata="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TTde/&#10;AAAA3AAAAA8AAAAAAAAAAQAgAAAAIgAAAGRycy9kb3ducmV2LnhtbFBLAQIUABQAAAAIAIdO4kAz&#10;LwWeOwAAADkAAAAQAAAAAAAAAAEAIAAAAA4BAABkcnMvc2hhcGV4bWwueG1sUEsFBgAAAAAGAAYA&#10;WwEAALgDAAAAAA==&#10;" adj="10800">
                          <v:fill on="f" focussize="0,0"/>
                          <v:stroke weight="1pt" color="#000000 [3213]" joinstyle="round" endarrow="classic" endarrowlength="long"/>
                          <v:imagedata o:title=""/>
                          <o:lock v:ext="edit" aspectratio="f"/>
                        </v:shape>
                        <v:rect id="矩形 59" o:spid="_x0000_s1026" o:spt="1" style="position:absolute;left:6163;top:1015;height:516;width:1680;v-text-anchor:middle;" filled="f" stroked="f" coordsize="21600,21600" o:gfxdata="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lkEZvQAA&#10;ANwAAAAPAAAAAAAAAAEAIAAAACIAAABkcnMvZG93bnJldi54bWxQSwECFAAUAAAACACHTuJAMy8F&#10;njsAAAA5AAAAEAAAAAAAAAABACAAAAAMAQAAZHJzL3NoYXBleG1sLnhtbFBLBQYAAAAABgAGAFsB&#10;AAC2AwAAAAA=&#10;">
                          <v:fill on="f" focussize="0,0"/>
                          <v:stroke on="f" weight="1pt"/>
                          <v:imagedata o:title=""/>
                          <o:lock v:ext="edit" aspectratio="f"/>
                          <v:textbox>
                            <w:txbxContent>
                              <w:p w14:paraId="0AE6B760">
                                <w:pPr>
                                  <w:jc w:val="both"/>
                                  <w:rPr>
                                    <w:rFonts w:hint="default" w:eastAsia="宋体"/>
                                    <w:color w:val="000000" w:themeColor="text1"/>
                                    <w:lang w:val="en-US" w:eastAsia="zh-CN"/>
                                    <w14:textFill>
                                      <w14:solidFill>
                                        <w14:schemeClr w14:val="tx1"/>
                                      </w14:solidFill>
                                    </w14:textFill>
                                  </w:rPr>
                                </w:pPr>
                                <w:r>
                                  <w:rPr>
                                    <w:rFonts w:hint="default" w:eastAsia="宋体"/>
                                    <w:color w:val="000000" w:themeColor="text1"/>
                                    <w:lang w:val="en-US" w:eastAsia="zh-CN"/>
                                    <w14:textFill>
                                      <w14:solidFill>
                                        <w14:schemeClr w14:val="tx1"/>
                                      </w14:solidFill>
                                    </w14:textFill>
                                  </w:rPr>
                                  <w:t>G</w:t>
                                </w:r>
                                <w:r>
                                  <w:rPr>
                                    <w:rFonts w:hint="eastAsia" w:eastAsia="宋体"/>
                                    <w:color w:val="000000" w:themeColor="text1"/>
                                    <w:lang w:val="en-US" w:eastAsia="zh-CN"/>
                                    <w14:textFill>
                                      <w14:solidFill>
                                        <w14:schemeClr w14:val="tx1"/>
                                      </w14:solidFill>
                                    </w14:textFill>
                                  </w:rPr>
                                  <w:t>9</w:t>
                                </w:r>
                                <w:r>
                                  <w:rPr>
                                    <w:rFonts w:hint="default" w:eastAsia="宋体"/>
                                    <w:color w:val="000000" w:themeColor="text1"/>
                                    <w:lang w:val="en-US" w:eastAsia="zh-CN"/>
                                    <w14:textFill>
                                      <w14:solidFill>
                                        <w14:schemeClr w14:val="tx1"/>
                                      </w14:solidFill>
                                    </w14:textFill>
                                  </w:rPr>
                                  <w:t>、N</w:t>
                                </w:r>
                                <w:r>
                                  <w:rPr>
                                    <w:rFonts w:hint="eastAsia" w:eastAsia="宋体"/>
                                    <w:color w:val="000000" w:themeColor="text1"/>
                                    <w:lang w:val="en-US" w:eastAsia="zh-CN"/>
                                    <w14:textFill>
                                      <w14:solidFill>
                                        <w14:schemeClr w14:val="tx1"/>
                                      </w14:solidFill>
                                    </w14:textFill>
                                  </w:rPr>
                                  <w:t>8</w:t>
                                </w:r>
                              </w:p>
                            </w:txbxContent>
                          </v:textbox>
                        </v:rect>
                      </v:group>
                      <v:group id="组合 34" o:spid="_x0000_s1026" o:spt="203" style="position:absolute;left:2070100;top:4507865;height:728345;width:1112520;" coordorigin="3368,163" coordsize="1752,1147" o:gfxdata="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">
                        <o:lock v:ext="edit" aspectratio="f"/>
                        <v:rect id="矩形 16" o:spid="_x0000_s1026" o:spt="1" style="position:absolute;left:3368;top:163;height:516;width:1752;v-text-anchor:middle;" filled="f" stroked="t" coordsize="21600,21600" o:gfxdata="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ii8Wb4A&#10;AADc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textbox>
                            <w:txbxContent>
                              <w:p w14:paraId="1644D452">
                                <w:pPr>
                                  <w:jc w:val="center"/>
                                  <w:rPr>
                                    <w:rFonts w:hint="default"/>
                                    <w:lang w:val="en-US" w:eastAsia="zh-CN"/>
                                  </w:rPr>
                                </w:pPr>
                                <w:r>
                                  <w:rPr>
                                    <w:rFonts w:hint="eastAsia"/>
                                    <w:color w:val="000000" w:themeColor="text1"/>
                                    <w:lang w:val="en-US" w:eastAsia="zh-CN"/>
                                    <w14:textFill>
                                      <w14:solidFill>
                                        <w14:schemeClr w14:val="tx1"/>
                                      </w14:solidFill>
                                    </w14:textFill>
                                  </w:rPr>
                                  <w:t>二次</w:t>
                                </w:r>
                                <w:r>
                                  <w:rPr>
                                    <w:rFonts w:hint="eastAsia" w:eastAsia="宋体"/>
                                    <w:color w:val="000000" w:themeColor="text1"/>
                                    <w:lang w:val="en-US" w:eastAsia="zh-CN"/>
                                    <w14:textFill>
                                      <w14:solidFill>
                                        <w14:schemeClr w14:val="tx1"/>
                                      </w14:solidFill>
                                    </w14:textFill>
                                  </w:rPr>
                                  <w:t>混合搅拌</w:t>
                                </w:r>
                              </w:p>
                            </w:txbxContent>
                          </v:textbox>
                        </v:rect>
                        <v:shape id="直接箭头连接符 20" o:spid="_x0000_s1026" o:spt="32" type="#_x0000_t32" style="position:absolute;left:4279;top:667;height:643;width:5;" filled="f" stroked="t" coordsize="21600,21600" o:gfxdata="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p+eVLsAAADc&#10;AAAADwAAAAAAAAABACAAAAAiAAAAZHJzL2Rvd25yZXYueG1sUEsBAhQAFAAAAAgAh07iQDMvBZ47&#10;AAAAOQAAABAAAAAAAAAAAQAgAAAACgEAAGRycy9zaGFwZXhtbC54bWxQSwUGAAAAAAYABgBbAQAA&#10;tAMAAAAA&#10;">
                          <v:fill on="f" focussize="0,0"/>
                          <v:stroke weight="1pt" color="#000000 [3213]" joinstyle="round" endarrow="classic" endarrowlength="long"/>
                          <v:imagedata o:title=""/>
                          <o:lock v:ext="edit" aspectratio="f"/>
                        </v:shape>
                      </v:group>
                      <v:group id="组合 34" o:spid="_x0000_s1026" o:spt="203" style="position:absolute;left:2229485;top:5231765;height:727710;width:868680;" coordorigin="3583,163" coordsize="1368,1146" o:gfxdata="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">
                        <o:lock v:ext="edit" aspectratio="f"/>
                        <v:rect id="矩形 16" o:spid="_x0000_s1026" o:spt="1" style="position:absolute;left:3583;top:163;height:516;width:1369;v-text-anchor:middle;" filled="f" stroked="t" coordsize="21600,21600" o:gfxdata="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MbKfb4A&#10;AADc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textbox>
                            <w:txbxContent>
                              <w:p w14:paraId="3309AADA">
                                <w:pPr>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粉碎</w:t>
                                </w:r>
                              </w:p>
                            </w:txbxContent>
                          </v:textbox>
                        </v:rect>
                        <v:shape id="直接箭头连接符 20" o:spid="_x0000_s1026" o:spt="32" type="#_x0000_t32" style="position:absolute;left:4279;top:667;height:643;width:5;" filled="f" stroked="t" coordsize="21600,21600" o:gfxdata="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HHocLsAAADc&#10;AAAADwAAAAAAAAABACAAAAAiAAAAZHJzL2Rvd25yZXYueG1sUEsBAhQAFAAAAAgAh07iQDMvBZ47&#10;AAAAOQAAABAAAAAAAAAAAQAgAAAACgEAAGRycy9zaGFwZXhtbC54bWxQSwUGAAAAAAYABgBbAQAA&#10;tAMAAAAA&#10;">
                          <v:fill on="f" focussize="0,0"/>
                          <v:stroke weight="1pt" color="#000000 [3213]" joinstyle="round" endarrow="classic" endarrowlength="long"/>
                          <v:imagedata o:title=""/>
                          <o:lock v:ext="edit" aspectratio="f"/>
                        </v:shape>
                      </v:group>
                      <v:group id="组合 34" o:spid="_x0000_s1026" o:spt="203" style="position:absolute;left:2229485;top:5948045;height:727710;width:868680;" coordorigin="3583,163" coordsize="1368,1146" o:gfxdata="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">
                        <o:lock v:ext="edit" aspectratio="f"/>
                        <v:rect id="矩形 16" o:spid="_x0000_s1026" o:spt="1" style="position:absolute;left:3583;top:163;height:516;width:1369;v-text-anchor:middle;" filled="f" stroked="t" coordsize="21600,21600" o:gfxdata="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y9SCb4A&#10;AADc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textbox>
                            <w:txbxContent>
                              <w:p w14:paraId="5788E586">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二次</w:t>
                                </w:r>
                                <w:r>
                                  <w:rPr>
                                    <w:rFonts w:hint="eastAsia" w:eastAsia="宋体"/>
                                    <w:color w:val="000000" w:themeColor="text1"/>
                                    <w:lang w:val="en-US" w:eastAsia="zh-CN"/>
                                    <w14:textFill>
                                      <w14:solidFill>
                                        <w14:schemeClr w14:val="tx1"/>
                                      </w14:solidFill>
                                    </w14:textFill>
                                  </w:rPr>
                                  <w:t>筛分</w:t>
                                </w:r>
                              </w:p>
                            </w:txbxContent>
                          </v:textbox>
                        </v:rect>
                        <v:shape id="直接箭头连接符 20" o:spid="_x0000_s1026" o:spt="32" type="#_x0000_t32" style="position:absolute;left:4279;top:667;height:643;width:5;" filled="f" stroked="t" coordsize="21600,21600" o:gfxdata="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wGS+i8AAAA&#10;3AAAAA8AAAAAAAAAAQAgAAAAIgAAAGRycy9kb3ducmV2LnhtbFBLAQIUABQAAAAIAIdO4kAzLwWe&#10;OwAAADkAAAAQAAAAAAAAAAEAIAAAAAsBAABkcnMvc2hhcGV4bWwueG1sUEsFBgAAAAAGAAYAWwEA&#10;ALUDAAAAAA==&#10;">
                          <v:fill on="f" focussize="0,0"/>
                          <v:stroke weight="1pt" color="#000000 [3213]" joinstyle="round" endarrow="classic" endarrowlength="long"/>
                          <v:imagedata o:title=""/>
                          <o:lock v:ext="edit" aspectratio="f"/>
                        </v:shape>
                      </v:group>
                      <v:shape id="直接箭头连接符 33" o:spid="_x0000_s1026" o:spt="32" type="#_x0000_t32" style="position:absolute;left:1398905;top:1726565;height:6350;width:725170;" filled="f" stroked="t" coordsize="21600,21600" o:gfxdata="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GrXZ+1AAAAAYBAAAPAAAAAAAA&#10;AAEAIAAAACIAAABkcnMvZG93bnJldi54bWxQSwECFAAUAAAACACHTuJAY7X16hYCAADsAwAADgAA&#10;AAAAAAABACAAAAAjAQAAZHJzL2Uyb0RvYy54bWxQSwUGAAAAAAYABgBZAQAAqwUAAAAA&#10;">
                        <v:fill on="f" focussize="0,0"/>
                        <v:stroke weight="1pt" color="#000000 [3213]" joinstyle="round" endarrow="classic" endarrowlength="long"/>
                        <v:imagedata o:title=""/>
                        <o:lock v:ext="edit" aspectratio="f"/>
                      </v:shape>
                      <v:rect id="矩形 38" o:spid="_x0000_s1026" o:spt="1" style="position:absolute;left:1475105;top:1345565;height:593725;width:957580;v-text-anchor:middle;" filled="f" stroked="f" coordsize="21600,21600" o:gfxdata="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R+D3itUAAAAGAQAADwAAAAAAAAABACAAAAAiAAAAZHJzL2Rvd25yZXYueG1sUEsBAhQAFAAAAAgA&#10;h07iQPKI3KlhAgAApAQAAA4AAAAAAAAAAQAgAAAAJAEAAGRycy9lMm9Eb2MueG1sUEsFBgAAAAAG&#10;AAYAWQEAAPcFAAAAAA==&#10;">
                        <v:fill on="f" focussize="0,0"/>
                        <v:stroke on="f" weight="1pt"/>
                        <v:imagedata o:title=""/>
                        <o:lock v:ext="edit" aspectratio="f"/>
                        <v:textbox>
                          <w:txbxContent>
                            <w:p w14:paraId="111A82AB">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草木灰</w:t>
                              </w:r>
                            </w:p>
                          </w:txbxContent>
                        </v:textbox>
                      </v:rect>
                      <v:line id="直接连接符 135" o:spid="_x0000_s1026" o:spt="20" style="position:absolute;left:3610610;top:1179195;flip:x;height:5655310;width:8255;" filled="f" stroked="t" coordsize="21600,21600" o:gfxdata="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81+pwtkAAAAGAQAA&#10;DwAAAAAAAAABACAAAAAiAAAAZHJzL2Rvd25yZXYueG1sUEsBAhQAFAAAAAgAh07iQCzZv2IYAgAA&#10;/AMAAA4AAAAAAAAAAQAgAAAAKAEAAGRycy9lMm9Eb2MueG1sUEsFBgAAAAAGAAYAWQEAALIFAAAA&#10;AA==&#10;">
                        <v:fill on="f" focussize="0,0"/>
                        <v:stroke weight="1pt" color="#000000 [3213]" joinstyle="round" startarrow="classic" startarrowlength="long"/>
                        <v:imagedata o:title=""/>
                        <o:lock v:ext="edit" aspectratio="f"/>
                      </v:line>
                      <v:shape id="直接箭头连接符 33" o:spid="_x0000_s1026" o:spt="32" type="#_x0000_t32" style="position:absolute;left:3273425;top:6839585;height:4445;width:356235;" filled="f" stroked="t" coordsize="21600,21600" o:gfxdata="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GrXZ+1AAAAAYBAAAPAAAAAAAA&#10;AAEAIAAAACIAAABkcnMvZG93bnJldi54bWxQSwECFAAUAAAACACHTuJA3MRHRxYCAADsAwAADgAA&#10;AAAAAAABACAAAAAjAQAAZHJzL2Uyb0RvYy54bWxQSwUGAAAAAAYABgBZAQAAqwUAAAAA&#10;">
                        <v:fill on="f" focussize="0,0"/>
                        <v:stroke weight="1pt" color="#000000 [3213]" joinstyle="round" endarrow="classic" endarrowlength="long"/>
                        <v:imagedata o:title=""/>
                        <o:lock v:ext="edit" aspectratio="f"/>
                      </v:shape>
                      <v:shape id="直接箭头连接符 33" o:spid="_x0000_s1026" o:spt="32" type="#_x0000_t32" style="position:absolute;left:3128645;top:3197225;height:4445;width:531495;" filled="f" stroked="t" coordsize="21600,21600" o:gfxdata="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Aatdn7UAAAABgEAAA8AAAAAAAAA&#10;AQAgAAAAIgAAAGRycy9kb3ducmV2LnhtbFBLAQIUABQAAAAIAIdO4kAWnNnpFQIAAOwDAAAOAAAA&#10;AAAAAAEAIAAAACMBAABkcnMvZTJvRG9jLnhtbFBLBQYAAAAABgAGAFkBAACqBQAAAAA=&#10;">
                        <v:fill on="f" focussize="0,0"/>
                        <v:stroke weight="1pt" color="#000000 [3213]" joinstyle="round" endarrow="classic" endarrowlength="long"/>
                        <v:imagedata o:title=""/>
                        <o:lock v:ext="edit" aspectratio="f"/>
                      </v:shape>
                      <v:shape id="直接箭头连接符 33" o:spid="_x0000_s1026" o:spt="32" type="#_x0000_t32" style="position:absolute;left:1703705;top:6115685;height:4445;width:531495;" filled="f" stroked="t" coordsize="21600,21600" o:gfxdata="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BvNXt&#10;1gAAAAYBAAAPAAAAAAAAAAEAIAAAACIAAABkcnMvZG93bnJldi54bWxQSwECFAAUAAAACACHTuJA&#10;ylUvgSMCAAAVBAAADgAAAAAAAAABACAAAAAlAQAAZHJzL2Uyb0RvYy54bWxQSwUGAAAAAAYABgBZ&#10;AQAAugUAAAAA&#10;">
                        <v:fill on="f" focussize="0,0"/>
                        <v:stroke weight="1pt" color="#000000 [3213]" joinstyle="round" startarrow="classic" startarrowlength="long" endarrowlength="long"/>
                        <v:imagedata o:title=""/>
                        <o:lock v:ext="edit" aspectratio="f"/>
                      </v:shape>
                      <v:rect id="矩形 38" o:spid="_x0000_s1026" o:spt="1" style="position:absolute;left:3067685;top:2816225;height:593725;width:957580;v-text-anchor:middle;" filled="f" stroked="f" coordsize="21600,21600" o:gfxdata="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R+D3itUAAAAGAQAADwAAAAAAAAABACAAAAAiAAAAZHJzL2Rvd25yZXYueG1sUEsBAhQAFAAAAAgA&#10;h07iQCu6Ai5hAgAApAQAAA4AAAAAAAAAAQAgAAAAJAEAAGRycy9lMm9Eb2MueG1sUEsFBgAAAAAG&#10;AAYAWQEAAPcFAAAAAA==&#10;">
                        <v:fill on="f" focussize="0,0"/>
                        <v:stroke on="f" weight="1pt"/>
                        <v:imagedata o:title=""/>
                        <o:lock v:ext="edit" aspectratio="f"/>
                        <v:textbox>
                          <w:txbxContent>
                            <w:p w14:paraId="098F7C2C">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筛上物</w:t>
                              </w:r>
                            </w:p>
                          </w:txbxContent>
                        </v:textbox>
                      </v:rect>
                      <v:rect id="矩形 38" o:spid="_x0000_s1026" o:spt="1" style="position:absolute;left:1703705;top:5711825;height:593725;width:957580;v-text-anchor:middle;" filled="f" stroked="f" coordsize="21600,21600" o:gfxdata="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R+D3itUAAAAGAQAADwAAAAAAAAABACAAAAAiAAAAZHJzL2Rvd25yZXYueG1sUEsBAhQAFAAAAAgA&#10;h07iQOLYi/1hAgAApAQAAA4AAAAAAAAAAQAgAAAAJAEAAGRycy9lMm9Eb2MueG1sUEsFBgAAAAAG&#10;AAYAWQEAAPcFAAAAAA==&#10;">
                        <v:fill on="f" focussize="0,0"/>
                        <v:stroke on="f" weight="1pt"/>
                        <v:imagedata o:title=""/>
                        <o:lock v:ext="edit" aspectratio="f"/>
                        <v:textbox>
                          <w:txbxContent>
                            <w:p w14:paraId="4D3F6951">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筛上物</w:t>
                              </w:r>
                            </w:p>
                          </w:txbxContent>
                        </v:textbox>
                      </v:rect>
                      <v:group id="组合 68" o:spid="_x0000_s1026" o:spt="203" style="position:absolute;left:2663825;top:4873625;height:353695;width:1301115;" coordorigin="5794,1015" coordsize="2049,557" o:gfxdata="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">
                        <o:lock v:ext="edit" aspectratio="f"/>
                        <v:shape id="曲线连接符 58" o:spid="_x0000_s1026" o:spt="38" type="#_x0000_t38" style="position:absolute;left:5794;top:1268;flip:y;height:305;width:486;" filled="f" stroked="t" coordsize="21600,21600" o:gfxdata="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YGTCK/&#10;AAAA3AAAAA8AAAAAAAAAAQAgAAAAIgAAAGRycy9kb3ducmV2LnhtbFBLAQIUABQAAAAIAIdO4kAz&#10;LwWeOwAAADkAAAAQAAAAAAAAAAEAIAAAAA4BAABkcnMvc2hhcGV4bWwueG1sUEsFBgAAAAAGAAYA&#10;WwEAALgDAAAAAA==&#10;" adj="10800">
                          <v:fill on="f" focussize="0,0"/>
                          <v:stroke weight="1pt" color="#000000 [3213]" joinstyle="round" endarrow="classic" endarrowlength="long"/>
                          <v:imagedata o:title=""/>
                          <o:lock v:ext="edit" aspectratio="f"/>
                        </v:shape>
                        <v:rect id="矩形 59" o:spid="_x0000_s1026" o:spt="1" style="position:absolute;left:6163;top:1015;height:516;width:1680;v-text-anchor:middle;" filled="f" stroked="f" coordsize="21600,21600" o:gfxdata="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SDmUvQAA&#10;ANwAAAAPAAAAAAAAAAEAIAAAACIAAABkcnMvZG93bnJldi54bWxQSwECFAAUAAAACACHTuJAMy8F&#10;njsAAAA5AAAAEAAAAAAAAAABACAAAAAMAQAAZHJzL3NoYXBleG1sLnhtbFBLBQYAAAAABgAGAFsB&#10;AAC2AwAAAAA=&#10;">
                          <v:fill on="f" focussize="0,0"/>
                          <v:stroke on="f" weight="1pt"/>
                          <v:imagedata o:title=""/>
                          <o:lock v:ext="edit" aspectratio="f"/>
                          <v:textbox>
                            <w:txbxContent>
                              <w:p w14:paraId="7E59ED2C">
                                <w:pPr>
                                  <w:jc w:val="both"/>
                                  <w:rPr>
                                    <w:rFonts w:hint="default" w:eastAsia="宋体"/>
                                    <w:color w:val="000000" w:themeColor="text1"/>
                                    <w:lang w:val="en-US" w:eastAsia="zh-CN"/>
                                    <w14:textFill>
                                      <w14:solidFill>
                                        <w14:schemeClr w14:val="tx1"/>
                                      </w14:solidFill>
                                    </w14:textFill>
                                  </w:rPr>
                                </w:pPr>
                                <w:r>
                                  <w:rPr>
                                    <w:rFonts w:hint="default" w:eastAsia="宋体"/>
                                    <w:color w:val="000000" w:themeColor="text1"/>
                                    <w:lang w:val="en-US" w:eastAsia="zh-CN"/>
                                    <w14:textFill>
                                      <w14:solidFill>
                                        <w14:schemeClr w14:val="tx1"/>
                                      </w14:solidFill>
                                    </w14:textFill>
                                  </w:rPr>
                                  <w:t>G</w:t>
                                </w:r>
                                <w:r>
                                  <w:rPr>
                                    <w:rFonts w:hint="eastAsia" w:eastAsia="宋体"/>
                                    <w:color w:val="000000" w:themeColor="text1"/>
                                    <w:lang w:val="en-US" w:eastAsia="zh-CN"/>
                                    <w14:textFill>
                                      <w14:solidFill>
                                        <w14:schemeClr w14:val="tx1"/>
                                      </w14:solidFill>
                                    </w14:textFill>
                                  </w:rPr>
                                  <w:t>10</w:t>
                                </w:r>
                                <w:r>
                                  <w:rPr>
                                    <w:rFonts w:hint="default" w:eastAsia="宋体"/>
                                    <w:color w:val="000000" w:themeColor="text1"/>
                                    <w:lang w:val="en-US" w:eastAsia="zh-CN"/>
                                    <w14:textFill>
                                      <w14:solidFill>
                                        <w14:schemeClr w14:val="tx1"/>
                                      </w14:solidFill>
                                    </w14:textFill>
                                  </w:rPr>
                                  <w:t>、N</w:t>
                                </w:r>
                                <w:r>
                                  <w:rPr>
                                    <w:rFonts w:hint="eastAsia" w:eastAsia="宋体"/>
                                    <w:color w:val="000000" w:themeColor="text1"/>
                                    <w:lang w:val="en-US" w:eastAsia="zh-CN"/>
                                    <w14:textFill>
                                      <w14:solidFill>
                                        <w14:schemeClr w14:val="tx1"/>
                                      </w14:solidFill>
                                    </w14:textFill>
                                  </w:rPr>
                                  <w:t>9</w:t>
                                </w:r>
                              </w:p>
                            </w:txbxContent>
                          </v:textbox>
                        </v:rect>
                      </v:group>
                      <v:group id="组合 68" o:spid="_x0000_s1026" o:spt="203" style="position:absolute;left:2648585;top:5605145;height:353695;width:1301115;" coordorigin="5794,1015" coordsize="2049,557" o:gfxdata="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">
                        <o:lock v:ext="edit" aspectratio="f"/>
                        <v:shape id="曲线连接符 58" o:spid="_x0000_s1026" o:spt="38" type="#_x0000_t38" style="position:absolute;left:5794;top:1268;flip:y;height:305;width:486;" filled="f" stroked="t" coordsize="21600,21600" o:gfxdata="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eZ2FC/&#10;AAAA3AAAAA8AAAAAAAAAAQAgAAAAIgAAAGRycy9kb3ducmV2LnhtbFBLAQIUABQAAAAIAIdO4kAz&#10;LwWeOwAAADkAAAAQAAAAAAAAAAEAIAAAAA4BAABkcnMvc2hhcGV4bWwueG1sUEsFBgAAAAAGAAYA&#10;WwEAALgDAAAAAA==&#10;" adj="10800">
                          <v:fill on="f" focussize="0,0"/>
                          <v:stroke weight="1pt" color="#000000 [3213]" joinstyle="round" endarrow="classic" endarrowlength="long"/>
                          <v:imagedata o:title=""/>
                          <o:lock v:ext="edit" aspectratio="f"/>
                        </v:shape>
                        <v:rect id="矩形 59" o:spid="_x0000_s1026" o:spt="1" style="position:absolute;left:6163;top:1015;height:516;width:1680;v-text-anchor:middle;" filled="f" stroked="f" coordsize="21600,21600" o:gfxdata="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NKO/q5AAAA3AAA&#10;AA8AAAAAAAAAAQAgAAAAIgAAAGRycy9kb3ducmV2LnhtbFBLAQIUABQAAAAIAIdO4kAzLwWeOwAA&#10;ADkAAAAQAAAAAAAAAAEAIAAAAAgBAABkcnMvc2hhcGV4bWwueG1sUEsFBgAAAAAGAAYAWwEAALID&#10;AAAAAA==&#10;">
                          <v:fill on="f" focussize="0,0"/>
                          <v:stroke on="f" weight="1pt"/>
                          <v:imagedata o:title=""/>
                          <o:lock v:ext="edit" aspectratio="f"/>
                          <v:textbox>
                            <w:txbxContent>
                              <w:p w14:paraId="0390C4F2">
                                <w:pPr>
                                  <w:jc w:val="both"/>
                                  <w:rPr>
                                    <w:rFonts w:hint="default" w:eastAsia="宋体"/>
                                    <w:color w:val="000000" w:themeColor="text1"/>
                                    <w:lang w:val="en-US" w:eastAsia="zh-CN"/>
                                    <w14:textFill>
                                      <w14:solidFill>
                                        <w14:schemeClr w14:val="tx1"/>
                                      </w14:solidFill>
                                    </w14:textFill>
                                  </w:rPr>
                                </w:pPr>
                                <w:r>
                                  <w:rPr>
                                    <w:rFonts w:hint="default" w:eastAsia="宋体"/>
                                    <w:color w:val="000000" w:themeColor="text1"/>
                                    <w:lang w:val="en-US" w:eastAsia="zh-CN"/>
                                    <w14:textFill>
                                      <w14:solidFill>
                                        <w14:schemeClr w14:val="tx1"/>
                                      </w14:solidFill>
                                    </w14:textFill>
                                  </w:rPr>
                                  <w:t>G</w:t>
                                </w:r>
                                <w:r>
                                  <w:rPr>
                                    <w:rFonts w:hint="eastAsia" w:eastAsia="宋体"/>
                                    <w:color w:val="000000" w:themeColor="text1"/>
                                    <w:lang w:val="en-US" w:eastAsia="zh-CN"/>
                                    <w14:textFill>
                                      <w14:solidFill>
                                        <w14:schemeClr w14:val="tx1"/>
                                      </w14:solidFill>
                                    </w14:textFill>
                                  </w:rPr>
                                  <w:t>11</w:t>
                                </w:r>
                                <w:r>
                                  <w:rPr>
                                    <w:rFonts w:hint="default" w:eastAsia="宋体"/>
                                    <w:color w:val="000000" w:themeColor="text1"/>
                                    <w:lang w:val="en-US" w:eastAsia="zh-CN"/>
                                    <w14:textFill>
                                      <w14:solidFill>
                                        <w14:schemeClr w14:val="tx1"/>
                                      </w14:solidFill>
                                    </w14:textFill>
                                  </w:rPr>
                                  <w:t>、N</w:t>
                                </w:r>
                                <w:r>
                                  <w:rPr>
                                    <w:rFonts w:hint="eastAsia" w:eastAsia="宋体"/>
                                    <w:color w:val="000000" w:themeColor="text1"/>
                                    <w:lang w:val="en-US" w:eastAsia="zh-CN"/>
                                    <w14:textFill>
                                      <w14:solidFill>
                                        <w14:schemeClr w14:val="tx1"/>
                                      </w14:solidFill>
                                    </w14:textFill>
                                  </w:rPr>
                                  <w:t>10、S</w:t>
                                </w:r>
                                <w:r>
                                  <w:rPr>
                                    <w:rFonts w:hint="eastAsia"/>
                                    <w:color w:val="000000" w:themeColor="text1"/>
                                    <w:lang w:val="en-US" w:eastAsia="zh-CN"/>
                                    <w14:textFill>
                                      <w14:solidFill>
                                        <w14:schemeClr w14:val="tx1"/>
                                      </w14:solidFill>
                                    </w14:textFill>
                                  </w:rPr>
                                  <w:t>2-3</w:t>
                                </w:r>
                              </w:p>
                            </w:txbxContent>
                          </v:textbox>
                        </v:rect>
                      </v:group>
                      <v:group id="组合 68" o:spid="_x0000_s1026" o:spt="203" style="position:absolute;left:2717165;top:7037705;height:353695;width:1301115;" coordorigin="5794,1015" coordsize="2049,557" o:gfxdata="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">
                        <o:lock v:ext="edit" aspectratio="f"/>
                        <v:shape id="曲线连接符 58" o:spid="_x0000_s1026" o:spt="38" type="#_x0000_t38" style="position:absolute;left:5794;top:1268;flip:y;height:305;width:486;" filled="f" stroked="t" coordsize="21600,21600" o:gfxdata="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9bQO74A&#10;AADcAAAADwAAAAAAAAABACAAAAAiAAAAZHJzL2Rvd25yZXYueG1sUEsBAhQAFAAAAAgAh07iQDMv&#10;BZ47AAAAOQAAABAAAAAAAAAAAQAgAAAADQEAAGRycy9zaGFwZXhtbC54bWxQSwUGAAAAAAYABgBb&#10;AQAAtwMAAAAA&#10;" adj="10800">
                          <v:fill on="f" focussize="0,0"/>
                          <v:stroke weight="1pt" color="#000000 [3213]" joinstyle="round" endarrow="classic" endarrowlength="long"/>
                          <v:imagedata o:title=""/>
                          <o:lock v:ext="edit" aspectratio="f"/>
                        </v:shape>
                        <v:rect id="矩形 59" o:spid="_x0000_s1026" o:spt="1" style="position:absolute;left:6163;top:1015;height:516;width:1680;v-text-anchor:middle;" filled="f" stroked="f" coordsize="21600,21600" o:gfxdata="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OYpY28AAAA&#10;3AAAAA8AAAAAAAAAAQAgAAAAIgAAAGRycy9kb3ducmV2LnhtbFBLAQIUABQAAAAIAIdO4kAzLwWe&#10;OwAAADkAAAAQAAAAAAAAAAEAIAAAAAsBAABkcnMvc2hhcGV4bWwueG1sUEsFBgAAAAAGAAYAWwEA&#10;ALUDAAAAAA==&#10;">
                          <v:fill on="f" focussize="0,0"/>
                          <v:stroke on="f" weight="1pt"/>
                          <v:imagedata o:title=""/>
                          <o:lock v:ext="edit" aspectratio="f"/>
                          <v:textbox>
                            <w:txbxContent>
                              <w:p w14:paraId="4705781D">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G12、S</w:t>
                                </w:r>
                                <w:r>
                                  <w:rPr>
                                    <w:rFonts w:hint="eastAsia"/>
                                    <w:color w:val="000000" w:themeColor="text1"/>
                                    <w:lang w:val="en-US" w:eastAsia="zh-CN"/>
                                    <w14:textFill>
                                      <w14:solidFill>
                                        <w14:schemeClr w14:val="tx1"/>
                                      </w14:solidFill>
                                    </w14:textFill>
                                  </w:rPr>
                                  <w:t>1-5</w:t>
                                </w:r>
                                <w:r>
                                  <w:rPr>
                                    <w:rFonts w:hint="eastAsia" w:eastAsia="宋体"/>
                                    <w:color w:val="000000" w:themeColor="text1"/>
                                    <w:lang w:val="en-US" w:eastAsia="zh-CN"/>
                                    <w14:textFill>
                                      <w14:solidFill>
                                        <w14:schemeClr w14:val="tx1"/>
                                      </w14:solidFill>
                                    </w14:textFill>
                                  </w:rPr>
                                  <w:t>、N11</w:t>
                                </w:r>
                              </w:p>
                            </w:txbxContent>
                          </v:textbox>
                        </v:rect>
                      </v:group>
                      <v:rect id="矩形 59" o:spid="_x0000_s1026" o:spt="1" style="position:absolute;left:2938145;top:1208405;height:327660;width:1066800;v-text-anchor:middle;" filled="f" stroked="f" coordsize="21600,21600" o:gfxdata="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Efg94rVAAAABgEAAA8AAAAAAAAAAQAgAAAAIgAAAGRycy9kb3ducmV2LnhtbFBLAQIUABQAAAAI&#10;AIdO4kBsG9AHYgIAAKUEAAAOAAAAAAAAAAEAIAAAACQBAABkcnMvZTJvRG9jLnhtbFBLBQYAAAAA&#10;BgAGAFkBAAD4BQAAAAA=&#10;">
                        <v:fill on="f" focussize="0,0"/>
                        <v:stroke on="f" weight="1pt"/>
                        <v:imagedata o:title=""/>
                        <o:lock v:ext="edit" aspectratio="f"/>
                        <v:textbox>
                          <w:txbxContent>
                            <w:p w14:paraId="06657DFB">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G5、N4</w:t>
                              </w:r>
                            </w:p>
                          </w:txbxContent>
                        </v:textbox>
                      </v:rect>
                      <v:group id="组合 61" o:spid="_x0000_s1026" o:spt="203" style="position:absolute;left:2610485;top:1947545;height:353695;width:1301115;" coordorigin="5794,1015" coordsize="2049,557" o:gfxdata="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">
                        <o:lock v:ext="edit" aspectratio="f"/>
                        <v:shape id="曲线连接符 58" o:spid="_x0000_s1026" o:spt="38" type="#_x0000_t38" style="position:absolute;left:5794;top:1268;flip:y;height:305;width:486;" filled="f" stroked="t" coordsize="21600,21600" o:gfxdata="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jt1ji/&#10;AAAA3AAAAA8AAAAAAAAAAQAgAAAAIgAAAGRycy9kb3ducmV2LnhtbFBLAQIUABQAAAAIAIdO4kAz&#10;LwWeOwAAADkAAAAQAAAAAAAAAAEAIAAAAA4BAABkcnMvc2hhcGV4bWwueG1sUEsFBgAAAAAGAAYA&#10;WwEAALgDAAAAAA==&#10;" adj="10800">
                          <v:fill on="f" focussize="0,0"/>
                          <v:stroke weight="1pt" color="#000000 [3213]" joinstyle="round" endarrow="classic" endarrowlength="long"/>
                          <v:imagedata o:title=""/>
                          <o:lock v:ext="edit" aspectratio="f"/>
                        </v:shape>
                        <v:rect id="矩形 59" o:spid="_x0000_s1026" o:spt="1" style="position:absolute;left:6163;top:1015;height:516;width:1680;v-text-anchor:middle;" filled="f" stroked="f" coordsize="21600,21600" o:gfxdata="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o6OOvQAA&#10;ANwAAAAPAAAAAAAAAAEAIAAAACIAAABkcnMvZG93bnJldi54bWxQSwECFAAUAAAACACHTuJAMy8F&#10;njsAAAA5AAAAEAAAAAAAAAABACAAAAAMAQAAZHJzL3NoYXBleG1sLnhtbFBLBQYAAAAABgAGAFsB&#10;AAC2AwAAAAA=&#10;">
                          <v:fill on="f" focussize="0,0"/>
                          <v:stroke on="f" weight="1pt"/>
                          <v:imagedata o:title=""/>
                          <o:lock v:ext="edit" aspectratio="f"/>
                          <v:textbox>
                            <w:txbxContent>
                              <w:p w14:paraId="664281F1">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G6、N5、S3</w:t>
                                </w:r>
                              </w:p>
                            </w:txbxContent>
                          </v:textbox>
                        </v:rect>
                      </v:group>
                      <v:group id="组合 61" o:spid="_x0000_s1026" o:spt="203" style="position:absolute;left:2724785;top:2618105;height:415290;width:1095375;" coordorigin="6106,895" coordsize="1725,654" o:gfxdata="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">
                        <o:lock v:ext="edit" aspectratio="f"/>
                        <v:shape id="曲线连接符 58" o:spid="_x0000_s1026" o:spt="38" type="#_x0000_t38" style="position:absolute;left:6106;top:1244;flip:y;height:305;width:486;" filled="f" stroked="t" coordsize="21600,21600" o:gfxdata="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lyQkq/&#10;AAAA3AAAAA8AAAAAAAAAAQAgAAAAIgAAAGRycy9kb3ducmV2LnhtbFBLAQIUABQAAAAIAIdO4kAz&#10;LwWeOwAAADkAAAAQAAAAAAAAAAEAIAAAAA4BAABkcnMvc2hhcGV4bWwueG1sUEsFBgAAAAAGAAYA&#10;WwEAALgDAAAAAA==&#10;" adj="10800">
                          <v:fill on="f" focussize="0,0"/>
                          <v:stroke weight="1pt" color="#000000 [3213]" joinstyle="round" endarrow="classic" endarrowlength="long"/>
                          <v:imagedata o:title=""/>
                          <o:lock v:ext="edit" aspectratio="f"/>
                        </v:shape>
                        <v:rect id="矩形 59" o:spid="_x0000_s1026" o:spt="1" style="position:absolute;left:6151;top:895;height:516;width:1680;v-text-anchor:middle;" filled="f" stroked="f" coordsize="21600,21600" o:gfxdata="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aTrSe5AAAA3AAA&#10;AA8AAAAAAAAAAQAgAAAAIgAAAGRycy9kb3ducmV2LnhtbFBLAQIUABQAAAAIAIdO4kAzLwWeOwAA&#10;ADkAAAAQAAAAAAAAAAEAIAAAAAgBAABkcnMvc2hhcGV4bWwueG1sUEsFBgAAAAAGAAYAWwEAALID&#10;AAAAAA==&#10;">
                          <v:fill on="f" focussize="0,0"/>
                          <v:stroke on="f" weight="1pt"/>
                          <v:imagedata o:title=""/>
                          <o:lock v:ext="edit" aspectratio="f"/>
                          <v:textbox>
                            <w:txbxContent>
                              <w:p w14:paraId="76876C32">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G7、N6、S2-2</w:t>
                                </w:r>
                              </w:p>
                            </w:txbxContent>
                          </v:textbox>
                        </v:rect>
                      </v:group>
                      <v:group id="组合 61" o:spid="_x0000_s1026" o:spt="203" style="position:absolute;left:2618105;top:3402965;height:353695;width:1301115;" coordorigin="5794,1015" coordsize="2049,557" o:gfxdata="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">
                        <o:lock v:ext="edit" aspectratio="f"/>
                        <v:shape id="曲线连接符 58" o:spid="_x0000_s1026" o:spt="38" type="#_x0000_t38" style="position:absolute;left:5794;top:1268;flip:y;height:305;width:486;" filled="f" stroked="t" coordsize="21600,21600" o:gfxdata="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IPRua/&#10;AAAA3AAAAA8AAAAAAAAAAQAgAAAAIgAAAGRycy9kb3ducmV2LnhtbFBLAQIUABQAAAAIAIdO4kAz&#10;LwWeOwAAADkAAAAQAAAAAAAAAAEAIAAAAA4BAABkcnMvc2hhcGV4bWwueG1sUEsFBgAAAAAGAAYA&#10;WwEAALgDAAAAAA==&#10;" adj="10800">
                          <v:fill on="f" focussize="0,0"/>
                          <v:stroke weight="1pt" color="#000000 [3213]" joinstyle="round" endarrow="classic" endarrowlength="long"/>
                          <v:imagedata o:title=""/>
                          <o:lock v:ext="edit" aspectratio="f"/>
                        </v:shape>
                        <v:rect id="矩形 59" o:spid="_x0000_s1026" o:spt="1" style="position:absolute;left:6163;top:1015;height:516;width:1680;v-text-anchor:middle;" filled="f" stroked="f" coordsize="21600,21600" o:gfxdata="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QTNQvQAA&#10;ANwAAAAPAAAAAAAAAAEAIAAAACIAAABkcnMvZG93bnJldi54bWxQSwECFAAUAAAACACHTuJAMy8F&#10;njsAAAA5AAAAEAAAAAAAAAABACAAAAAMAQAAZHJzL3NoYXBleG1sLnhtbFBLBQYAAAAABgAGAFsB&#10;AAC2AwAAAAA=&#10;">
                          <v:fill on="f" focussize="0,0"/>
                          <v:stroke on="f" weight="1pt"/>
                          <v:imagedata o:title=""/>
                          <o:lock v:ext="edit" aspectratio="f"/>
                          <v:textbox>
                            <w:txbxContent>
                              <w:p w14:paraId="1F497504">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G8、N7、S1-4</w:t>
                                </w:r>
                              </w:p>
                            </w:txbxContent>
                          </v:textbox>
                        </v:rect>
                      </v:group>
                      <v:shape id="直接箭头连接符 33" o:spid="_x0000_s1026" o:spt="32" type="#_x0000_t32" style="position:absolute;left:1688465;top:5399405;flip:x;height:4445;width:550545;" filled="f" stroked="t" coordsize="21600,21600" o:gfxdata="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F49GvzVAAAABgEAAA8AAAAAAAAAAQAgAAAAIgAAAGRycy9kb3ducmV2LnhtbFBLAQIUABQAAAAI&#10;AIdO4kAaPS7PKQIAAB8EAAAOAAAAAAAAAAEAIAAAACQBAABkcnMvZTJvRG9jLnhtbFBLBQYAAAAA&#10;BgAGAFkBAAC/BQAAAAA=&#10;">
                        <v:fill on="f" focussize="0,0"/>
                        <v:stroke weight="1pt" color="#000000 [3213]" joinstyle="round" startarrow="classic" startarrowlength="long" endarrowlength="long"/>
                        <v:imagedata o:title=""/>
                        <o:lock v:ext="edit" aspectratio="f"/>
                      </v:shape>
                      <v:line id="直接连接符 163" o:spid="_x0000_s1026" o:spt="20" style="position:absolute;left:1694180;top:5398135;height:721360;width:9525;" filled="f" stroked="t" coordsize="21600,21600" o:gfxdata="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Oe2+vTXAAAABgEAAA8AAAAAAAAAAQAgAAAA&#10;IgAAAGRycy9kb3ducmV2LnhtbFBLAQIUABQAAAAIAIdO4kCbgFnnDAIAAO4DAAAOAAAAAAAAAAEA&#10;IAAAACYBAABkcnMvZTJvRG9jLnhtbFBLBQYAAAAABgAGAFkBAACkBQAAAAA=&#10;">
                        <v:fill on="f" focussize="0,0"/>
                        <v:stroke weight="1pt" color="#000000 [3213]" joinstyle="round" startarrowlength="long"/>
                        <v:imagedata o:title=""/>
                        <o:lock v:ext="edit" aspectratio="f"/>
                      </v:line>
                      <v:group id="组合 68" o:spid="_x0000_s1026" o:spt="203" style="position:absolute;left:2663825;top:6329045;height:353695;width:1301115;" coordorigin="5794,1015" coordsize="2049,557" o:gfxdata="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">
                        <o:lock v:ext="edit" aspectratio="f"/>
                        <v:shape id="曲线连接符 58" o:spid="_x0000_s1026" o:spt="38" type="#_x0000_t38" style="position:absolute;left:5794;top:1268;flip:y;height:305;width:486;" filled="f" stroked="t" coordsize="21600,21600" o:gfxdata="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J45X6/&#10;AAAA3AAAAA8AAAAAAAAAAQAgAAAAIgAAAGRycy9kb3ducmV2LnhtbFBLAQIUABQAAAAIAIdO4kAz&#10;LwWeOwAAADkAAAAQAAAAAAAAAAEAIAAAAA4BAABkcnMvc2hhcGV4bWwueG1sUEsFBgAAAAAGAAYA&#10;WwEAALgDAAAAAA==&#10;" adj="10800">
                          <v:fill on="f" focussize="0,0"/>
                          <v:stroke weight="1pt" color="#000000 [3213]" joinstyle="round" endarrow="classic" endarrowlength="long"/>
                          <v:imagedata o:title=""/>
                          <o:lock v:ext="edit" aspectratio="f"/>
                        </v:shape>
                        <v:rect id="矩形 59" o:spid="_x0000_s1026" o:spt="1" style="position:absolute;left:6163;top:1015;height:516;width:1680;v-text-anchor:middle;" filled="f" stroked="f" coordsize="21600,21600" o:gfxdata="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jloSG5AAAA3AAA&#10;AA8AAAAAAAAAAQAgAAAAIgAAAGRycy9kb3ducmV2LnhtbFBLAQIUABQAAAAIAIdO4kAzLwWeOwAA&#10;ADkAAAAQAAAAAAAAAAEAIAAAAAgBAABkcnMvc2hhcGV4bWwueG1sUEsFBgAAAAAGAAYAWwEAALID&#10;AAAAAA==&#10;">
                          <v:fill on="f" focussize="0,0"/>
                          <v:stroke on="f" weight="1pt"/>
                          <v:imagedata o:title=""/>
                          <o:lock v:ext="edit" aspectratio="f"/>
                          <v:textbox>
                            <w:txbxContent>
                              <w:p w14:paraId="4D1CE133">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S</w:t>
                                </w:r>
                                <w:r>
                                  <w:rPr>
                                    <w:rFonts w:hint="eastAsia"/>
                                    <w:color w:val="000000" w:themeColor="text1"/>
                                    <w:lang w:val="en-US" w:eastAsia="zh-CN"/>
                                    <w14:textFill>
                                      <w14:solidFill>
                                        <w14:schemeClr w14:val="tx1"/>
                                      </w14:solidFill>
                                    </w14:textFill>
                                  </w:rPr>
                                  <w:t>2-4</w:t>
                                </w:r>
                              </w:p>
                            </w:txbxContent>
                          </v:textbox>
                        </v:rect>
                      </v:group>
                      <w10:wrap type="none"/>
                      <w10:anchorlock/>
                    </v:group>
                  </w:pict>
                </mc:Fallback>
              </mc:AlternateContent>
            </w:r>
          </w:p>
          <w:p w14:paraId="14031624">
            <w:pPr>
              <w:pStyle w:val="109"/>
              <w:keepNext w:val="0"/>
              <w:keepLines w:val="0"/>
              <w:pageBreakBefore w:val="0"/>
              <w:widowControl w:val="0"/>
              <w:tabs>
                <w:tab w:val="left" w:pos="3671"/>
              </w:tabs>
              <w:kinsoku/>
              <w:wordWrap/>
              <w:overflowPunct/>
              <w:topLinePunct w:val="0"/>
              <w:autoSpaceDE/>
              <w:autoSpaceDN/>
              <w:bidi w:val="0"/>
              <w:adjustRightInd/>
              <w:snapToGrid/>
              <w:spacing w:line="320" w:lineRule="exact"/>
              <w:jc w:val="center"/>
              <w:textAlignment w:val="auto"/>
              <w:rPr>
                <w:rFonts w:hint="eastAsia" w:ascii="黑体" w:hAnsi="黑体" w:eastAsia="黑体" w:cs="黑体"/>
                <w:color w:val="auto"/>
                <w:kern w:val="0"/>
                <w:szCs w:val="21"/>
                <w:highlight w:val="none"/>
              </w:rPr>
            </w:pPr>
            <w:r>
              <w:rPr>
                <w:rFonts w:ascii="Times New Roman" w:hAnsi="Times New Roman" w:eastAsia="黑体" w:cs="Times New Roman"/>
                <w:color w:val="auto"/>
                <w:kern w:val="0"/>
                <w:szCs w:val="21"/>
                <w:highlight w:val="none"/>
              </w:rPr>
              <w:t>图2-</w:t>
            </w:r>
            <w:r>
              <w:rPr>
                <w:rFonts w:hint="eastAsia" w:ascii="Times New Roman" w:hAnsi="Times New Roman" w:eastAsia="黑体" w:cs="Times New Roman"/>
                <w:color w:val="auto"/>
                <w:kern w:val="0"/>
                <w:szCs w:val="21"/>
                <w:highlight w:val="none"/>
                <w:lang w:val="en-US" w:eastAsia="zh-CN"/>
              </w:rPr>
              <w:t xml:space="preserve">7 </w:t>
            </w:r>
            <w:r>
              <w:rPr>
                <w:rFonts w:ascii="Times New Roman" w:hAnsi="Times New Roman" w:eastAsia="黑体" w:cs="Times New Roman"/>
                <w:color w:val="auto"/>
                <w:kern w:val="0"/>
                <w:szCs w:val="21"/>
                <w:highlight w:val="none"/>
              </w:rPr>
              <w:t xml:space="preserve"> 固</w:t>
            </w:r>
            <w:r>
              <w:rPr>
                <w:rFonts w:hint="eastAsia" w:ascii="Times New Roman" w:hAnsi="Times New Roman" w:eastAsia="黑体" w:cs="Times New Roman"/>
                <w:color w:val="auto"/>
                <w:kern w:val="0"/>
                <w:szCs w:val="21"/>
                <w:highlight w:val="none"/>
                <w:lang w:val="en-US" w:eastAsia="zh-CN"/>
              </w:rPr>
              <w:t>体复合微生物肥</w:t>
            </w:r>
            <w:r>
              <w:rPr>
                <w:rFonts w:hint="eastAsia" w:ascii="黑体" w:hAnsi="黑体" w:eastAsia="黑体" w:cs="黑体"/>
                <w:color w:val="auto"/>
                <w:kern w:val="0"/>
                <w:szCs w:val="21"/>
                <w:highlight w:val="none"/>
              </w:rPr>
              <w:t>生产工艺流程及产污节点图</w:t>
            </w:r>
          </w:p>
        </w:tc>
      </w:tr>
      <w:tr w14:paraId="0B46A6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vAlign w:val="center"/>
          </w:tcPr>
          <w:p w14:paraId="767D24A4">
            <w:pPr>
              <w:pStyle w:val="44"/>
              <w:widowControl w:val="0"/>
              <w:spacing w:before="0" w:beforeAutospacing="0" w:after="0" w:afterAutospacing="0"/>
              <w:jc w:val="center"/>
              <w:rPr>
                <w:rFonts w:ascii="Times New Roman" w:hAnsi="Times New Roman"/>
                <w:color w:val="auto"/>
                <w:kern w:val="0"/>
                <w:sz w:val="21"/>
                <w:szCs w:val="21"/>
                <w:highlight w:val="none"/>
              </w:rPr>
            </w:pPr>
            <w:r>
              <w:rPr>
                <w:rFonts w:ascii="Times New Roman" w:hAnsi="Times New Roman"/>
                <w:bCs/>
                <w:color w:val="auto"/>
                <w:kern w:val="0"/>
                <w:highlight w:val="none"/>
              </w:rPr>
              <w:t>与项目有关的原有环境污</w:t>
            </w:r>
            <w:r>
              <w:rPr>
                <w:rFonts w:hint="eastAsia" w:ascii="Times New Roman" w:hAnsi="Times New Roman"/>
                <w:bCs/>
                <w:color w:val="auto"/>
                <w:kern w:val="0"/>
                <w:highlight w:val="none"/>
              </w:rPr>
              <w:t>染问题</w:t>
            </w:r>
          </w:p>
        </w:tc>
        <w:tc>
          <w:tcPr>
            <w:tcW w:w="8547" w:type="dxa"/>
          </w:tcPr>
          <w:p w14:paraId="39F391D4">
            <w:pPr>
              <w:keepNext w:val="0"/>
              <w:keepLines w:val="0"/>
              <w:pageBreakBefore w:val="0"/>
              <w:widowControl w:val="0"/>
              <w:tabs>
                <w:tab w:val="left" w:pos="2395"/>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b/>
                <w:bCs/>
                <w:color w:val="auto"/>
                <w:sz w:val="24"/>
                <w:szCs w:val="22"/>
                <w:highlight w:val="none"/>
              </w:rPr>
            </w:pPr>
            <w:r>
              <w:rPr>
                <w:rFonts w:hint="eastAsia"/>
                <w:b/>
                <w:bCs/>
                <w:color w:val="auto"/>
                <w:sz w:val="24"/>
                <w:szCs w:val="22"/>
                <w:highlight w:val="none"/>
                <w:lang w:val="en-US" w:eastAsia="zh-CN"/>
              </w:rPr>
              <w:t>1</w:t>
            </w:r>
            <w:r>
              <w:rPr>
                <w:rFonts w:hint="eastAsia"/>
                <w:b/>
                <w:bCs/>
                <w:color w:val="auto"/>
                <w:sz w:val="24"/>
                <w:szCs w:val="22"/>
                <w:highlight w:val="none"/>
              </w:rPr>
              <w:t>、</w:t>
            </w:r>
            <w:r>
              <w:rPr>
                <w:rFonts w:hint="default" w:ascii="Times New Roman" w:hAnsi="Times New Roman" w:eastAsia="宋体" w:cs="Times New Roman"/>
                <w:b/>
                <w:bCs/>
                <w:color w:val="auto"/>
                <w:sz w:val="24"/>
                <w:szCs w:val="22"/>
                <w:highlight w:val="none"/>
              </w:rPr>
              <w:t>现有工程环保手续情况：</w:t>
            </w:r>
          </w:p>
          <w:p w14:paraId="4FCEB0BF">
            <w:pPr>
              <w:keepNext w:val="0"/>
              <w:keepLines w:val="0"/>
              <w:pageBreakBefore w:val="0"/>
              <w:widowControl w:val="0"/>
              <w:tabs>
                <w:tab w:val="left" w:pos="2395"/>
              </w:tabs>
              <w:kinsoku/>
              <w:wordWrap/>
              <w:overflowPunct/>
              <w:topLinePunct w:val="0"/>
              <w:autoSpaceDE/>
              <w:autoSpaceDN/>
              <w:bidi w:val="0"/>
              <w:adjustRightInd/>
              <w:snapToGrid/>
              <w:spacing w:line="440" w:lineRule="exact"/>
              <w:ind w:firstLine="482" w:firstLineChars="200"/>
              <w:textAlignment w:val="auto"/>
              <w:rPr>
                <w:rFonts w:hint="eastAsia" w:ascii="Times New Roman" w:hAnsi="Times New Roman" w:eastAsia="宋体" w:cs="Times New Roman"/>
                <w:b/>
                <w:bCs/>
                <w:color w:val="auto"/>
                <w:sz w:val="24"/>
                <w:szCs w:val="22"/>
                <w:highlight w:val="none"/>
                <w:lang w:val="en-US" w:eastAsia="zh-CN"/>
              </w:rPr>
            </w:pPr>
            <w:r>
              <w:rPr>
                <w:rFonts w:hint="eastAsia" w:ascii="Times New Roman" w:hAnsi="Times New Roman" w:eastAsia="宋体" w:cs="Times New Roman"/>
                <w:b/>
                <w:bCs/>
                <w:color w:val="auto"/>
                <w:sz w:val="24"/>
                <w:szCs w:val="22"/>
                <w:highlight w:val="none"/>
                <w:lang w:val="en-US" w:eastAsia="zh-CN"/>
              </w:rPr>
              <w:t>（1）环评手续</w:t>
            </w:r>
          </w:p>
          <w:p w14:paraId="727F0B37">
            <w:pPr>
              <w:keepNext w:val="0"/>
              <w:keepLines w:val="0"/>
              <w:pageBreakBefore w:val="0"/>
              <w:widowControl w:val="0"/>
              <w:tabs>
                <w:tab w:val="left" w:pos="2395"/>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2"/>
                <w:highlight w:val="none"/>
              </w:rPr>
            </w:pPr>
            <w:r>
              <w:rPr>
                <w:rFonts w:hint="eastAsia" w:ascii="Times New Roman" w:hAnsi="Times New Roman" w:eastAsia="宋体" w:cs="Times New Roman"/>
                <w:color w:val="auto"/>
                <w:sz w:val="24"/>
                <w:szCs w:val="22"/>
                <w:highlight w:val="none"/>
                <w:lang w:val="en-US" w:eastAsia="zh-CN"/>
              </w:rPr>
              <w:t>1）</w:t>
            </w:r>
            <w:r>
              <w:rPr>
                <w:rFonts w:hint="default" w:ascii="Times New Roman" w:hAnsi="Times New Roman" w:eastAsia="宋体" w:cs="Times New Roman"/>
                <w:color w:val="auto"/>
                <w:sz w:val="24"/>
                <w:szCs w:val="22"/>
                <w:highlight w:val="none"/>
              </w:rPr>
              <w:t>现有项目于2022年5月10日取得昆明市生态环境局寻甸分局对《云南錦创环境科技有限公司果蔬废弃物处理项目环境影响报告表》的首次批复，批复文号：昆生环寻复[2022]39号；</w:t>
            </w:r>
          </w:p>
          <w:p w14:paraId="4BF5702E">
            <w:pPr>
              <w:keepNext w:val="0"/>
              <w:keepLines w:val="0"/>
              <w:pageBreakBefore w:val="0"/>
              <w:widowControl w:val="0"/>
              <w:tabs>
                <w:tab w:val="left" w:pos="2395"/>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2"/>
                <w:highlight w:val="none"/>
              </w:rPr>
            </w:pPr>
            <w:r>
              <w:rPr>
                <w:rFonts w:hint="eastAsia" w:ascii="Times New Roman" w:hAnsi="Times New Roman" w:eastAsia="宋体" w:cs="Times New Roman"/>
                <w:color w:val="auto"/>
                <w:sz w:val="24"/>
                <w:szCs w:val="22"/>
                <w:highlight w:val="none"/>
                <w:lang w:val="en-US" w:eastAsia="zh-CN"/>
              </w:rPr>
              <w:t>2）</w:t>
            </w:r>
            <w:r>
              <w:rPr>
                <w:rFonts w:hint="default" w:ascii="Times New Roman" w:hAnsi="Times New Roman" w:eastAsia="宋体" w:cs="Times New Roman"/>
                <w:color w:val="auto"/>
                <w:sz w:val="24"/>
                <w:szCs w:val="22"/>
                <w:highlight w:val="none"/>
              </w:rPr>
              <w:t>主体建设过程中因生产工艺、产品方案发生重大变动，昆明市生态环境局寻甸分局于2023年6月21日对《云南錦创环境科技有限公司果蔬废弃物处理项目（变更）环境影响报告表》进行了批复，批复文号：昆生环寻复〔2023〕24号；</w:t>
            </w:r>
          </w:p>
          <w:p w14:paraId="498E8885">
            <w:pPr>
              <w:keepNext w:val="0"/>
              <w:keepLines w:val="0"/>
              <w:pageBreakBefore w:val="0"/>
              <w:widowControl w:val="0"/>
              <w:tabs>
                <w:tab w:val="left" w:pos="2395"/>
              </w:tabs>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2"/>
                <w:highlight w:val="none"/>
                <w:lang w:eastAsia="zh-CN"/>
              </w:rPr>
            </w:pPr>
            <w:r>
              <w:rPr>
                <w:rFonts w:hint="eastAsia" w:ascii="Times New Roman" w:hAnsi="Times New Roman" w:eastAsia="宋体" w:cs="Times New Roman"/>
                <w:color w:val="auto"/>
                <w:sz w:val="24"/>
                <w:szCs w:val="22"/>
                <w:highlight w:val="none"/>
                <w:lang w:val="en-US" w:eastAsia="zh-CN"/>
              </w:rPr>
              <w:t>3）</w:t>
            </w:r>
            <w:r>
              <w:rPr>
                <w:rFonts w:hint="default" w:ascii="Times New Roman" w:hAnsi="Times New Roman" w:eastAsia="宋体" w:cs="Times New Roman"/>
                <w:color w:val="auto"/>
                <w:sz w:val="24"/>
                <w:szCs w:val="22"/>
                <w:highlight w:val="none"/>
              </w:rPr>
              <w:t>设备安装过程中，由于烟气处理措施与项目实际不适用，导致废气污染措施发生变化，污染量增加10%以上，项目发生重大变动需重新报批，昆明市生态环境局寻甸分局于2024年10月16日对《云南錦创环境科技有限公司果蔬废弃物处理项目环境影响报告表（重新报批）》进行了批复，批复文号：昆生环寻复[2024]22号）</w:t>
            </w:r>
            <w:r>
              <w:rPr>
                <w:rFonts w:hint="eastAsia" w:ascii="Times New Roman" w:hAnsi="Times New Roman" w:eastAsia="宋体" w:cs="Times New Roman"/>
                <w:color w:val="auto"/>
                <w:sz w:val="24"/>
                <w:szCs w:val="22"/>
                <w:highlight w:val="none"/>
                <w:lang w:eastAsia="zh-CN"/>
              </w:rPr>
              <w:t>。</w:t>
            </w:r>
          </w:p>
          <w:p w14:paraId="1873C14E">
            <w:pPr>
              <w:keepNext w:val="0"/>
              <w:keepLines w:val="0"/>
              <w:pageBreakBefore w:val="0"/>
              <w:widowControl w:val="0"/>
              <w:tabs>
                <w:tab w:val="left" w:pos="2395"/>
              </w:tabs>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sz w:val="24"/>
                <w:szCs w:val="22"/>
                <w:highlight w:val="none"/>
                <w:lang w:val="en-US" w:eastAsia="zh-CN"/>
              </w:rPr>
            </w:pPr>
            <w:r>
              <w:rPr>
                <w:rFonts w:hint="eastAsia" w:ascii="Times New Roman" w:hAnsi="Times New Roman" w:eastAsia="宋体" w:cs="Times New Roman"/>
                <w:b/>
                <w:bCs/>
                <w:color w:val="auto"/>
                <w:sz w:val="24"/>
                <w:szCs w:val="22"/>
                <w:highlight w:val="none"/>
                <w:lang w:eastAsia="zh-CN"/>
              </w:rPr>
              <w:t>（</w:t>
            </w:r>
            <w:r>
              <w:rPr>
                <w:rFonts w:hint="eastAsia" w:ascii="Times New Roman" w:hAnsi="Times New Roman" w:eastAsia="宋体" w:cs="Times New Roman"/>
                <w:b/>
                <w:bCs/>
                <w:color w:val="auto"/>
                <w:sz w:val="24"/>
                <w:szCs w:val="22"/>
                <w:highlight w:val="none"/>
                <w:lang w:val="en-US" w:eastAsia="zh-CN"/>
              </w:rPr>
              <w:t>2</w:t>
            </w:r>
            <w:r>
              <w:rPr>
                <w:rFonts w:hint="eastAsia" w:ascii="Times New Roman" w:hAnsi="Times New Roman" w:eastAsia="宋体" w:cs="Times New Roman"/>
                <w:b/>
                <w:bCs/>
                <w:color w:val="auto"/>
                <w:sz w:val="24"/>
                <w:szCs w:val="22"/>
                <w:highlight w:val="none"/>
                <w:lang w:eastAsia="zh-CN"/>
              </w:rPr>
              <w:t>）</w:t>
            </w:r>
            <w:r>
              <w:rPr>
                <w:rFonts w:hint="eastAsia" w:ascii="Times New Roman" w:hAnsi="Times New Roman" w:eastAsia="宋体" w:cs="Times New Roman"/>
                <w:b/>
                <w:bCs/>
                <w:color w:val="auto"/>
                <w:sz w:val="24"/>
                <w:szCs w:val="22"/>
                <w:highlight w:val="none"/>
                <w:lang w:val="en-US" w:eastAsia="zh-CN"/>
              </w:rPr>
              <w:t>排污许可申请</w:t>
            </w:r>
          </w:p>
          <w:p w14:paraId="56F01940">
            <w:pPr>
              <w:keepNext w:val="0"/>
              <w:keepLines w:val="0"/>
              <w:pageBreakBefore w:val="0"/>
              <w:widowControl w:val="0"/>
              <w:tabs>
                <w:tab w:val="left" w:pos="2395"/>
              </w:tabs>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2"/>
                <w:highlight w:val="none"/>
                <w:lang w:eastAsia="zh-CN"/>
              </w:rPr>
            </w:pPr>
            <w:r>
              <w:rPr>
                <w:rFonts w:hint="default" w:ascii="Times New Roman" w:hAnsi="Times New Roman" w:eastAsia="宋体" w:cs="Times New Roman"/>
                <w:color w:val="auto"/>
                <w:sz w:val="24"/>
                <w:szCs w:val="22"/>
                <w:highlight w:val="none"/>
              </w:rPr>
              <w:t>项目建设完成后于2024年12月16日进行了排污许可登记，登记编号为91530129MA7BBA1DXW001X，有效期为2024年12月16日至2029年12月15日</w:t>
            </w:r>
            <w:r>
              <w:rPr>
                <w:rFonts w:hint="eastAsia" w:ascii="Times New Roman" w:hAnsi="Times New Roman" w:eastAsia="宋体" w:cs="Times New Roman"/>
                <w:color w:val="auto"/>
                <w:sz w:val="24"/>
                <w:szCs w:val="22"/>
                <w:highlight w:val="none"/>
                <w:lang w:eastAsia="zh-CN"/>
              </w:rPr>
              <w:t>。</w:t>
            </w:r>
          </w:p>
          <w:p w14:paraId="1A1C0444">
            <w:pPr>
              <w:keepNext w:val="0"/>
              <w:keepLines w:val="0"/>
              <w:pageBreakBefore w:val="0"/>
              <w:widowControl w:val="0"/>
              <w:tabs>
                <w:tab w:val="left" w:pos="2395"/>
              </w:tabs>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sz w:val="24"/>
                <w:szCs w:val="22"/>
                <w:highlight w:val="none"/>
                <w:lang w:val="en-US" w:eastAsia="zh-CN"/>
              </w:rPr>
            </w:pPr>
            <w:r>
              <w:rPr>
                <w:rFonts w:hint="eastAsia" w:ascii="Times New Roman" w:hAnsi="Times New Roman" w:eastAsia="宋体" w:cs="Times New Roman"/>
                <w:b/>
                <w:bCs/>
                <w:color w:val="auto"/>
                <w:sz w:val="24"/>
                <w:szCs w:val="22"/>
                <w:highlight w:val="none"/>
                <w:lang w:eastAsia="zh-CN"/>
              </w:rPr>
              <w:t>（</w:t>
            </w:r>
            <w:r>
              <w:rPr>
                <w:rFonts w:hint="eastAsia" w:ascii="Times New Roman" w:hAnsi="Times New Roman" w:eastAsia="宋体" w:cs="Times New Roman"/>
                <w:b/>
                <w:bCs/>
                <w:color w:val="auto"/>
                <w:sz w:val="24"/>
                <w:szCs w:val="22"/>
                <w:highlight w:val="none"/>
                <w:lang w:val="en-US" w:eastAsia="zh-CN"/>
              </w:rPr>
              <w:t>3</w:t>
            </w:r>
            <w:r>
              <w:rPr>
                <w:rFonts w:hint="eastAsia" w:ascii="Times New Roman" w:hAnsi="Times New Roman" w:eastAsia="宋体" w:cs="Times New Roman"/>
                <w:b/>
                <w:bCs/>
                <w:color w:val="auto"/>
                <w:sz w:val="24"/>
                <w:szCs w:val="22"/>
                <w:highlight w:val="none"/>
                <w:lang w:eastAsia="zh-CN"/>
              </w:rPr>
              <w:t>）</w:t>
            </w:r>
            <w:r>
              <w:rPr>
                <w:rFonts w:hint="eastAsia" w:ascii="Times New Roman" w:hAnsi="Times New Roman" w:eastAsia="宋体" w:cs="Times New Roman"/>
                <w:b/>
                <w:bCs/>
                <w:color w:val="auto"/>
                <w:sz w:val="24"/>
                <w:szCs w:val="22"/>
                <w:highlight w:val="none"/>
                <w:lang w:val="en-US" w:eastAsia="zh-CN"/>
              </w:rPr>
              <w:t>突发环境事件应急预案</w:t>
            </w:r>
          </w:p>
          <w:p w14:paraId="210BBABC">
            <w:pPr>
              <w:keepNext w:val="0"/>
              <w:keepLines w:val="0"/>
              <w:pageBreakBefore w:val="0"/>
              <w:widowControl w:val="0"/>
              <w:tabs>
                <w:tab w:val="left" w:pos="2395"/>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于2024年12月26日编制完成《云南錦创环境科技有限公司突发环境事件应急预案》，并于2024年12月27日于昆明市生态环境局寻甸分局备案，备案号为530-129-2024-146-M。</w:t>
            </w:r>
          </w:p>
          <w:p w14:paraId="2C93FBE6">
            <w:pPr>
              <w:keepNext w:val="0"/>
              <w:keepLines w:val="0"/>
              <w:pageBreakBefore w:val="0"/>
              <w:widowControl w:val="0"/>
              <w:tabs>
                <w:tab w:val="left" w:pos="2395"/>
              </w:tabs>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sz w:val="24"/>
                <w:szCs w:val="22"/>
                <w:highlight w:val="none"/>
                <w:lang w:val="en-US" w:eastAsia="zh-CN"/>
              </w:rPr>
            </w:pPr>
            <w:r>
              <w:rPr>
                <w:rFonts w:hint="eastAsia" w:ascii="Times New Roman" w:hAnsi="Times New Roman" w:eastAsia="宋体" w:cs="Times New Roman"/>
                <w:b/>
                <w:bCs/>
                <w:color w:val="auto"/>
                <w:sz w:val="24"/>
                <w:szCs w:val="22"/>
                <w:highlight w:val="none"/>
                <w:lang w:eastAsia="zh-CN"/>
              </w:rPr>
              <w:t>（</w:t>
            </w:r>
            <w:r>
              <w:rPr>
                <w:rFonts w:hint="eastAsia" w:ascii="Times New Roman" w:hAnsi="Times New Roman" w:eastAsia="宋体" w:cs="Times New Roman"/>
                <w:b/>
                <w:bCs/>
                <w:color w:val="auto"/>
                <w:sz w:val="24"/>
                <w:szCs w:val="22"/>
                <w:highlight w:val="none"/>
                <w:lang w:val="en-US" w:eastAsia="zh-CN"/>
              </w:rPr>
              <w:t>4</w:t>
            </w:r>
            <w:r>
              <w:rPr>
                <w:rFonts w:hint="eastAsia" w:ascii="Times New Roman" w:hAnsi="Times New Roman" w:eastAsia="宋体" w:cs="Times New Roman"/>
                <w:b/>
                <w:bCs/>
                <w:color w:val="auto"/>
                <w:sz w:val="24"/>
                <w:szCs w:val="22"/>
                <w:highlight w:val="none"/>
                <w:lang w:eastAsia="zh-CN"/>
              </w:rPr>
              <w:t>）</w:t>
            </w:r>
            <w:r>
              <w:rPr>
                <w:rFonts w:hint="eastAsia" w:ascii="Times New Roman" w:hAnsi="Times New Roman" w:eastAsia="宋体" w:cs="Times New Roman"/>
                <w:b/>
                <w:bCs/>
                <w:color w:val="auto"/>
                <w:sz w:val="24"/>
                <w:szCs w:val="22"/>
                <w:highlight w:val="none"/>
                <w:lang w:val="en-US" w:eastAsia="zh-CN"/>
              </w:rPr>
              <w:t>环保竣工验收</w:t>
            </w:r>
          </w:p>
          <w:p w14:paraId="50F840AA">
            <w:pPr>
              <w:keepNext w:val="0"/>
              <w:keepLines w:val="0"/>
              <w:pageBreakBefore w:val="0"/>
              <w:widowControl w:val="0"/>
              <w:tabs>
                <w:tab w:val="left" w:pos="2395"/>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2025年3月初云南錦创环境科技有限公司编制完成了《云南錦创环境科技有限公司果蔬废弃物处理项目竣工环境保护验收监测报告表》，并于2025年3月27日，该竣工环境保护验收合格。</w:t>
            </w:r>
          </w:p>
          <w:p w14:paraId="502E3B5F">
            <w:pPr>
              <w:keepNext w:val="0"/>
              <w:keepLines w:val="0"/>
              <w:pageBreakBefore w:val="0"/>
              <w:widowControl w:val="0"/>
              <w:tabs>
                <w:tab w:val="left" w:pos="2395"/>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综上，现有</w:t>
            </w:r>
            <w:r>
              <w:rPr>
                <w:rFonts w:hint="default" w:ascii="Times New Roman" w:hAnsi="Times New Roman" w:eastAsia="宋体" w:cs="Times New Roman"/>
                <w:color w:val="auto"/>
                <w:sz w:val="24"/>
                <w:highlight w:val="none"/>
              </w:rPr>
              <w:t>项目环保手续齐全。</w:t>
            </w:r>
          </w:p>
          <w:p w14:paraId="0643E246">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b/>
                <w:bCs/>
                <w:color w:val="auto"/>
                <w:kern w:val="0"/>
                <w:sz w:val="24"/>
                <w:highlight w:val="none"/>
              </w:rPr>
            </w:pPr>
            <w:r>
              <w:rPr>
                <w:rFonts w:hint="eastAsia" w:cs="Times New Roman"/>
                <w:b/>
                <w:bCs/>
                <w:color w:val="auto"/>
                <w:kern w:val="0"/>
                <w:sz w:val="24"/>
                <w:szCs w:val="24"/>
                <w:highlight w:val="none"/>
                <w:lang w:val="en-US" w:eastAsia="zh-CN" w:bidi="ar-SA"/>
              </w:rPr>
              <w:t>2</w:t>
            </w:r>
            <w:r>
              <w:rPr>
                <w:rFonts w:hint="eastAsia" w:ascii="Times New Roman" w:hAnsi="Times New Roman" w:eastAsia="宋体" w:cs="Times New Roman"/>
                <w:b/>
                <w:bCs/>
                <w:color w:val="auto"/>
                <w:kern w:val="0"/>
                <w:sz w:val="24"/>
                <w:szCs w:val="24"/>
                <w:highlight w:val="none"/>
                <w:lang w:val="en-US" w:eastAsia="zh-CN" w:bidi="ar-SA"/>
              </w:rPr>
              <w:t>、</w:t>
            </w:r>
            <w:r>
              <w:rPr>
                <w:rFonts w:hint="eastAsia" w:eastAsia="Calibri"/>
                <w:b/>
                <w:bCs/>
                <w:color w:val="auto"/>
                <w:kern w:val="0"/>
                <w:sz w:val="24"/>
                <w:highlight w:val="none"/>
              </w:rPr>
              <w:t>现有工程基本情况</w:t>
            </w:r>
          </w:p>
          <w:p w14:paraId="754C444F">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eastAsia="Calibri"/>
                <w:b/>
                <w:bCs/>
                <w:color w:val="auto"/>
                <w:kern w:val="0"/>
                <w:sz w:val="24"/>
                <w:highlight w:val="none"/>
              </w:rPr>
            </w:pPr>
            <w:r>
              <w:rPr>
                <w:rFonts w:hint="eastAsia" w:eastAsia="Calibri"/>
                <w:b/>
                <w:bCs/>
                <w:color w:val="auto"/>
                <w:kern w:val="0"/>
                <w:sz w:val="24"/>
                <w:highlight w:val="none"/>
              </w:rPr>
              <w:t>（1）生产规模及产品方案</w:t>
            </w:r>
          </w:p>
          <w:p w14:paraId="09E583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表2-</w:t>
            </w:r>
            <w:r>
              <w:rPr>
                <w:rFonts w:hint="eastAsia"/>
                <w:b/>
                <w:bCs/>
                <w:color w:val="auto"/>
                <w:szCs w:val="21"/>
                <w:highlight w:val="none"/>
                <w:lang w:val="en-US" w:eastAsia="zh-CN"/>
              </w:rPr>
              <w:t xml:space="preserve">12  </w:t>
            </w:r>
            <w:r>
              <w:rPr>
                <w:b/>
                <w:bCs/>
                <w:color w:val="auto"/>
                <w:szCs w:val="21"/>
                <w:highlight w:val="none"/>
              </w:rPr>
              <w:t>项目生产规模和产品方案对比表</w:t>
            </w:r>
          </w:p>
          <w:tbl>
            <w:tblPr>
              <w:tblStyle w:val="26"/>
              <w:tblW w:w="4999"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141"/>
              <w:gridCol w:w="2267"/>
              <w:gridCol w:w="3396"/>
              <w:gridCol w:w="1800"/>
            </w:tblGrid>
            <w:tr w14:paraId="3C039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63" w:type="pct"/>
                  <w:vMerge w:val="restart"/>
                  <w:vAlign w:val="center"/>
                </w:tcPr>
                <w:p w14:paraId="44EC3EC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Cs w:val="21"/>
                      <w:highlight w:val="none"/>
                    </w:rPr>
                  </w:pPr>
                  <w:r>
                    <w:rPr>
                      <w:b/>
                      <w:bCs/>
                      <w:color w:val="auto"/>
                      <w:szCs w:val="21"/>
                      <w:highlight w:val="none"/>
                    </w:rPr>
                    <w:t>序号</w:t>
                  </w:r>
                </w:p>
              </w:tc>
              <w:tc>
                <w:tcPr>
                  <w:tcW w:w="4336" w:type="pct"/>
                  <w:gridSpan w:val="3"/>
                  <w:vAlign w:val="center"/>
                </w:tcPr>
                <w:p w14:paraId="36322008">
                  <w:pPr>
                    <w:keepNext w:val="0"/>
                    <w:keepLines w:val="0"/>
                    <w:pageBreakBefore w:val="0"/>
                    <w:widowControl w:val="0"/>
                    <w:kinsoku/>
                    <w:wordWrap/>
                    <w:overflowPunct/>
                    <w:topLinePunct w:val="0"/>
                    <w:autoSpaceDE/>
                    <w:autoSpaceDN/>
                    <w:bidi w:val="0"/>
                    <w:spacing w:line="320" w:lineRule="exact"/>
                    <w:jc w:val="center"/>
                    <w:textAlignment w:val="auto"/>
                    <w:rPr>
                      <w:b/>
                      <w:bCs/>
                      <w:color w:val="auto"/>
                      <w:szCs w:val="21"/>
                      <w:highlight w:val="none"/>
                    </w:rPr>
                  </w:pPr>
                  <w:r>
                    <w:rPr>
                      <w:b/>
                      <w:bCs/>
                      <w:color w:val="auto"/>
                      <w:szCs w:val="21"/>
                      <w:highlight w:val="none"/>
                    </w:rPr>
                    <w:t>验收阶段</w:t>
                  </w:r>
                </w:p>
              </w:tc>
            </w:tr>
            <w:tr w14:paraId="7FA82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63" w:type="pct"/>
                  <w:vMerge w:val="continue"/>
                  <w:vAlign w:val="center"/>
                </w:tcPr>
                <w:p w14:paraId="71214E6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Cs w:val="21"/>
                      <w:highlight w:val="none"/>
                    </w:rPr>
                  </w:pPr>
                </w:p>
              </w:tc>
              <w:tc>
                <w:tcPr>
                  <w:tcW w:w="1317" w:type="pct"/>
                  <w:vAlign w:val="center"/>
                </w:tcPr>
                <w:p w14:paraId="25CA7A0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Cs w:val="21"/>
                      <w:highlight w:val="none"/>
                    </w:rPr>
                  </w:pPr>
                  <w:r>
                    <w:rPr>
                      <w:b/>
                      <w:color w:val="auto"/>
                      <w:szCs w:val="21"/>
                      <w:highlight w:val="none"/>
                    </w:rPr>
                    <w:t>产品名称</w:t>
                  </w:r>
                </w:p>
              </w:tc>
              <w:tc>
                <w:tcPr>
                  <w:tcW w:w="1973" w:type="pct"/>
                  <w:vAlign w:val="center"/>
                </w:tcPr>
                <w:p w14:paraId="63B8FF1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Cs w:val="21"/>
                      <w:highlight w:val="none"/>
                    </w:rPr>
                  </w:pPr>
                  <w:r>
                    <w:rPr>
                      <w:b/>
                      <w:color w:val="auto"/>
                      <w:szCs w:val="21"/>
                      <w:highlight w:val="none"/>
                    </w:rPr>
                    <w:t>产品规格</w:t>
                  </w:r>
                </w:p>
              </w:tc>
              <w:tc>
                <w:tcPr>
                  <w:tcW w:w="1045" w:type="pct"/>
                  <w:vAlign w:val="center"/>
                </w:tcPr>
                <w:p w14:paraId="4B1F024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Cs w:val="21"/>
                      <w:highlight w:val="none"/>
                    </w:rPr>
                  </w:pPr>
                  <w:r>
                    <w:rPr>
                      <w:b/>
                      <w:color w:val="auto"/>
                      <w:szCs w:val="21"/>
                      <w:highlight w:val="none"/>
                    </w:rPr>
                    <w:t>数量</w:t>
                  </w:r>
                </w:p>
              </w:tc>
            </w:tr>
            <w:tr w14:paraId="491CD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63" w:type="pct"/>
                  <w:vAlign w:val="center"/>
                </w:tcPr>
                <w:p w14:paraId="7027BF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Cs w:val="21"/>
                      <w:highlight w:val="none"/>
                    </w:rPr>
                  </w:pPr>
                  <w:r>
                    <w:rPr>
                      <w:bCs/>
                      <w:color w:val="auto"/>
                      <w:szCs w:val="21"/>
                      <w:highlight w:val="none"/>
                    </w:rPr>
                    <w:t>1</w:t>
                  </w:r>
                </w:p>
              </w:tc>
              <w:tc>
                <w:tcPr>
                  <w:tcW w:w="1317" w:type="pct"/>
                  <w:vAlign w:val="center"/>
                </w:tcPr>
                <w:p w14:paraId="3FE0DB4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Cs w:val="21"/>
                      <w:highlight w:val="none"/>
                    </w:rPr>
                  </w:pPr>
                  <w:r>
                    <w:rPr>
                      <w:bCs/>
                      <w:color w:val="auto"/>
                      <w:szCs w:val="21"/>
                      <w:highlight w:val="none"/>
                    </w:rPr>
                    <w:t>蔬菜干饲料</w:t>
                  </w:r>
                </w:p>
              </w:tc>
              <w:tc>
                <w:tcPr>
                  <w:tcW w:w="1973" w:type="pct"/>
                  <w:vAlign w:val="center"/>
                </w:tcPr>
                <w:p w14:paraId="30493BB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Cs w:val="21"/>
                      <w:highlight w:val="none"/>
                    </w:rPr>
                  </w:pPr>
                  <w:r>
                    <w:rPr>
                      <w:bCs/>
                      <w:color w:val="auto"/>
                      <w:szCs w:val="21"/>
                      <w:highlight w:val="none"/>
                    </w:rPr>
                    <w:t>根据市场需求调整</w:t>
                  </w:r>
                </w:p>
              </w:tc>
              <w:tc>
                <w:tcPr>
                  <w:tcW w:w="1045" w:type="pct"/>
                  <w:vAlign w:val="center"/>
                </w:tcPr>
                <w:p w14:paraId="0483A35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Cs w:val="21"/>
                      <w:highlight w:val="none"/>
                    </w:rPr>
                  </w:pPr>
                  <w:r>
                    <w:rPr>
                      <w:bCs/>
                      <w:color w:val="auto"/>
                      <w:szCs w:val="21"/>
                      <w:highlight w:val="none"/>
                    </w:rPr>
                    <w:t>3.1万t/a</w:t>
                  </w:r>
                </w:p>
              </w:tc>
            </w:tr>
          </w:tbl>
          <w:p w14:paraId="47DD20AF">
            <w:pPr>
              <w:numPr>
                <w:ilvl w:val="0"/>
                <w:numId w:val="0"/>
              </w:numPr>
              <w:spacing w:before="120" w:beforeLines="50" w:line="360" w:lineRule="auto"/>
              <w:ind w:firstLine="482" w:firstLineChars="200"/>
              <w:rPr>
                <w:b/>
                <w:color w:val="auto"/>
                <w:sz w:val="24"/>
                <w:highlight w:val="none"/>
              </w:rPr>
            </w:pPr>
            <w:r>
              <w:rPr>
                <w:rFonts w:ascii="Times New Roman" w:hAnsi="Times New Roman" w:eastAsia="宋体" w:cs="Times New Roman"/>
                <w:b/>
                <w:color w:val="auto"/>
                <w:kern w:val="2"/>
                <w:sz w:val="24"/>
                <w:szCs w:val="24"/>
                <w:highlight w:val="none"/>
                <w:lang w:val="en-US" w:eastAsia="zh-CN" w:bidi="ar-SA"/>
              </w:rPr>
              <w:t>（2）</w:t>
            </w:r>
            <w:r>
              <w:rPr>
                <w:rFonts w:hint="eastAsia"/>
                <w:b/>
                <w:color w:val="auto"/>
                <w:sz w:val="24"/>
                <w:highlight w:val="none"/>
              </w:rPr>
              <w:t>原辅材料</w:t>
            </w:r>
          </w:p>
          <w:p w14:paraId="093BC04E">
            <w:pPr>
              <w:jc w:val="center"/>
              <w:rPr>
                <w:rFonts w:hint="eastAsia" w:eastAsia="宋体"/>
                <w:b/>
                <w:bCs/>
                <w:color w:val="auto"/>
                <w:szCs w:val="21"/>
                <w:highlight w:val="none"/>
                <w:lang w:val="en-US" w:eastAsia="zh-CN"/>
              </w:rPr>
            </w:pPr>
            <w:r>
              <w:rPr>
                <w:b/>
                <w:bCs/>
                <w:color w:val="auto"/>
                <w:szCs w:val="21"/>
                <w:highlight w:val="none"/>
              </w:rPr>
              <w:t>表2-</w:t>
            </w:r>
            <w:r>
              <w:rPr>
                <w:rFonts w:hint="eastAsia"/>
                <w:b/>
                <w:bCs/>
                <w:color w:val="auto"/>
                <w:szCs w:val="21"/>
                <w:highlight w:val="none"/>
                <w:lang w:val="en-US" w:eastAsia="zh-CN"/>
              </w:rPr>
              <w:t>13  现有</w:t>
            </w:r>
            <w:r>
              <w:rPr>
                <w:b/>
                <w:bCs/>
                <w:color w:val="auto"/>
                <w:szCs w:val="21"/>
                <w:highlight w:val="none"/>
              </w:rPr>
              <w:t>项目原辅材料</w:t>
            </w:r>
            <w:r>
              <w:rPr>
                <w:rFonts w:hint="eastAsia"/>
                <w:b/>
                <w:bCs/>
                <w:color w:val="auto"/>
                <w:szCs w:val="21"/>
                <w:highlight w:val="none"/>
                <w:lang w:val="en-US" w:eastAsia="zh-CN"/>
              </w:rPr>
              <w:t>消耗量</w:t>
            </w:r>
          </w:p>
          <w:tbl>
            <w:tblPr>
              <w:tblStyle w:val="26"/>
              <w:tblW w:w="49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3796"/>
              <w:gridCol w:w="3700"/>
            </w:tblGrid>
            <w:tr w14:paraId="7470C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14:paraId="544D24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序号</w:t>
                  </w:r>
                </w:p>
              </w:tc>
              <w:tc>
                <w:tcPr>
                  <w:tcW w:w="2237" w:type="pct"/>
                  <w:vAlign w:val="center"/>
                </w:tcPr>
                <w:p w14:paraId="2E8ED2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名称</w:t>
                  </w:r>
                </w:p>
              </w:tc>
              <w:tc>
                <w:tcPr>
                  <w:tcW w:w="2180" w:type="pct"/>
                  <w:vAlign w:val="center"/>
                </w:tcPr>
                <w:p w14:paraId="359221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实际消耗量</w:t>
                  </w:r>
                </w:p>
              </w:tc>
            </w:tr>
            <w:tr w14:paraId="4DA7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14:paraId="25BBC9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1</w:t>
                  </w:r>
                </w:p>
              </w:tc>
              <w:tc>
                <w:tcPr>
                  <w:tcW w:w="2237" w:type="pct"/>
                  <w:vAlign w:val="center"/>
                </w:tcPr>
                <w:p w14:paraId="303C6F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果蔬废弃物</w:t>
                  </w:r>
                </w:p>
              </w:tc>
              <w:tc>
                <w:tcPr>
                  <w:tcW w:w="2180" w:type="pct"/>
                  <w:vAlign w:val="center"/>
                </w:tcPr>
                <w:p w14:paraId="74DD4C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3300</w:t>
                  </w:r>
                  <w:r>
                    <w:rPr>
                      <w:rFonts w:hint="eastAsia"/>
                      <w:color w:val="auto"/>
                      <w:szCs w:val="21"/>
                      <w:highlight w:val="none"/>
                    </w:rPr>
                    <w:t>00</w:t>
                  </w:r>
                  <w:r>
                    <w:rPr>
                      <w:color w:val="auto"/>
                      <w:szCs w:val="21"/>
                      <w:highlight w:val="none"/>
                    </w:rPr>
                    <w:t>t/</w:t>
                  </w:r>
                  <w:r>
                    <w:rPr>
                      <w:rFonts w:hint="eastAsia"/>
                      <w:color w:val="auto"/>
                      <w:szCs w:val="21"/>
                      <w:highlight w:val="none"/>
                      <w:lang w:val="en-US" w:eastAsia="zh-CN"/>
                    </w:rPr>
                    <w:t>a</w:t>
                  </w:r>
                </w:p>
              </w:tc>
            </w:tr>
            <w:tr w14:paraId="1F31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14:paraId="3F4F19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2</w:t>
                  </w:r>
                </w:p>
              </w:tc>
              <w:tc>
                <w:tcPr>
                  <w:tcW w:w="2237" w:type="pct"/>
                  <w:vAlign w:val="center"/>
                </w:tcPr>
                <w:p w14:paraId="5880AB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生物质颗粒燃料</w:t>
                  </w:r>
                </w:p>
              </w:tc>
              <w:tc>
                <w:tcPr>
                  <w:tcW w:w="2180" w:type="pct"/>
                  <w:vAlign w:val="center"/>
                </w:tcPr>
                <w:p w14:paraId="4A7FF9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10950t/a</w:t>
                  </w:r>
                </w:p>
              </w:tc>
            </w:tr>
            <w:tr w14:paraId="6B17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14:paraId="4362E0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3</w:t>
                  </w:r>
                </w:p>
              </w:tc>
              <w:tc>
                <w:tcPr>
                  <w:tcW w:w="2237" w:type="pct"/>
                  <w:vAlign w:val="center"/>
                </w:tcPr>
                <w:p w14:paraId="434B20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沼气</w:t>
                  </w:r>
                </w:p>
              </w:tc>
              <w:tc>
                <w:tcPr>
                  <w:tcW w:w="2180" w:type="pct"/>
                  <w:vAlign w:val="center"/>
                </w:tcPr>
                <w:p w14:paraId="5BED9D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110.97万m</w:t>
                  </w:r>
                  <w:r>
                    <w:rPr>
                      <w:color w:val="auto"/>
                      <w:szCs w:val="21"/>
                      <w:highlight w:val="none"/>
                      <w:vertAlign w:val="superscript"/>
                    </w:rPr>
                    <w:t>3</w:t>
                  </w:r>
                  <w:r>
                    <w:rPr>
                      <w:color w:val="auto"/>
                      <w:szCs w:val="21"/>
                      <w:highlight w:val="none"/>
                    </w:rPr>
                    <w:t>/a</w:t>
                  </w:r>
                </w:p>
              </w:tc>
            </w:tr>
            <w:tr w14:paraId="1884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14:paraId="0D728B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4</w:t>
                  </w:r>
                </w:p>
              </w:tc>
              <w:tc>
                <w:tcPr>
                  <w:tcW w:w="2237" w:type="pct"/>
                  <w:vAlign w:val="center"/>
                </w:tcPr>
                <w:p w14:paraId="7E5954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水</w:t>
                  </w:r>
                </w:p>
              </w:tc>
              <w:tc>
                <w:tcPr>
                  <w:tcW w:w="2180" w:type="pct"/>
                  <w:vAlign w:val="center"/>
                </w:tcPr>
                <w:p w14:paraId="2FEEE12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5955.71t/a</w:t>
                  </w:r>
                </w:p>
              </w:tc>
            </w:tr>
            <w:tr w14:paraId="6769A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14:paraId="2A9C22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5</w:t>
                  </w:r>
                </w:p>
              </w:tc>
              <w:tc>
                <w:tcPr>
                  <w:tcW w:w="2237" w:type="pct"/>
                  <w:vAlign w:val="center"/>
                </w:tcPr>
                <w:p w14:paraId="42E9C7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电</w:t>
                  </w:r>
                </w:p>
              </w:tc>
              <w:tc>
                <w:tcPr>
                  <w:tcW w:w="2180" w:type="pct"/>
                  <w:vAlign w:val="center"/>
                </w:tcPr>
                <w:p w14:paraId="0C9DE1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602000kwh/a</w:t>
                  </w:r>
                </w:p>
              </w:tc>
            </w:tr>
            <w:tr w14:paraId="25BE9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14:paraId="5AC35E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6</w:t>
                  </w:r>
                </w:p>
              </w:tc>
              <w:tc>
                <w:tcPr>
                  <w:tcW w:w="2237" w:type="pct"/>
                  <w:vAlign w:val="center"/>
                </w:tcPr>
                <w:p w14:paraId="140731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脱硫剂</w:t>
                  </w:r>
                </w:p>
              </w:tc>
              <w:tc>
                <w:tcPr>
                  <w:tcW w:w="2180" w:type="pct"/>
                  <w:vAlign w:val="center"/>
                </w:tcPr>
                <w:p w14:paraId="436FC5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16t/a</w:t>
                  </w:r>
                </w:p>
              </w:tc>
            </w:tr>
            <w:tr w14:paraId="2AAE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14:paraId="1C6832D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7</w:t>
                  </w:r>
                </w:p>
              </w:tc>
              <w:tc>
                <w:tcPr>
                  <w:tcW w:w="2237" w:type="pct"/>
                  <w:vAlign w:val="center"/>
                </w:tcPr>
                <w:p w14:paraId="647426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生物除臭剂</w:t>
                  </w:r>
                </w:p>
              </w:tc>
              <w:tc>
                <w:tcPr>
                  <w:tcW w:w="2180" w:type="pct"/>
                  <w:vAlign w:val="center"/>
                </w:tcPr>
                <w:p w14:paraId="15C28B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10t/a</w:t>
                  </w:r>
                </w:p>
              </w:tc>
            </w:tr>
            <w:tr w14:paraId="185EE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14:paraId="1673F2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8</w:t>
                  </w:r>
                </w:p>
              </w:tc>
              <w:tc>
                <w:tcPr>
                  <w:tcW w:w="2237" w:type="pct"/>
                  <w:vAlign w:val="center"/>
                </w:tcPr>
                <w:p w14:paraId="792326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活性炭</w:t>
                  </w:r>
                </w:p>
              </w:tc>
              <w:tc>
                <w:tcPr>
                  <w:tcW w:w="2180" w:type="pct"/>
                  <w:vAlign w:val="center"/>
                </w:tcPr>
                <w:p w14:paraId="41AE65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7.5t/a</w:t>
                  </w:r>
                </w:p>
              </w:tc>
            </w:tr>
            <w:tr w14:paraId="09BC9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14:paraId="0B8BCD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9</w:t>
                  </w:r>
                </w:p>
              </w:tc>
              <w:tc>
                <w:tcPr>
                  <w:tcW w:w="2237" w:type="pct"/>
                  <w:vAlign w:val="center"/>
                </w:tcPr>
                <w:p w14:paraId="0D4E67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絮凝剂</w:t>
                  </w:r>
                </w:p>
              </w:tc>
              <w:tc>
                <w:tcPr>
                  <w:tcW w:w="2180" w:type="pct"/>
                  <w:vAlign w:val="center"/>
                </w:tcPr>
                <w:p w14:paraId="475419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150t/a</w:t>
                  </w:r>
                </w:p>
              </w:tc>
            </w:tr>
            <w:tr w14:paraId="56A0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14:paraId="242106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10</w:t>
                  </w:r>
                </w:p>
              </w:tc>
              <w:tc>
                <w:tcPr>
                  <w:tcW w:w="2237" w:type="pct"/>
                  <w:vAlign w:val="center"/>
                </w:tcPr>
                <w:p w14:paraId="21F224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石灰</w:t>
                  </w:r>
                </w:p>
              </w:tc>
              <w:tc>
                <w:tcPr>
                  <w:tcW w:w="2180" w:type="pct"/>
                  <w:vAlign w:val="center"/>
                </w:tcPr>
                <w:p w14:paraId="499771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3t/a</w:t>
                  </w:r>
                </w:p>
              </w:tc>
            </w:tr>
            <w:tr w14:paraId="7667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14:paraId="5E3231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4"/>
                      <w:highlight w:val="none"/>
                    </w:rPr>
                  </w:pPr>
                  <w:r>
                    <w:rPr>
                      <w:color w:val="auto"/>
                      <w:szCs w:val="21"/>
                      <w:highlight w:val="none"/>
                    </w:rPr>
                    <w:t>11</w:t>
                  </w:r>
                </w:p>
              </w:tc>
              <w:tc>
                <w:tcPr>
                  <w:tcW w:w="2237" w:type="pct"/>
                  <w:vAlign w:val="center"/>
                </w:tcPr>
                <w:p w14:paraId="4694DF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4"/>
                      <w:highlight w:val="none"/>
                    </w:rPr>
                  </w:pPr>
                  <w:r>
                    <w:rPr>
                      <w:color w:val="auto"/>
                      <w:szCs w:val="21"/>
                      <w:highlight w:val="none"/>
                    </w:rPr>
                    <w:t>尿素</w:t>
                  </w:r>
                </w:p>
              </w:tc>
              <w:tc>
                <w:tcPr>
                  <w:tcW w:w="2180" w:type="pct"/>
                  <w:vAlign w:val="center"/>
                </w:tcPr>
                <w:p w14:paraId="5D8056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4"/>
                      <w:highlight w:val="none"/>
                    </w:rPr>
                  </w:pPr>
                  <w:r>
                    <w:rPr>
                      <w:color w:val="auto"/>
                      <w:szCs w:val="21"/>
                      <w:highlight w:val="none"/>
                    </w:rPr>
                    <w:t>1.1t/a</w:t>
                  </w:r>
                </w:p>
              </w:tc>
            </w:tr>
          </w:tbl>
          <w:p w14:paraId="6AC4272A">
            <w:pPr>
              <w:keepNext w:val="0"/>
              <w:keepLines w:val="0"/>
              <w:pageBreakBefore w:val="0"/>
              <w:widowControl w:val="0"/>
              <w:kinsoku/>
              <w:wordWrap/>
              <w:overflowPunct/>
              <w:topLinePunct w:val="0"/>
              <w:autoSpaceDE/>
              <w:autoSpaceDN/>
              <w:bidi w:val="0"/>
              <w:spacing w:line="440" w:lineRule="exact"/>
              <w:ind w:firstLine="482"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（3）工作制度及劳动定员</w:t>
            </w:r>
          </w:p>
          <w:p w14:paraId="021F56B2">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kern w:val="24"/>
                <w:sz w:val="24"/>
                <w:szCs w:val="28"/>
                <w:highlight w:val="none"/>
              </w:rPr>
            </w:pPr>
            <w:r>
              <w:rPr>
                <w:rFonts w:hint="default" w:ascii="Times New Roman" w:hAnsi="Times New Roman" w:eastAsia="宋体" w:cs="Times New Roman"/>
                <w:bCs/>
                <w:color w:val="auto"/>
                <w:sz w:val="24"/>
                <w:highlight w:val="none"/>
              </w:rPr>
              <w:t>现有项目每年生产333天。果蔬废弃物</w:t>
            </w:r>
            <w:r>
              <w:rPr>
                <w:rFonts w:hint="default" w:ascii="Times New Roman" w:hAnsi="Times New Roman" w:eastAsia="宋体" w:cs="Times New Roman"/>
                <w:color w:val="auto"/>
                <w:sz w:val="24"/>
                <w:highlight w:val="none"/>
              </w:rPr>
              <w:t>卸料系统、破碎压榨生产线每天工作8小时，尾渣烘干生产线每天20个小时，生产废水处理生产线每天24个小时。厂区住宿人数5人，在厂区就餐人数中餐38人，晚餐10人。</w:t>
            </w:r>
          </w:p>
          <w:p w14:paraId="074D9574">
            <w:pPr>
              <w:keepNext w:val="0"/>
              <w:keepLines w:val="0"/>
              <w:pageBreakBefore w:val="0"/>
              <w:widowControl w:val="0"/>
              <w:kinsoku/>
              <w:wordWrap/>
              <w:overflowPunct/>
              <w:topLinePunct w:val="0"/>
              <w:autoSpaceDE/>
              <w:autoSpaceDN/>
              <w:bidi w:val="0"/>
              <w:spacing w:line="440" w:lineRule="exact"/>
              <w:ind w:firstLine="482" w:firstLineChars="200"/>
              <w:jc w:val="left"/>
              <w:textAlignment w:val="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（4）平面布置</w:t>
            </w:r>
          </w:p>
          <w:p w14:paraId="0E334F42">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主要有生产区和办公生活区。</w:t>
            </w:r>
          </w:p>
          <w:p w14:paraId="06B484CD">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生产区由东北侧入口至西南侧依次布置有值班室、休息室、计量室、计量衡、车辆清洗池、洗车槽、卸料平台、破碎压榨脱水车间、一级烘干车间、废水收集池、二级烘干粉碎车间、生产废水处理系统；并在一级烘干车间热风炉旁设置低氮燃烧+尿素喷淋+降尘室、旋风除尘器、喷淋塔水膜除尘器；在</w:t>
            </w:r>
            <w:r>
              <w:rPr>
                <w:rFonts w:hint="eastAsia" w:cs="Times New Roman"/>
                <w:color w:val="auto"/>
                <w:sz w:val="24"/>
                <w:highlight w:val="none"/>
                <w:lang w:eastAsia="zh-CN"/>
              </w:rPr>
              <w:t>二级烘干粉碎车间</w:t>
            </w:r>
            <w:r>
              <w:rPr>
                <w:rFonts w:hint="default" w:ascii="Times New Roman" w:hAnsi="Times New Roman" w:eastAsia="宋体" w:cs="Times New Roman"/>
                <w:color w:val="auto"/>
                <w:sz w:val="24"/>
                <w:highlight w:val="none"/>
              </w:rPr>
              <w:t>热风炉旁设置低氮燃烧+尿素喷淋+喷淋塔水膜除尘器+钠碱法脱硫；在粉碎机上设置1套布袋除尘器，粉碎粉尘经过布袋除尘器后和</w:t>
            </w:r>
            <w:r>
              <w:rPr>
                <w:rFonts w:hint="eastAsia" w:cs="Times New Roman"/>
                <w:color w:val="auto"/>
                <w:sz w:val="24"/>
                <w:highlight w:val="none"/>
                <w:lang w:eastAsia="zh-CN"/>
              </w:rPr>
              <w:t>二级烘干粉碎车间</w:t>
            </w:r>
            <w:r>
              <w:rPr>
                <w:rFonts w:hint="default" w:ascii="Times New Roman" w:hAnsi="Times New Roman" w:eastAsia="宋体" w:cs="Times New Roman"/>
                <w:color w:val="auto"/>
                <w:sz w:val="24"/>
                <w:highlight w:val="none"/>
              </w:rPr>
              <w:t>废气一起通过喷淋塔水膜除尘器；在一级烘干车间东面分别设置2根15m高排气筒。</w:t>
            </w:r>
          </w:p>
          <w:p w14:paraId="466B2BC1">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办公生活区位于项目区西南侧，设有办公大楼、业务用房、停车位和公厕等；厨房废水隔油器设置在业务用房一层西南面，容积1</w:t>
            </w:r>
            <w:r>
              <w:rPr>
                <w:rFonts w:hint="default" w:ascii="Times New Roman" w:hAnsi="Times New Roman" w:eastAsia="宋体" w:cs="Times New Roman"/>
                <w:bCs/>
                <w:color w:val="auto"/>
                <w:sz w:val="24"/>
                <w:highlight w:val="none"/>
              </w:rPr>
              <w:t>m</w:t>
            </w:r>
            <w:r>
              <w:rPr>
                <w:rFonts w:hint="default" w:ascii="Times New Roman" w:hAnsi="Times New Roman" w:eastAsia="宋体" w:cs="Times New Roman"/>
                <w:bCs/>
                <w:color w:val="auto"/>
                <w:sz w:val="24"/>
                <w:highlight w:val="none"/>
                <w:vertAlign w:val="superscript"/>
              </w:rPr>
              <w:t>3</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sz w:val="24"/>
                <w:highlight w:val="none"/>
              </w:rPr>
              <w:t>处理规模3</w:t>
            </w:r>
            <w:r>
              <w:rPr>
                <w:rFonts w:hint="default" w:ascii="Times New Roman" w:hAnsi="Times New Roman" w:eastAsia="宋体" w:cs="Times New Roman"/>
                <w:bCs/>
                <w:color w:val="auto"/>
                <w:sz w:val="24"/>
                <w:highlight w:val="none"/>
              </w:rPr>
              <w:t>m</w:t>
            </w:r>
            <w:r>
              <w:rPr>
                <w:rFonts w:hint="default" w:ascii="Times New Roman" w:hAnsi="Times New Roman" w:eastAsia="宋体" w:cs="Times New Roman"/>
                <w:bCs/>
                <w:color w:val="auto"/>
                <w:sz w:val="24"/>
                <w:highlight w:val="none"/>
                <w:vertAlign w:val="superscript"/>
              </w:rPr>
              <w:t>3</w:t>
            </w:r>
            <w:r>
              <w:rPr>
                <w:rFonts w:hint="default" w:ascii="Times New Roman" w:hAnsi="Times New Roman" w:eastAsia="宋体" w:cs="Times New Roman"/>
                <w:bCs/>
                <w:color w:val="auto"/>
                <w:sz w:val="24"/>
                <w:highlight w:val="none"/>
              </w:rPr>
              <w:t>/h</w:t>
            </w:r>
            <w:r>
              <w:rPr>
                <w:rFonts w:hint="default" w:ascii="Times New Roman" w:hAnsi="Times New Roman" w:eastAsia="宋体" w:cs="Times New Roman"/>
                <w:color w:val="auto"/>
                <w:sz w:val="24"/>
                <w:highlight w:val="none"/>
              </w:rPr>
              <w:t>；1号公厕西北面设置1个化粪池，容积3m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；2号公厕东南面设置1个化粪池，容积16m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；生活垃圾收集桶，设于办公区域内。</w:t>
            </w:r>
          </w:p>
          <w:p w14:paraId="3CDE5EB6">
            <w:pPr>
              <w:keepNext w:val="0"/>
              <w:keepLines w:val="0"/>
              <w:pageBreakBefore w:val="0"/>
              <w:widowControl w:val="0"/>
              <w:kinsoku/>
              <w:wordWrap/>
              <w:overflowPunct/>
              <w:topLinePunct w:val="0"/>
              <w:autoSpaceDE/>
              <w:autoSpaceDN/>
              <w:bidi w:val="0"/>
              <w:spacing w:line="440" w:lineRule="exact"/>
              <w:ind w:firstLine="482" w:firstLineChars="200"/>
              <w:textAlignment w:val="auto"/>
              <w:rPr>
                <w:rFonts w:hint="default" w:ascii="Times New Roman" w:hAnsi="Times New Roman" w:eastAsia="宋体" w:cs="Times New Roman"/>
                <w:b/>
                <w:bCs/>
                <w:color w:val="auto"/>
                <w:sz w:val="24"/>
                <w:highlight w:val="none"/>
              </w:rPr>
            </w:pPr>
          </w:p>
          <w:p w14:paraId="37986A88">
            <w:pPr>
              <w:keepNext w:val="0"/>
              <w:keepLines w:val="0"/>
              <w:pageBreakBefore w:val="0"/>
              <w:widowControl w:val="0"/>
              <w:kinsoku/>
              <w:wordWrap/>
              <w:overflowPunct/>
              <w:topLinePunct w:val="0"/>
              <w:autoSpaceDE/>
              <w:autoSpaceDN/>
              <w:bidi w:val="0"/>
              <w:spacing w:line="440" w:lineRule="exact"/>
              <w:ind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（5）工艺流程</w:t>
            </w:r>
          </w:p>
          <w:p w14:paraId="6D3BB7B3">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1）</w:t>
            </w:r>
            <w:r>
              <w:rPr>
                <w:rFonts w:hint="default" w:ascii="Times New Roman" w:hAnsi="Times New Roman" w:eastAsia="宋体" w:cs="Times New Roman"/>
                <w:b/>
                <w:bCs/>
                <w:color w:val="auto"/>
                <w:sz w:val="24"/>
                <w:highlight w:val="none"/>
              </w:rPr>
              <w:t>果蔬废弃物粉碎压榨脱水工艺流程简述：</w:t>
            </w:r>
          </w:p>
          <w:p w14:paraId="27033521">
            <w:pPr>
              <w:keepNext w:val="0"/>
              <w:keepLines w:val="0"/>
              <w:pageBreakBefore w:val="0"/>
              <w:widowControl w:val="0"/>
              <w:tabs>
                <w:tab w:val="left" w:pos="840"/>
              </w:tabs>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zh-CN"/>
              </w:rPr>
              <w:t>项目所使用的</w:t>
            </w:r>
            <w:r>
              <w:rPr>
                <w:rFonts w:hint="default" w:ascii="Times New Roman" w:hAnsi="Times New Roman" w:eastAsia="宋体" w:cs="Times New Roman"/>
                <w:color w:val="auto"/>
                <w:sz w:val="24"/>
                <w:highlight w:val="none"/>
              </w:rPr>
              <w:t>果蔬废弃物已经由供货商进行初步筛选过，主要为品相不好、卖相不好的新鲜的废弃果蔬，不含有腐烂菜叶及其它杂质，进场后无需进行拣选。果蔬废弃物经粉碎、压榨脱水后形成果蔬渣，再对果蔬渣进行烘干、粉碎、包装为蔬菜干饲料。各部分工艺流程描述如下。</w:t>
            </w:r>
          </w:p>
          <w:p w14:paraId="411A0A6E">
            <w:pPr>
              <w:keepNext w:val="0"/>
              <w:keepLines w:val="0"/>
              <w:pageBreakBefore w:val="0"/>
              <w:widowControl w:val="0"/>
              <w:kinsoku/>
              <w:wordWrap/>
              <w:overflowPunct/>
              <w:topLinePunct w:val="0"/>
              <w:autoSpaceDE/>
              <w:autoSpaceDN/>
              <w:bidi w:val="0"/>
              <w:spacing w:line="440" w:lineRule="exact"/>
              <w:ind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①卸料</w:t>
            </w:r>
          </w:p>
          <w:p w14:paraId="1F0EF6D4">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果蔬废弃物收集车将收集来的果蔬废弃物卸入卸料仓，物料经过料仓螺旋输送机输送至皮带输送机。由皮带输送机输送到粉碎分选机进料斗。卸料阶段主要污染物为设备噪声和卸料时产生的废水（卸料渗滤液）、卸料产生的果蔬废弃物异味。卸料废水（卸料渗滤液）通过管道</w:t>
            </w:r>
            <w:r>
              <w:rPr>
                <w:rFonts w:hint="default" w:ascii="Times New Roman" w:hAnsi="Times New Roman" w:eastAsia="宋体" w:cs="Times New Roman"/>
                <w:bCs/>
                <w:color w:val="auto"/>
                <w:sz w:val="24"/>
                <w:highlight w:val="none"/>
              </w:rPr>
              <w:t>进入</w:t>
            </w:r>
            <w:r>
              <w:rPr>
                <w:rFonts w:hint="eastAsia" w:cs="Times New Roman"/>
                <w:bCs/>
                <w:color w:val="auto"/>
                <w:sz w:val="24"/>
                <w:highlight w:val="none"/>
                <w:lang w:eastAsia="zh-CN"/>
              </w:rPr>
              <w:t>二级烘干粉碎车间</w:t>
            </w:r>
            <w:r>
              <w:rPr>
                <w:rFonts w:hint="default" w:ascii="Times New Roman" w:hAnsi="Times New Roman" w:eastAsia="宋体" w:cs="Times New Roman"/>
                <w:bCs/>
                <w:color w:val="auto"/>
                <w:sz w:val="24"/>
                <w:highlight w:val="none"/>
              </w:rPr>
              <w:t>内的废水收集池后，由生产废水处理系统处理</w:t>
            </w:r>
            <w:r>
              <w:rPr>
                <w:rFonts w:hint="default" w:ascii="Times New Roman" w:hAnsi="Times New Roman" w:eastAsia="宋体" w:cs="Times New Roman"/>
                <w:color w:val="auto"/>
                <w:sz w:val="24"/>
                <w:highlight w:val="none"/>
              </w:rPr>
              <w:t>达到《污水排入城镇下水道水质标准》（GB/T31962-2015）表1中A等级标准后，排入寻甸县污水处理厂。原料进场后直接卸料进入120m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的卸料仓，然后进入粉碎分选环节。设置一个临时原料堆场，仅供卸料仓无法正常运行时使用，因此异味主要产生于卸料、临时堆放环节，通过喷洒除臭剂进行控制。</w:t>
            </w:r>
          </w:p>
          <w:p w14:paraId="1C1FE6D4">
            <w:pPr>
              <w:keepNext w:val="0"/>
              <w:keepLines w:val="0"/>
              <w:pageBreakBefore w:val="0"/>
              <w:widowControl w:val="0"/>
              <w:kinsoku/>
              <w:wordWrap/>
              <w:overflowPunct/>
              <w:topLinePunct w:val="0"/>
              <w:autoSpaceDE/>
              <w:autoSpaceDN/>
              <w:bidi w:val="0"/>
              <w:spacing w:line="440" w:lineRule="exact"/>
              <w:ind w:firstLine="482" w:firstLineChars="200"/>
              <w:textAlignment w:val="auto"/>
              <w:rPr>
                <w:rFonts w:hint="default" w:ascii="Times New Roman" w:hAnsi="Times New Roman" w:eastAsia="宋体" w:cs="Times New Roman"/>
                <w:b/>
                <w:bCs/>
                <w:color w:val="auto"/>
                <w:sz w:val="24"/>
                <w:highlight w:val="none"/>
                <w:shd w:val="clear" w:color="auto" w:fill="FFFFFF"/>
              </w:rPr>
            </w:pPr>
            <w:r>
              <w:rPr>
                <w:rFonts w:hint="default" w:ascii="Times New Roman" w:hAnsi="Times New Roman" w:eastAsia="宋体" w:cs="Times New Roman"/>
                <w:b/>
                <w:bCs/>
                <w:color w:val="auto"/>
                <w:sz w:val="24"/>
                <w:highlight w:val="none"/>
                <w:shd w:val="clear" w:color="auto" w:fill="FFFFFF"/>
              </w:rPr>
              <w:t>②粉碎分选</w:t>
            </w:r>
          </w:p>
          <w:p w14:paraId="0EE71541">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sz w:val="24"/>
                <w:highlight w:val="none"/>
                <w:shd w:val="clear" w:color="auto" w:fill="FFFFFF"/>
              </w:rPr>
              <w:t>原料由机器料斗进入粉碎分选一体机，筛孔直径10mm；在机器最底层设置有抛料板，粉碎好的物料从出料口抛出。粉碎前物料</w:t>
            </w:r>
            <w:r>
              <w:rPr>
                <w:rFonts w:hint="default" w:ascii="Times New Roman" w:hAnsi="Times New Roman" w:eastAsia="宋体" w:cs="Times New Roman"/>
                <w:color w:val="auto"/>
                <w:sz w:val="24"/>
                <w:highlight w:val="none"/>
              </w:rPr>
              <w:t>含水率约90%，因此粉碎过程中不会产生粉尘，主要为设备噪声和粉碎分选产生的废水（粉碎分选渗滤液）、粉碎分选产生的果蔬废弃物异味。粉碎分选废水（粉碎分选渗滤液）通过管道进入</w:t>
            </w:r>
            <w:r>
              <w:rPr>
                <w:rFonts w:hint="eastAsia" w:cs="Times New Roman"/>
                <w:bCs/>
                <w:color w:val="auto"/>
                <w:sz w:val="24"/>
                <w:highlight w:val="none"/>
                <w:lang w:eastAsia="zh-CN"/>
              </w:rPr>
              <w:t>二级烘干粉碎车间</w:t>
            </w:r>
            <w:r>
              <w:rPr>
                <w:rFonts w:hint="default" w:ascii="Times New Roman" w:hAnsi="Times New Roman" w:eastAsia="宋体" w:cs="Times New Roman"/>
                <w:bCs/>
                <w:color w:val="auto"/>
                <w:sz w:val="24"/>
                <w:highlight w:val="none"/>
              </w:rPr>
              <w:t>内的</w:t>
            </w:r>
            <w:r>
              <w:rPr>
                <w:rFonts w:hint="default" w:ascii="Times New Roman" w:hAnsi="Times New Roman" w:eastAsia="宋体" w:cs="Times New Roman"/>
                <w:color w:val="auto"/>
                <w:sz w:val="24"/>
                <w:highlight w:val="none"/>
              </w:rPr>
              <w:t>废水收集池后，由生产废水处理系统处理达到《污水排入城镇下水道水质标准》（GB/T31962-2015）表1中A等级标准后，排入寻甸县污水处理厂。粉碎分选产生的果蔬废弃物异味通过喷洒除臭剂进行控制。</w:t>
            </w:r>
          </w:p>
          <w:p w14:paraId="522727F8">
            <w:pPr>
              <w:keepNext w:val="0"/>
              <w:keepLines w:val="0"/>
              <w:pageBreakBefore w:val="0"/>
              <w:widowControl w:val="0"/>
              <w:tabs>
                <w:tab w:val="left" w:pos="840"/>
              </w:tabs>
              <w:kinsoku/>
              <w:wordWrap/>
              <w:overflowPunct/>
              <w:topLinePunct w:val="0"/>
              <w:autoSpaceDE/>
              <w:autoSpaceDN/>
              <w:bidi w:val="0"/>
              <w:spacing w:line="440" w:lineRule="exact"/>
              <w:ind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③压榨脱水</w:t>
            </w:r>
          </w:p>
          <w:p w14:paraId="43352844">
            <w:pPr>
              <w:keepNext w:val="0"/>
              <w:keepLines w:val="0"/>
              <w:pageBreakBefore w:val="0"/>
              <w:widowControl w:val="0"/>
              <w:kinsoku/>
              <w:wordWrap/>
              <w:overflowPunct/>
              <w:topLinePunct w:val="0"/>
              <w:autoSpaceDE/>
              <w:autoSpaceDN/>
              <w:bidi w:val="0"/>
              <w:spacing w:line="440" w:lineRule="exact"/>
              <w:ind w:firstLine="480" w:firstLineChars="200"/>
              <w:textAlignment w:val="auto"/>
              <w:rPr>
                <w:color w:val="auto"/>
                <w:sz w:val="24"/>
                <w:highlight w:val="none"/>
                <w:shd w:val="clear" w:color="auto" w:fill="FFFFFF"/>
              </w:rPr>
            </w:pPr>
            <w:r>
              <w:rPr>
                <w:rFonts w:hint="default" w:ascii="Times New Roman" w:hAnsi="Times New Roman" w:eastAsia="宋体" w:cs="Times New Roman"/>
                <w:color w:val="auto"/>
                <w:sz w:val="24"/>
                <w:highlight w:val="none"/>
                <w:shd w:val="clear" w:color="auto" w:fill="FFFFFF"/>
              </w:rPr>
              <w:t>粉碎后的物料经过螺旋输送机提升到螺旋压榨机进行一次压榨脱水，一次压榨脱水后含水率在80%左右。一次压榨后的物料通过螺旋输送机输送到二次压榨机入料口，再用螺旋压榨机进行二次压榨脱水，二次压榨脱水后含水率约70%左右。螺旋压榨机是一种利用物理挤压方式进行脱水的设备，该设备由驱动系统、进料箱、螺旋绞龙、筛网、气动阻料装置、集水槽、机架等部分构成，物料从进料箱进入设备，在螺旋绞龙的输送下受到逐级递进压力挤压，多余水分经过筛网由出液口排出，去水分物料在螺旋绞龙的继续输送下，顶开阻料装置由出料口排出设备，进入烘干区域。压榨脱水阶段主要污染物为废水及设备噪声，废水通过管道进入</w:t>
            </w:r>
            <w:r>
              <w:rPr>
                <w:rFonts w:hint="eastAsia" w:cs="Times New Roman"/>
                <w:color w:val="auto"/>
                <w:sz w:val="24"/>
                <w:highlight w:val="none"/>
                <w:shd w:val="clear" w:color="auto" w:fill="FFFFFF"/>
                <w:lang w:eastAsia="zh-CN"/>
              </w:rPr>
              <w:t>二级烘干粉碎车间</w:t>
            </w:r>
            <w:r>
              <w:rPr>
                <w:rFonts w:hint="default" w:ascii="Times New Roman" w:hAnsi="Times New Roman" w:eastAsia="宋体" w:cs="Times New Roman"/>
                <w:color w:val="auto"/>
                <w:sz w:val="24"/>
                <w:highlight w:val="none"/>
                <w:shd w:val="clear" w:color="auto" w:fill="FFFFFF"/>
              </w:rPr>
              <w:t>内的废水收集池后，由生产废水处理系统处理达到《污水排入城镇下水道水质标准》（GB/T31962-2015）表1中A等级标准后，排入寻甸县污水处理厂。</w:t>
            </w:r>
          </w:p>
          <w:p w14:paraId="69568401">
            <w:pPr>
              <w:keepNext w:val="0"/>
              <w:keepLines w:val="0"/>
              <w:pageBreakBefore w:val="0"/>
              <w:widowControl w:val="0"/>
              <w:tabs>
                <w:tab w:val="left" w:pos="624"/>
              </w:tabs>
              <w:kinsoku/>
              <w:wordWrap/>
              <w:overflowPunct/>
              <w:topLinePunct w:val="0"/>
              <w:autoSpaceDE/>
              <w:autoSpaceDN/>
              <w:bidi w:val="0"/>
              <w:adjustRightInd/>
              <w:snapToGrid/>
              <w:spacing w:line="240" w:lineRule="auto"/>
              <w:jc w:val="center"/>
              <w:textAlignment w:val="auto"/>
              <w:rPr>
                <w:b/>
                <w:bCs/>
                <w:color w:val="auto"/>
                <w:sz w:val="24"/>
                <w:highlight w:val="none"/>
              </w:rPr>
            </w:pPr>
            <w:r>
              <w:rPr>
                <w:b/>
                <w:bCs/>
                <w:color w:val="auto"/>
                <w:sz w:val="24"/>
                <w:highlight w:val="none"/>
              </w:rPr>
              <w:drawing>
                <wp:inline distT="0" distB="0" distL="114300" distR="114300">
                  <wp:extent cx="5503545" cy="2684780"/>
                  <wp:effectExtent l="0" t="0" r="0" b="0"/>
                  <wp:docPr id="41" name="图片 82" descr="果蔬废弃物粉碎压榨脱水工艺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82" descr="果蔬废弃物粉碎压榨脱水工艺流程图"/>
                          <pic:cNvPicPr>
                            <a:picLocks noChangeAspect="1"/>
                          </pic:cNvPicPr>
                        </pic:nvPicPr>
                        <pic:blipFill>
                          <a:blip r:embed="rId12"/>
                          <a:srcRect b="8167"/>
                          <a:stretch>
                            <a:fillRect/>
                          </a:stretch>
                        </pic:blipFill>
                        <pic:spPr>
                          <a:xfrm>
                            <a:off x="0" y="0"/>
                            <a:ext cx="5503545" cy="2684780"/>
                          </a:xfrm>
                          <a:prstGeom prst="rect">
                            <a:avLst/>
                          </a:prstGeom>
                          <a:noFill/>
                          <a:ln>
                            <a:noFill/>
                          </a:ln>
                        </pic:spPr>
                      </pic:pic>
                    </a:graphicData>
                  </a:graphic>
                </wp:inline>
              </w:drawing>
            </w:r>
          </w:p>
          <w:p w14:paraId="37130942">
            <w:pPr>
              <w:keepNext w:val="0"/>
              <w:keepLines w:val="0"/>
              <w:pageBreakBefore w:val="0"/>
              <w:widowControl w:val="0"/>
              <w:tabs>
                <w:tab w:val="left" w:pos="624"/>
              </w:tabs>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图2-</w:t>
            </w:r>
            <w:r>
              <w:rPr>
                <w:rFonts w:hint="eastAsia"/>
                <w:b/>
                <w:bCs/>
                <w:color w:val="auto"/>
                <w:sz w:val="21"/>
                <w:szCs w:val="21"/>
                <w:highlight w:val="none"/>
                <w:lang w:val="en-US" w:eastAsia="zh-CN"/>
              </w:rPr>
              <w:t xml:space="preserve">8  </w:t>
            </w:r>
            <w:r>
              <w:rPr>
                <w:b/>
                <w:bCs/>
                <w:color w:val="auto"/>
                <w:sz w:val="21"/>
                <w:szCs w:val="21"/>
                <w:highlight w:val="none"/>
              </w:rPr>
              <w:t>果蔬废弃物粉碎压榨脱水工艺流程图</w:t>
            </w:r>
          </w:p>
          <w:p w14:paraId="7056FC38">
            <w:pPr>
              <w:keepNext w:val="0"/>
              <w:keepLines w:val="0"/>
              <w:pageBreakBefore w:val="0"/>
              <w:widowControl w:val="0"/>
              <w:tabs>
                <w:tab w:val="left" w:pos="840"/>
              </w:tabs>
              <w:wordWrap/>
              <w:topLinePunct w:val="0"/>
              <w:bidi w:val="0"/>
              <w:snapToGrid/>
              <w:spacing w:line="440" w:lineRule="exact"/>
              <w:ind w:firstLine="482"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lang w:val="en-US" w:eastAsia="zh-CN"/>
              </w:rPr>
              <w:t>2）</w:t>
            </w:r>
            <w:r>
              <w:rPr>
                <w:rFonts w:hint="default" w:ascii="Times New Roman" w:hAnsi="Times New Roman" w:eastAsia="宋体" w:cs="Times New Roman"/>
                <w:b/>
                <w:color w:val="auto"/>
                <w:sz w:val="24"/>
                <w:highlight w:val="none"/>
              </w:rPr>
              <w:t>果蔬渣烘干粉碎工艺流程</w:t>
            </w:r>
          </w:p>
          <w:p w14:paraId="5416E8FA">
            <w:pPr>
              <w:keepNext w:val="0"/>
              <w:keepLines w:val="0"/>
              <w:pageBreakBefore w:val="0"/>
              <w:widowControl w:val="0"/>
              <w:tabs>
                <w:tab w:val="left" w:pos="840"/>
              </w:tabs>
              <w:wordWrap/>
              <w:topLinePunct w:val="0"/>
              <w:bidi w:val="0"/>
              <w:snapToGrid/>
              <w:spacing w:line="440" w:lineRule="exact"/>
              <w:ind w:firstLine="482"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①喂料</w:t>
            </w:r>
          </w:p>
          <w:p w14:paraId="0DF4A9BF">
            <w:pPr>
              <w:keepNext w:val="0"/>
              <w:keepLines w:val="0"/>
              <w:pageBreakBefore w:val="0"/>
              <w:widowControl w:val="0"/>
              <w:tabs>
                <w:tab w:val="left" w:pos="840"/>
              </w:tabs>
              <w:wordWrap/>
              <w:topLinePunct w:val="0"/>
              <w:bidi w:val="0"/>
              <w:snapToGrid/>
              <w:spacing w:line="440" w:lineRule="exact"/>
              <w:ind w:firstLine="480" w:firstLineChars="200"/>
              <w:textAlignment w:val="auto"/>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喂料</w:t>
            </w:r>
            <w:r>
              <w:rPr>
                <w:rFonts w:hint="default" w:ascii="Times New Roman" w:hAnsi="Times New Roman" w:eastAsia="宋体" w:cs="Times New Roman"/>
                <w:color w:val="auto"/>
                <w:kern w:val="0"/>
                <w:sz w:val="24"/>
                <w:highlight w:val="none"/>
              </w:rPr>
              <w:t>料仓容积80m</w:t>
            </w:r>
            <w:r>
              <w:rPr>
                <w:rFonts w:hint="default" w:ascii="Times New Roman" w:hAnsi="Times New Roman" w:eastAsia="宋体" w:cs="Times New Roman"/>
                <w:color w:val="auto"/>
                <w:kern w:val="0"/>
                <w:sz w:val="24"/>
                <w:highlight w:val="none"/>
                <w:vertAlign w:val="superscript"/>
              </w:rPr>
              <w:t>3</w:t>
            </w:r>
            <w:r>
              <w:rPr>
                <w:rFonts w:hint="default" w:ascii="Times New Roman" w:hAnsi="Times New Roman" w:eastAsia="宋体" w:cs="Times New Roman"/>
                <w:color w:val="auto"/>
                <w:kern w:val="0"/>
                <w:sz w:val="24"/>
                <w:highlight w:val="none"/>
              </w:rPr>
              <w:t>，保证物料下料顺畅，避免一次性来料过多产生“蓬料”现象，保证强制向料仓底部拨料。</w:t>
            </w:r>
            <w:r>
              <w:rPr>
                <w:rFonts w:hint="default" w:ascii="Times New Roman" w:hAnsi="Times New Roman" w:eastAsia="宋体" w:cs="Times New Roman"/>
                <w:color w:val="auto"/>
                <w:sz w:val="24"/>
                <w:highlight w:val="none"/>
              </w:rPr>
              <w:t>喂料阶段主要污染物为设备噪声。</w:t>
            </w:r>
          </w:p>
          <w:p w14:paraId="7E20BF94">
            <w:pPr>
              <w:keepNext w:val="0"/>
              <w:keepLines w:val="0"/>
              <w:pageBreakBefore w:val="0"/>
              <w:widowControl w:val="0"/>
              <w:kinsoku w:val="0"/>
              <w:wordWrap/>
              <w:overflowPunct w:val="0"/>
              <w:topLinePunct w:val="0"/>
              <w:autoSpaceDE w:val="0"/>
              <w:autoSpaceDN w:val="0"/>
              <w:bidi w:val="0"/>
              <w:adjustRightInd w:val="0"/>
              <w:snapToGrid/>
              <w:spacing w:line="440" w:lineRule="exact"/>
              <w:ind w:right="96" w:firstLine="482"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②一级烘干</w:t>
            </w:r>
          </w:p>
          <w:p w14:paraId="49627DA3">
            <w:pPr>
              <w:keepNext w:val="0"/>
              <w:keepLines w:val="0"/>
              <w:pageBreakBefore w:val="0"/>
              <w:widowControl w:val="0"/>
              <w:kinsoku w:val="0"/>
              <w:wordWrap/>
              <w:overflowPunct w:val="0"/>
              <w:topLinePunct w:val="0"/>
              <w:autoSpaceDE w:val="0"/>
              <w:autoSpaceDN w:val="0"/>
              <w:bidi w:val="0"/>
              <w:adjustRightInd w:val="0"/>
              <w:snapToGrid/>
              <w:spacing w:line="440" w:lineRule="exact"/>
              <w:ind w:right="96" w:firstLine="480" w:firstLineChars="200"/>
              <w:textAlignment w:val="auto"/>
              <w:rPr>
                <w:rFonts w:hint="default" w:ascii="Times New Roman" w:hAnsi="Times New Roman" w:eastAsia="宋体" w:cs="Times New Roman"/>
                <w:color w:val="auto"/>
                <w:spacing w:val="-4"/>
                <w:kern w:val="0"/>
                <w:sz w:val="24"/>
                <w:highlight w:val="none"/>
              </w:rPr>
            </w:pPr>
            <w:r>
              <w:rPr>
                <w:rFonts w:hint="default" w:ascii="Times New Roman" w:hAnsi="Times New Roman" w:eastAsia="宋体" w:cs="Times New Roman"/>
                <w:color w:val="auto"/>
                <w:kern w:val="0"/>
                <w:sz w:val="24"/>
                <w:highlight w:val="none"/>
              </w:rPr>
              <w:t>物料通过皮带输送机</w:t>
            </w:r>
            <w:r>
              <w:rPr>
                <w:rFonts w:hint="default" w:ascii="Times New Roman" w:hAnsi="Times New Roman" w:eastAsia="宋体" w:cs="Times New Roman"/>
                <w:color w:val="auto"/>
                <w:spacing w:val="-1"/>
                <w:kern w:val="0"/>
                <w:sz w:val="24"/>
                <w:highlight w:val="none"/>
              </w:rPr>
              <w:t>输送到</w:t>
            </w:r>
            <w:r>
              <w:rPr>
                <w:rFonts w:hint="default" w:ascii="Times New Roman" w:hAnsi="Times New Roman" w:eastAsia="宋体" w:cs="Times New Roman"/>
                <w:color w:val="auto"/>
                <w:kern w:val="0"/>
                <w:sz w:val="24"/>
                <w:highlight w:val="none"/>
              </w:rPr>
              <w:t>高效滚筒烘干机</w:t>
            </w:r>
            <w:r>
              <w:rPr>
                <w:rFonts w:hint="default" w:ascii="Times New Roman" w:hAnsi="Times New Roman" w:eastAsia="宋体" w:cs="Times New Roman"/>
                <w:color w:val="auto"/>
                <w:spacing w:val="-1"/>
                <w:kern w:val="0"/>
                <w:sz w:val="24"/>
                <w:highlight w:val="none"/>
              </w:rPr>
              <w:t>。烘干机热源来自</w:t>
            </w:r>
            <w:r>
              <w:rPr>
                <w:rFonts w:hint="default" w:ascii="Times New Roman" w:hAnsi="Times New Roman" w:eastAsia="宋体" w:cs="Times New Roman"/>
                <w:color w:val="auto"/>
                <w:kern w:val="0"/>
                <w:sz w:val="24"/>
                <w:highlight w:val="none"/>
              </w:rPr>
              <w:t>热风炉，一级烘干热风炉燃料为生物质。热风炉产生温度600-900℃热风和湿物料前端进入烘</w:t>
            </w:r>
            <w:r>
              <w:rPr>
                <w:rFonts w:hint="default" w:ascii="Times New Roman" w:hAnsi="Times New Roman" w:eastAsia="宋体" w:cs="Times New Roman"/>
                <w:color w:val="auto"/>
                <w:spacing w:val="-2"/>
                <w:kern w:val="0"/>
                <w:sz w:val="24"/>
                <w:highlight w:val="none"/>
              </w:rPr>
              <w:t>干机，</w:t>
            </w:r>
            <w:r>
              <w:rPr>
                <w:rFonts w:hint="default" w:ascii="Times New Roman" w:hAnsi="Times New Roman" w:eastAsia="宋体" w:cs="Times New Roman"/>
                <w:color w:val="auto"/>
                <w:kern w:val="0"/>
                <w:sz w:val="24"/>
                <w:highlight w:val="none"/>
              </w:rPr>
              <w:t>通过抄板的作用不断抄起、散落形成料幕，呈螺旋行进式前进，尽可能扩大物料与热风质热交换面积，物料与热风炉供应的高温热风直接接触进行质热交换，水分迅速蒸发气化</w:t>
            </w:r>
            <w:r>
              <w:rPr>
                <w:rFonts w:hint="default" w:ascii="Times New Roman" w:hAnsi="Times New Roman" w:eastAsia="宋体" w:cs="Times New Roman"/>
                <w:color w:val="auto"/>
                <w:spacing w:val="-3"/>
                <w:kern w:val="0"/>
                <w:sz w:val="24"/>
                <w:highlight w:val="none"/>
              </w:rPr>
              <w:t>后物料被烘干，水分汽化随</w:t>
            </w:r>
            <w:r>
              <w:rPr>
                <w:rFonts w:hint="default" w:ascii="Times New Roman" w:hAnsi="Times New Roman" w:eastAsia="宋体" w:cs="Times New Roman"/>
                <w:color w:val="auto"/>
                <w:spacing w:val="-14"/>
                <w:kern w:val="0"/>
                <w:sz w:val="24"/>
                <w:highlight w:val="none"/>
              </w:rPr>
              <w:t>废气排出烘干机，排风温度</w:t>
            </w:r>
            <w:r>
              <w:rPr>
                <w:rFonts w:hint="default" w:ascii="Times New Roman" w:hAnsi="Times New Roman" w:eastAsia="宋体" w:cs="Times New Roman"/>
                <w:color w:val="auto"/>
                <w:kern w:val="0"/>
                <w:sz w:val="24"/>
                <w:highlight w:val="none"/>
              </w:rPr>
              <w:t>80-90℃，物料干燥从后端底部和旋风卸料器</w:t>
            </w:r>
            <w:r>
              <w:rPr>
                <w:rFonts w:hint="default" w:ascii="Times New Roman" w:hAnsi="Times New Roman" w:eastAsia="宋体" w:cs="Times New Roman"/>
                <w:color w:val="auto"/>
                <w:spacing w:val="-2"/>
                <w:kern w:val="0"/>
                <w:sz w:val="24"/>
                <w:highlight w:val="none"/>
              </w:rPr>
              <w:t>排出，完成烘干过程。烘干机内层配</w:t>
            </w:r>
            <w:r>
              <w:rPr>
                <w:rFonts w:hint="default" w:ascii="Times New Roman" w:hAnsi="Times New Roman" w:eastAsia="宋体" w:cs="Times New Roman"/>
                <w:color w:val="auto"/>
                <w:spacing w:val="-3"/>
                <w:kern w:val="0"/>
                <w:sz w:val="24"/>
                <w:highlight w:val="none"/>
              </w:rPr>
              <w:t>置打散、扬料及防粘壁结构，把结团</w:t>
            </w:r>
            <w:r>
              <w:rPr>
                <w:rFonts w:hint="default" w:ascii="Times New Roman" w:hAnsi="Times New Roman" w:eastAsia="宋体" w:cs="Times New Roman"/>
                <w:color w:val="auto"/>
                <w:spacing w:val="-4"/>
                <w:kern w:val="0"/>
                <w:sz w:val="24"/>
                <w:highlight w:val="none"/>
              </w:rPr>
              <w:t>物料充分打散，提高物料与热风接触面积，提升烘干效率。</w:t>
            </w:r>
          </w:p>
          <w:p w14:paraId="627AAD34">
            <w:pPr>
              <w:keepNext w:val="0"/>
              <w:keepLines w:val="0"/>
              <w:pageBreakBefore w:val="0"/>
              <w:widowControl w:val="0"/>
              <w:kinsoku w:val="0"/>
              <w:wordWrap/>
              <w:overflowPunct w:val="0"/>
              <w:topLinePunct w:val="0"/>
              <w:autoSpaceDE w:val="0"/>
              <w:autoSpaceDN w:val="0"/>
              <w:bidi w:val="0"/>
              <w:adjustRightInd w:val="0"/>
              <w:snapToGrid/>
              <w:spacing w:line="440" w:lineRule="exact"/>
              <w:ind w:right="96"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热风炉</w:t>
            </w:r>
            <w:r>
              <w:rPr>
                <w:rFonts w:hint="default" w:ascii="Times New Roman" w:hAnsi="Times New Roman" w:eastAsia="宋体" w:cs="Times New Roman"/>
                <w:color w:val="auto"/>
                <w:spacing w:val="-3"/>
                <w:kern w:val="0"/>
                <w:sz w:val="24"/>
                <w:highlight w:val="none"/>
              </w:rPr>
              <w:t>配备相应</w:t>
            </w:r>
            <w:r>
              <w:rPr>
                <w:rFonts w:hint="default" w:ascii="Times New Roman" w:hAnsi="Times New Roman" w:eastAsia="宋体" w:cs="Times New Roman"/>
                <w:color w:val="auto"/>
                <w:kern w:val="0"/>
                <w:sz w:val="24"/>
                <w:highlight w:val="none"/>
              </w:rPr>
              <w:t>燃烧蓄热室及挡火墙、沉降室等，具有特殊设计的多级配</w:t>
            </w:r>
            <w:r>
              <w:rPr>
                <w:rFonts w:hint="default" w:ascii="Times New Roman" w:hAnsi="Times New Roman" w:eastAsia="宋体" w:cs="Times New Roman"/>
                <w:color w:val="auto"/>
                <w:spacing w:val="-1"/>
                <w:kern w:val="0"/>
                <w:sz w:val="24"/>
                <w:highlight w:val="none"/>
              </w:rPr>
              <w:t>风调温结构，能在短时间内使燃烧产</w:t>
            </w:r>
            <w:r>
              <w:rPr>
                <w:rFonts w:hint="default" w:ascii="Times New Roman" w:hAnsi="Times New Roman" w:eastAsia="宋体" w:cs="Times New Roman"/>
                <w:color w:val="auto"/>
                <w:spacing w:val="-3"/>
                <w:kern w:val="0"/>
                <w:sz w:val="24"/>
                <w:highlight w:val="none"/>
              </w:rPr>
              <w:t>生高温涡流，具有燃烧完全，热利用率高，高效节能等优点，</w:t>
            </w:r>
            <w:r>
              <w:rPr>
                <w:rFonts w:hint="default" w:ascii="Times New Roman" w:hAnsi="Times New Roman" w:eastAsia="宋体" w:cs="Times New Roman"/>
                <w:color w:val="auto"/>
                <w:spacing w:val="-11"/>
                <w:kern w:val="0"/>
                <w:sz w:val="24"/>
                <w:highlight w:val="none"/>
              </w:rPr>
              <w:t>热风炉发热量</w:t>
            </w:r>
            <w:r>
              <w:rPr>
                <w:rFonts w:hint="default" w:ascii="Times New Roman" w:hAnsi="Times New Roman" w:eastAsia="宋体" w:cs="Times New Roman"/>
                <w:color w:val="auto"/>
                <w:kern w:val="0"/>
                <w:sz w:val="24"/>
                <w:highlight w:val="none"/>
              </w:rPr>
              <w:t>1200×10</w:t>
            </w:r>
            <w:r>
              <w:rPr>
                <w:rFonts w:hint="default" w:ascii="Times New Roman" w:hAnsi="Times New Roman" w:eastAsia="宋体" w:cs="Times New Roman"/>
                <w:color w:val="auto"/>
                <w:kern w:val="0"/>
                <w:sz w:val="24"/>
                <w:highlight w:val="none"/>
                <w:vertAlign w:val="superscript"/>
              </w:rPr>
              <w:t>4</w:t>
            </w:r>
            <w:r>
              <w:rPr>
                <w:rFonts w:hint="default" w:ascii="Times New Roman" w:hAnsi="Times New Roman" w:eastAsia="宋体" w:cs="Times New Roman"/>
                <w:color w:val="auto"/>
                <w:kern w:val="0"/>
                <w:sz w:val="24"/>
                <w:highlight w:val="none"/>
              </w:rPr>
              <w:t>kcal/h，</w:t>
            </w:r>
            <w:r>
              <w:rPr>
                <w:rFonts w:hint="default" w:ascii="Times New Roman" w:hAnsi="Times New Roman" w:eastAsia="宋体" w:cs="Times New Roman"/>
                <w:color w:val="auto"/>
                <w:spacing w:val="-12"/>
                <w:kern w:val="0"/>
                <w:sz w:val="24"/>
                <w:highlight w:val="none"/>
              </w:rPr>
              <w:t>出口温度</w:t>
            </w:r>
            <w:r>
              <w:rPr>
                <w:rFonts w:hint="default" w:ascii="Times New Roman" w:hAnsi="Times New Roman" w:eastAsia="宋体" w:cs="Times New Roman"/>
                <w:color w:val="auto"/>
                <w:kern w:val="0"/>
                <w:sz w:val="24"/>
                <w:highlight w:val="none"/>
              </w:rPr>
              <w:t>600-900℃可以按需调节，全自动控制，同时烘干的过程中起到高温灭菌的作用。经过一级高温烘干区处理后，使物料水分达到40%，再进入低温烘干区全自动化网链烘干箱进行二级烘干处理。</w:t>
            </w:r>
          </w:p>
          <w:p w14:paraId="17539FAD">
            <w:pPr>
              <w:keepNext w:val="0"/>
              <w:keepLines w:val="0"/>
              <w:pageBreakBefore w:val="0"/>
              <w:widowControl w:val="0"/>
              <w:kinsoku w:val="0"/>
              <w:wordWrap/>
              <w:overflowPunct w:val="0"/>
              <w:topLinePunct w:val="0"/>
              <w:autoSpaceDE w:val="0"/>
              <w:autoSpaceDN w:val="0"/>
              <w:bidi w:val="0"/>
              <w:adjustRightInd w:val="0"/>
              <w:snapToGrid/>
              <w:spacing w:line="440" w:lineRule="exact"/>
              <w:ind w:right="96"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一级烘干主要污染物为热风炉燃料燃烧废气、烘干异味及设备噪声。热风炉燃料为生物质，燃料燃烧废气与80-90℃的烘干热气、烘干异味经</w:t>
            </w:r>
            <w:r>
              <w:rPr>
                <w:rFonts w:hint="default" w:ascii="Times New Roman" w:hAnsi="Times New Roman" w:eastAsia="宋体" w:cs="Times New Roman"/>
                <w:color w:val="auto"/>
                <w:sz w:val="24"/>
                <w:highlight w:val="none"/>
              </w:rPr>
              <w:t>低氮燃烧+尿素喷淋+</w:t>
            </w:r>
            <w:r>
              <w:rPr>
                <w:rFonts w:hint="default" w:ascii="Times New Roman" w:hAnsi="Times New Roman" w:eastAsia="宋体" w:cs="Times New Roman"/>
                <w:color w:val="auto"/>
                <w:kern w:val="0"/>
                <w:sz w:val="24"/>
                <w:highlight w:val="none"/>
              </w:rPr>
              <w:t>降尘室+旋风除尘+水膜喷淋除尘+1号15m高排气筒（DA001）排放</w:t>
            </w:r>
            <w:r>
              <w:rPr>
                <w:rFonts w:hint="default" w:ascii="Times New Roman" w:hAnsi="Times New Roman" w:eastAsia="宋体" w:cs="Times New Roman"/>
                <w:color w:val="auto"/>
                <w:sz w:val="24"/>
                <w:highlight w:val="none"/>
              </w:rPr>
              <w:t>。</w:t>
            </w:r>
          </w:p>
          <w:p w14:paraId="7E216604">
            <w:pPr>
              <w:keepNext w:val="0"/>
              <w:keepLines w:val="0"/>
              <w:pageBreakBefore w:val="0"/>
              <w:widowControl w:val="0"/>
              <w:tabs>
                <w:tab w:val="left" w:pos="840"/>
              </w:tabs>
              <w:wordWrap/>
              <w:topLinePunct w:val="0"/>
              <w:bidi w:val="0"/>
              <w:snapToGrid/>
              <w:spacing w:line="440" w:lineRule="exact"/>
              <w:ind w:firstLine="482" w:firstLineChars="200"/>
              <w:textAlignment w:val="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③二级烘干</w:t>
            </w:r>
          </w:p>
          <w:p w14:paraId="6253B42B">
            <w:pPr>
              <w:keepNext w:val="0"/>
              <w:keepLines w:val="0"/>
              <w:pageBreakBefore w:val="0"/>
              <w:widowControl w:val="0"/>
              <w:tabs>
                <w:tab w:val="left" w:pos="840"/>
              </w:tabs>
              <w:wordWrap/>
              <w:topLinePunct w:val="0"/>
              <w:bidi w:val="0"/>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使用低温网链全自动化烘干箱，烘干箱内保持80-85度恒温，起到高温灭菌的作用。</w:t>
            </w:r>
            <w:r>
              <w:rPr>
                <w:rFonts w:hint="default" w:ascii="Times New Roman" w:hAnsi="Times New Roman" w:eastAsia="宋体" w:cs="Times New Roman"/>
                <w:color w:val="auto"/>
                <w:spacing w:val="-1"/>
                <w:kern w:val="0"/>
                <w:sz w:val="24"/>
                <w:highlight w:val="none"/>
              </w:rPr>
              <w:t>烘干机热源来自</w:t>
            </w:r>
            <w:r>
              <w:rPr>
                <w:rFonts w:hint="default" w:ascii="Times New Roman" w:hAnsi="Times New Roman" w:eastAsia="宋体" w:cs="Times New Roman"/>
                <w:color w:val="auto"/>
                <w:kern w:val="0"/>
                <w:sz w:val="24"/>
                <w:highlight w:val="none"/>
              </w:rPr>
              <w:t>热风炉，二级烘干热风炉燃料为生物质和沼气，沼气来源于</w:t>
            </w:r>
            <w:r>
              <w:rPr>
                <w:rFonts w:hint="default" w:ascii="Times New Roman" w:hAnsi="Times New Roman" w:eastAsia="宋体" w:cs="Times New Roman"/>
                <w:color w:val="auto"/>
                <w:sz w:val="24"/>
                <w:highlight w:val="none"/>
              </w:rPr>
              <w:t>生产废水处理系统中厌氧环节，厌氧环节产生的沼气由管道引至二级烘干热风炉作为燃料燃烧，不设沼气储罐。</w:t>
            </w:r>
            <w:r>
              <w:rPr>
                <w:rFonts w:hint="default" w:ascii="Times New Roman" w:hAnsi="Times New Roman" w:eastAsia="宋体" w:cs="Times New Roman"/>
                <w:color w:val="auto"/>
                <w:kern w:val="0"/>
                <w:sz w:val="24"/>
                <w:highlight w:val="none"/>
              </w:rPr>
              <w:t>尽可能扩大物料与热风直接接触及质热交换面积，物料经3小时持续烘干使物料水分由原来40%烘干至12.8%的饲用原料水分标准。完成干燥过程进入冷却环节。</w:t>
            </w:r>
          </w:p>
          <w:p w14:paraId="4033B441">
            <w:pPr>
              <w:keepNext w:val="0"/>
              <w:keepLines w:val="0"/>
              <w:pageBreakBefore w:val="0"/>
              <w:widowControl w:val="0"/>
              <w:tabs>
                <w:tab w:val="left" w:pos="840"/>
              </w:tabs>
              <w:wordWrap/>
              <w:topLinePunct w:val="0"/>
              <w:bidi w:val="0"/>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二级烘干主要污染物为热风炉燃料燃烧废气、烘干异味及设备噪声。二级烘干的热风炉燃料为生物质及生产废水处理产生的沼气，燃料燃烧废气与50-60℃的烘干热气、烘干异味经</w:t>
            </w:r>
            <w:r>
              <w:rPr>
                <w:rFonts w:hint="default" w:ascii="Times New Roman" w:hAnsi="Times New Roman" w:eastAsia="宋体" w:cs="Times New Roman"/>
                <w:color w:val="auto"/>
                <w:sz w:val="24"/>
                <w:highlight w:val="none"/>
              </w:rPr>
              <w:t>低氮燃烧+尿素喷淋</w:t>
            </w:r>
            <w:r>
              <w:rPr>
                <w:rFonts w:hint="default" w:ascii="Times New Roman" w:hAnsi="Times New Roman" w:eastAsia="宋体" w:cs="Times New Roman"/>
                <w:color w:val="auto"/>
                <w:kern w:val="0"/>
                <w:sz w:val="24"/>
                <w:highlight w:val="none"/>
              </w:rPr>
              <w:t>+水膜喷淋除尘</w:t>
            </w:r>
            <w:r>
              <w:rPr>
                <w:rFonts w:hint="default" w:ascii="Times New Roman" w:hAnsi="Times New Roman" w:eastAsia="宋体" w:cs="Times New Roman"/>
                <w:color w:val="auto"/>
                <w:sz w:val="24"/>
                <w:highlight w:val="none"/>
              </w:rPr>
              <w:t>+钠碱法脱硫</w:t>
            </w:r>
            <w:r>
              <w:rPr>
                <w:rFonts w:hint="default" w:ascii="Times New Roman" w:hAnsi="Times New Roman" w:eastAsia="宋体" w:cs="Times New Roman"/>
                <w:color w:val="auto"/>
                <w:kern w:val="0"/>
                <w:sz w:val="24"/>
                <w:highlight w:val="none"/>
              </w:rPr>
              <w:t>+2号15m高排气筒（DA002）排放</w:t>
            </w:r>
            <w:r>
              <w:rPr>
                <w:rFonts w:hint="default" w:ascii="Times New Roman" w:hAnsi="Times New Roman" w:eastAsia="宋体" w:cs="Times New Roman"/>
                <w:color w:val="auto"/>
                <w:sz w:val="24"/>
                <w:highlight w:val="none"/>
              </w:rPr>
              <w:t>。</w:t>
            </w:r>
          </w:p>
          <w:p w14:paraId="1A970B44">
            <w:pPr>
              <w:keepNext w:val="0"/>
              <w:keepLines w:val="0"/>
              <w:pageBreakBefore w:val="0"/>
              <w:widowControl w:val="0"/>
              <w:tabs>
                <w:tab w:val="left" w:pos="840"/>
              </w:tabs>
              <w:wordWrap/>
              <w:topLinePunct w:val="0"/>
              <w:bidi w:val="0"/>
              <w:snapToGrid/>
              <w:spacing w:line="440" w:lineRule="exact"/>
              <w:ind w:firstLine="482" w:firstLineChars="200"/>
              <w:textAlignment w:val="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④冷却</w:t>
            </w:r>
          </w:p>
          <w:p w14:paraId="2F97E787">
            <w:pPr>
              <w:keepNext w:val="0"/>
              <w:keepLines w:val="0"/>
              <w:pageBreakBefore w:val="0"/>
              <w:widowControl w:val="0"/>
              <w:tabs>
                <w:tab w:val="left" w:pos="840"/>
              </w:tabs>
              <w:wordWrap/>
              <w:topLinePunct w:val="0"/>
              <w:bidi w:val="0"/>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经低温烘干箱烘干的物料温度偏高，而且烘干的物料表面还有多余水蒸气需及时排出，所以烘干的物料需及时进行冷却处理保证其产品的质量及水分含量。通过电源的冷却滚筒、冷却风机进行风冷冷却。冷却阶段主要污染物为设备噪声。</w:t>
            </w:r>
          </w:p>
          <w:p w14:paraId="7199E5E1">
            <w:pPr>
              <w:keepNext w:val="0"/>
              <w:keepLines w:val="0"/>
              <w:pageBreakBefore w:val="0"/>
              <w:widowControl w:val="0"/>
              <w:tabs>
                <w:tab w:val="left" w:pos="840"/>
              </w:tabs>
              <w:wordWrap/>
              <w:topLinePunct w:val="0"/>
              <w:bidi w:val="0"/>
              <w:snapToGrid/>
              <w:spacing w:line="440" w:lineRule="exact"/>
              <w:ind w:firstLine="482" w:firstLineChars="200"/>
              <w:textAlignment w:val="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⑤粉碎</w:t>
            </w:r>
          </w:p>
          <w:p w14:paraId="3814DFA6">
            <w:pPr>
              <w:keepNext w:val="0"/>
              <w:keepLines w:val="0"/>
              <w:pageBreakBefore w:val="0"/>
              <w:widowControl w:val="0"/>
              <w:tabs>
                <w:tab w:val="left" w:pos="840"/>
              </w:tabs>
              <w:wordWrap/>
              <w:topLinePunct w:val="0"/>
              <w:bidi w:val="0"/>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冷却后的物料经输送带输送至粉碎机进行粉碎，粉碎后物料粒径为2-3mm。粉碎阶段主要污染物为粉碎粉尘、异味及设备噪声。粉碎粉尘及异味经布袋除尘器+水膜喷淋除尘后经2号15m高排气筒（DA002）排放。</w:t>
            </w:r>
          </w:p>
          <w:p w14:paraId="13D4C756">
            <w:pPr>
              <w:keepNext w:val="0"/>
              <w:keepLines w:val="0"/>
              <w:pageBreakBefore w:val="0"/>
              <w:widowControl w:val="0"/>
              <w:wordWrap/>
              <w:topLinePunct w:val="0"/>
              <w:autoSpaceDE w:val="0"/>
              <w:autoSpaceDN w:val="0"/>
              <w:bidi w:val="0"/>
              <w:adjustRightInd w:val="0"/>
              <w:snapToGrid/>
              <w:spacing w:line="440" w:lineRule="exact"/>
              <w:ind w:firstLine="482" w:firstLineChars="200"/>
              <w:textAlignment w:val="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⑥包装</w:t>
            </w:r>
          </w:p>
          <w:p w14:paraId="64EFF486">
            <w:pPr>
              <w:keepNext w:val="0"/>
              <w:keepLines w:val="0"/>
              <w:pageBreakBefore w:val="0"/>
              <w:widowControl w:val="0"/>
              <w:wordWrap/>
              <w:topLinePunct w:val="0"/>
              <w:autoSpaceDE w:val="0"/>
              <w:autoSpaceDN w:val="0"/>
              <w:bidi w:val="0"/>
              <w:adjustRightInd w:val="0"/>
              <w:snapToGrid/>
              <w:spacing w:line="440" w:lineRule="exact"/>
              <w:ind w:left="420" w:left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color w:val="auto"/>
                <w:kern w:val="0"/>
                <w:sz w:val="24"/>
                <w:highlight w:val="none"/>
              </w:rPr>
              <w:t>对粉碎后的成品料进行包装外售。</w:t>
            </w:r>
            <w:r>
              <w:rPr>
                <w:rFonts w:hint="default" w:ascii="Times New Roman" w:hAnsi="Times New Roman" w:eastAsia="宋体" w:cs="Times New Roman"/>
                <w:color w:val="auto"/>
                <w:sz w:val="24"/>
                <w:highlight w:val="none"/>
              </w:rPr>
              <w:t>包装阶段主要污染物为设备噪声。</w:t>
            </w:r>
          </w:p>
          <w:p w14:paraId="6484A10E">
            <w:pPr>
              <w:widowControl/>
              <w:jc w:val="center"/>
              <w:rPr>
                <w:color w:val="auto"/>
                <w:highlight w:val="none"/>
              </w:rPr>
            </w:pPr>
            <w:r>
              <w:rPr>
                <w:color w:val="auto"/>
                <w:highlight w:val="none"/>
              </w:rPr>
              <w:drawing>
                <wp:inline distT="0" distB="0" distL="114300" distR="114300">
                  <wp:extent cx="5448300" cy="6809105"/>
                  <wp:effectExtent l="0" t="0" r="0" b="0"/>
                  <wp:docPr id="42" name="图片 83" descr="工艺流程0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83" descr="工艺流程0905"/>
                          <pic:cNvPicPr>
                            <a:picLocks noChangeAspect="1"/>
                          </pic:cNvPicPr>
                        </pic:nvPicPr>
                        <pic:blipFill>
                          <a:blip r:embed="rId13"/>
                          <a:stretch>
                            <a:fillRect/>
                          </a:stretch>
                        </pic:blipFill>
                        <pic:spPr>
                          <a:xfrm>
                            <a:off x="0" y="0"/>
                            <a:ext cx="5448300" cy="6809105"/>
                          </a:xfrm>
                          <a:prstGeom prst="rect">
                            <a:avLst/>
                          </a:prstGeom>
                          <a:noFill/>
                          <a:ln>
                            <a:noFill/>
                          </a:ln>
                        </pic:spPr>
                      </pic:pic>
                    </a:graphicData>
                  </a:graphic>
                </wp:inline>
              </w:drawing>
            </w:r>
          </w:p>
          <w:p w14:paraId="4F2370E6">
            <w:pPr>
              <w:pStyle w:val="14"/>
              <w:jc w:val="center"/>
              <w:rPr>
                <w:rFonts w:ascii="Times New Roman" w:hAnsi="Times New Roman"/>
                <w:b/>
                <w:bCs/>
                <w:color w:val="auto"/>
                <w:sz w:val="24"/>
                <w:szCs w:val="24"/>
                <w:highlight w:val="none"/>
              </w:rPr>
            </w:pPr>
            <w:r>
              <w:rPr>
                <w:rFonts w:ascii="Times New Roman" w:hAnsi="Times New Roman"/>
                <w:b/>
                <w:bCs/>
                <w:color w:val="auto"/>
                <w:sz w:val="24"/>
                <w:szCs w:val="24"/>
                <w:highlight w:val="none"/>
              </w:rPr>
              <w:t>图2-</w:t>
            </w:r>
            <w:r>
              <w:rPr>
                <w:rFonts w:hint="eastAsia" w:ascii="Times New Roman" w:hAnsi="Times New Roman"/>
                <w:b/>
                <w:bCs/>
                <w:color w:val="auto"/>
                <w:sz w:val="24"/>
                <w:szCs w:val="24"/>
                <w:highlight w:val="none"/>
                <w:lang w:val="en-US" w:eastAsia="zh-CN"/>
              </w:rPr>
              <w:t>9</w:t>
            </w:r>
            <w:r>
              <w:rPr>
                <w:rFonts w:ascii="Times New Roman" w:hAnsi="Times New Roman"/>
                <w:b/>
                <w:bCs/>
                <w:color w:val="auto"/>
                <w:sz w:val="24"/>
                <w:szCs w:val="24"/>
                <w:highlight w:val="none"/>
              </w:rPr>
              <w:t xml:space="preserve">  果蔬渣烘干粉碎工艺流程图</w:t>
            </w:r>
          </w:p>
          <w:p w14:paraId="1DAF0717">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b/>
                <w:bCs/>
                <w:color w:val="auto"/>
                <w:kern w:val="0"/>
                <w:sz w:val="24"/>
                <w:highlight w:val="none"/>
                <w:lang w:val="en-US" w:eastAsia="zh-CN"/>
              </w:rPr>
              <w:t>3）</w:t>
            </w:r>
            <w:r>
              <w:rPr>
                <w:rFonts w:hint="default" w:ascii="Times New Roman" w:hAnsi="Times New Roman" w:eastAsia="宋体" w:cs="Times New Roman"/>
                <w:b/>
                <w:bCs/>
                <w:color w:val="auto"/>
                <w:kern w:val="0"/>
                <w:sz w:val="24"/>
                <w:highlight w:val="none"/>
              </w:rPr>
              <w:t>生产废水处理系统工艺</w:t>
            </w:r>
          </w:p>
          <w:p w14:paraId="5EAFC788">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果蔬废弃物</w:t>
            </w:r>
            <w:r>
              <w:rPr>
                <w:rFonts w:hint="default" w:ascii="Times New Roman" w:hAnsi="Times New Roman" w:eastAsia="宋体" w:cs="Times New Roman"/>
                <w:color w:val="auto"/>
                <w:kern w:val="0"/>
                <w:sz w:val="24"/>
                <w:highlight w:val="none"/>
              </w:rPr>
              <w:t>卸料产生的废水（卸料渗滤液）、</w:t>
            </w:r>
            <w:r>
              <w:rPr>
                <w:rFonts w:hint="default" w:ascii="Times New Roman" w:hAnsi="Times New Roman" w:eastAsia="宋体" w:cs="Times New Roman"/>
                <w:color w:val="auto"/>
                <w:sz w:val="24"/>
                <w:highlight w:val="none"/>
              </w:rPr>
              <w:t>果蔬废弃物</w:t>
            </w:r>
            <w:r>
              <w:rPr>
                <w:rFonts w:hint="default" w:ascii="Times New Roman" w:hAnsi="Times New Roman" w:eastAsia="宋体" w:cs="Times New Roman"/>
                <w:color w:val="auto"/>
                <w:kern w:val="0"/>
                <w:sz w:val="24"/>
                <w:highlight w:val="none"/>
              </w:rPr>
              <w:t>粉碎分选产生的废水（粉碎分选渗滤液）、</w:t>
            </w:r>
            <w:r>
              <w:rPr>
                <w:rFonts w:hint="default" w:ascii="Times New Roman" w:hAnsi="Times New Roman" w:eastAsia="宋体" w:cs="Times New Roman"/>
                <w:color w:val="auto"/>
                <w:sz w:val="24"/>
                <w:highlight w:val="none"/>
              </w:rPr>
              <w:t>果蔬废弃物</w:t>
            </w:r>
            <w:r>
              <w:rPr>
                <w:rFonts w:hint="default" w:ascii="Times New Roman" w:hAnsi="Times New Roman" w:eastAsia="宋体" w:cs="Times New Roman"/>
                <w:color w:val="auto"/>
                <w:kern w:val="0"/>
                <w:sz w:val="24"/>
                <w:highlight w:val="none"/>
              </w:rPr>
              <w:t>压榨脱水工艺中脱出的废水，</w:t>
            </w:r>
            <w:r>
              <w:rPr>
                <w:rFonts w:hint="default" w:ascii="Times New Roman" w:hAnsi="Times New Roman" w:eastAsia="宋体" w:cs="Times New Roman"/>
                <w:color w:val="auto"/>
                <w:sz w:val="24"/>
                <w:highlight w:val="none"/>
              </w:rPr>
              <w:t>通过管道</w:t>
            </w:r>
            <w:r>
              <w:rPr>
                <w:rFonts w:hint="default" w:ascii="Times New Roman" w:hAnsi="Times New Roman" w:eastAsia="宋体" w:cs="Times New Roman"/>
                <w:bCs/>
                <w:color w:val="auto"/>
                <w:sz w:val="24"/>
                <w:highlight w:val="none"/>
              </w:rPr>
              <w:t>进入</w:t>
            </w:r>
            <w:r>
              <w:rPr>
                <w:rFonts w:hint="eastAsia" w:cs="Times New Roman"/>
                <w:bCs/>
                <w:color w:val="auto"/>
                <w:sz w:val="24"/>
                <w:highlight w:val="none"/>
                <w:lang w:eastAsia="zh-CN"/>
              </w:rPr>
              <w:t>二级烘干粉碎车间</w:t>
            </w:r>
            <w:r>
              <w:rPr>
                <w:rFonts w:hint="default" w:ascii="Times New Roman" w:hAnsi="Times New Roman" w:eastAsia="宋体" w:cs="Times New Roman"/>
                <w:bCs/>
                <w:color w:val="auto"/>
                <w:sz w:val="24"/>
                <w:highlight w:val="none"/>
              </w:rPr>
              <w:t>内的废水收集池后，由生产废水处理系统处理</w:t>
            </w:r>
            <w:r>
              <w:rPr>
                <w:rFonts w:hint="default" w:ascii="Times New Roman" w:hAnsi="Times New Roman" w:eastAsia="宋体" w:cs="Times New Roman"/>
                <w:color w:val="auto"/>
                <w:sz w:val="24"/>
                <w:highlight w:val="none"/>
              </w:rPr>
              <w:t>后排放至寻甸县污水处理厂。主要工艺为：固液分离—絮凝反应-臭氧强氧化—IC厌氧—水解酸化—接触氧化—混凝沉淀。</w:t>
            </w:r>
          </w:p>
          <w:p w14:paraId="1886A5DE">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①固液分离</w:t>
            </w:r>
          </w:p>
          <w:p w14:paraId="0095F9FD">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废水首先进入车间收集池，然后由泵提升进入固液分离机，</w:t>
            </w:r>
            <w:bookmarkStart w:id="31" w:name="_Hlk118229034"/>
            <w:r>
              <w:rPr>
                <w:rFonts w:hint="default" w:ascii="Times New Roman" w:hAnsi="Times New Roman" w:eastAsia="宋体" w:cs="Times New Roman"/>
                <w:color w:val="auto"/>
                <w:kern w:val="0"/>
                <w:sz w:val="24"/>
                <w:highlight w:val="none"/>
              </w:rPr>
              <w:t>固液分离机可以大量去除水中的蔬菜纤维</w:t>
            </w:r>
            <w:bookmarkEnd w:id="31"/>
            <w:r>
              <w:rPr>
                <w:rFonts w:hint="default" w:ascii="Times New Roman" w:hAnsi="Times New Roman" w:eastAsia="宋体" w:cs="Times New Roman"/>
                <w:color w:val="auto"/>
                <w:kern w:val="0"/>
                <w:sz w:val="24"/>
                <w:highlight w:val="none"/>
              </w:rPr>
              <w:t>，固液分离机出水进入调节池，然后由泵提升进入叠螺机，对水中一些细小的植物纤维、悬浮物、漂浮物等进行脱水，滤液进入中间池1，这时中间池1内的污水已经去除了大量蔬菜纤维，水中也不再呈现明显的绿色，可进入后续处理。</w:t>
            </w:r>
          </w:p>
          <w:p w14:paraId="14A40534">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②絮凝反应、臭氧强氧化</w:t>
            </w:r>
          </w:p>
          <w:p w14:paraId="73684865">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中间池1出水由污水泵提升进入臭氧反应器，在臭氧反应器内充入臭氧，通过强氧化气浮一体机对污水进行强氧化反应，同时加入PAC、PAM进行絮凝反应，然后出水进入中间池2，然后进入IC厌氧塔。</w:t>
            </w:r>
          </w:p>
          <w:p w14:paraId="02AE525A">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③IC厌氧</w:t>
            </w:r>
          </w:p>
          <w:p w14:paraId="749A081B">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中间池2出水由污水提升泵提升进入IC厌氧塔，进行废水的厌氧发酵处理，在无分子氧的情况下，通过厌氧微生物的作用，将各种复杂的有机物分解成小分子有机物甲烷和二氧化碳。IC反应通过产生甲烷气体方式去除部分COD，同时将难生物降解的大分子有机物降解为小分子有机物。反应器由下而上共分为5个区：混合区、第1厌氧区、第2厌氧区、沉淀区和气液分离区。</w:t>
            </w:r>
          </w:p>
          <w:p w14:paraId="5435E39A">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混合区：反应器底部进水、颗粒污泥和气液分离区回流的泥水混合物有效地在此区混合。</w:t>
            </w:r>
          </w:p>
          <w:p w14:paraId="32697C2A">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第1厌氧区：混合区形成的泥水混合物进入该区，在高浓度污泥作用下，大部分有机物转化为沼气，厌氧环节产生的沼气由管道引至二级烘干热风炉作为燃料燃烧，不设沼气储罐。混合液上升流和沼气的剧烈扰动使该反应区内污泥呈膨胀和流化状态，加强了泥水表面接触，污泥由此而保持着高的活性。随着沼气产量的增多，一部分泥水混合物被沼气提升至顶部的气液分离区。</w:t>
            </w:r>
          </w:p>
          <w:p w14:paraId="13CD1C58">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气液分离区：被提升的混合物中的沼气在此与泥水分离并导出处理系统，泥水混合物则沿着回流管返回到最下端的混合区，与反应器底部的污泥和进水充分混合，实现了混合液的内部循环。</w:t>
            </w:r>
          </w:p>
          <w:p w14:paraId="3EC52194">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第2厌氧区：经第1厌氧区处理后的废水，除一部分被沼气提升外，其余的都通过三相分离器进入第2厌氧区。该区污泥浓度较低，且废水中大部分有机物已在第1厌氧区被降解，因此沼气产生量较少。沼气通过沼气管导入气液分离区，对第2厌氧区的扰动很小，这为污泥的停留提供了有利条件。</w:t>
            </w:r>
          </w:p>
          <w:p w14:paraId="46309D6F">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p>
          <w:p w14:paraId="2BA5FACA">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沉淀区：第2厌氧区的泥水混合物在沉淀区进行固液分离，上清液由出水管排走，沉淀的颗粒污泥返回第2厌氧区污泥床。</w:t>
            </w:r>
          </w:p>
          <w:p w14:paraId="1992F0ED">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从IC反应器工作原理中可见，反应器通过2层三相分离器来实现高污泥浓度；通过大量沼气和内循环的剧烈扰动，使泥水充分接触，获得良好的传质效果。</w:t>
            </w:r>
          </w:p>
          <w:p w14:paraId="353169E6">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④水解酸化、接触氧化</w:t>
            </w:r>
          </w:p>
          <w:p w14:paraId="29EC5358">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color w:val="auto"/>
                <w:kern w:val="0"/>
                <w:sz w:val="24"/>
                <w:highlight w:val="none"/>
              </w:rPr>
              <w:t>IC厌氧塔出水进入水解酸化池，在水解酸化池内将大分子有机物分解成小分子有机物，有利于后续好氧工艺的处理，水解酸化池出水进入生物接触氧化池，生物法工作过程为：通过驯化培养而聚集的优势微生物群体，在生长过程中利用周围环境中的营养物质即水中的有机污染物质进行新陈代谢，达到降解污染物、净化水质的目的，出水进入沉淀池。</w:t>
            </w:r>
          </w:p>
          <w:p w14:paraId="134A38E8">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⑤混凝沉淀、排放</w:t>
            </w:r>
          </w:p>
          <w:p w14:paraId="2175CFC2">
            <w:pPr>
              <w:keepNext w:val="0"/>
              <w:keepLines w:val="0"/>
              <w:pageBreakBefore w:val="0"/>
              <w:widowControl w:val="0"/>
              <w:tabs>
                <w:tab w:val="left" w:pos="840"/>
              </w:tabs>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沉淀池出水进入反应池，在反应池内投加粉末活性炭净化水质，出水由污水泵提升进入微气泡反应沉淀一体机，加入PAC、PAM进行混凝反应，出水进入清水池，出水达标排放。</w:t>
            </w:r>
          </w:p>
          <w:p w14:paraId="3FB01726">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b/>
                <w:bCs/>
                <w:color w:val="auto"/>
                <w:kern w:val="0"/>
                <w:sz w:val="24"/>
                <w:highlight w:val="none"/>
              </w:rPr>
            </w:pPr>
            <w:r>
              <w:rPr>
                <w:rFonts w:hint="eastAsia" w:ascii="Times New Roman" w:hAnsi="Times New Roman" w:eastAsia="宋体" w:cs="Times New Roman"/>
                <w:b/>
                <w:bCs/>
                <w:color w:val="auto"/>
                <w:kern w:val="0"/>
                <w:sz w:val="24"/>
                <w:highlight w:val="none"/>
                <w:lang w:val="en-US" w:eastAsia="zh-CN"/>
              </w:rPr>
              <w:t>3、</w:t>
            </w:r>
            <w:r>
              <w:rPr>
                <w:rFonts w:hint="default" w:ascii="Times New Roman" w:hAnsi="Times New Roman" w:eastAsia="宋体" w:cs="Times New Roman"/>
                <w:b/>
                <w:bCs/>
                <w:color w:val="auto"/>
                <w:kern w:val="0"/>
                <w:sz w:val="24"/>
                <w:highlight w:val="none"/>
              </w:rPr>
              <w:t>现有工程污染物排放情况</w:t>
            </w:r>
          </w:p>
          <w:p w14:paraId="6174E63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color w:val="auto"/>
                <w:kern w:val="0"/>
                <w:sz w:val="24"/>
                <w:highlight w:val="none"/>
                <w:lang w:bidi="ar"/>
              </w:rPr>
              <w:t>云南錦创环境科技有限公司果蔬废弃物处理项目</w:t>
            </w:r>
            <w:r>
              <w:rPr>
                <w:rFonts w:hint="default" w:ascii="Times New Roman" w:hAnsi="Times New Roman" w:eastAsia="宋体" w:cs="Times New Roman"/>
                <w:color w:val="auto"/>
                <w:sz w:val="24"/>
                <w:szCs w:val="22"/>
                <w:highlight w:val="none"/>
              </w:rPr>
              <w:t>已正式投产。参考</w:t>
            </w:r>
            <w:r>
              <w:rPr>
                <w:rFonts w:hint="eastAsia" w:cs="Times New Roman"/>
                <w:color w:val="auto"/>
                <w:sz w:val="24"/>
                <w:szCs w:val="22"/>
                <w:highlight w:val="none"/>
                <w:lang w:eastAsia="zh-CN"/>
              </w:rPr>
              <w:t>《云南錦创环境科技有限公司果蔬废弃物处理项目（重新报批）</w:t>
            </w:r>
            <w:r>
              <w:rPr>
                <w:rFonts w:hint="eastAsia" w:cs="Times New Roman"/>
                <w:color w:val="auto"/>
                <w:sz w:val="24"/>
                <w:szCs w:val="22"/>
                <w:highlight w:val="none"/>
                <w:lang w:val="en-US" w:eastAsia="zh-CN"/>
              </w:rPr>
              <w:t>环境影响报告表</w:t>
            </w:r>
            <w:r>
              <w:rPr>
                <w:rFonts w:hint="eastAsia" w:cs="Times New Roman"/>
                <w:color w:val="auto"/>
                <w:sz w:val="24"/>
                <w:szCs w:val="22"/>
                <w:highlight w:val="none"/>
                <w:lang w:eastAsia="zh-CN"/>
              </w:rPr>
              <w:t>》</w:t>
            </w:r>
            <w:r>
              <w:rPr>
                <w:rFonts w:hint="eastAsia" w:cs="Times New Roman"/>
                <w:color w:val="auto"/>
                <w:sz w:val="24"/>
                <w:szCs w:val="22"/>
                <w:highlight w:val="none"/>
                <w:lang w:val="en-US" w:eastAsia="zh-CN"/>
              </w:rPr>
              <w:t>和</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kern w:val="0"/>
                <w:sz w:val="24"/>
                <w:highlight w:val="none"/>
                <w:lang w:bidi="ar"/>
              </w:rPr>
              <w:t>云南錦创环境科技有限公司果蔬废弃物处理项目</w:t>
            </w:r>
            <w:r>
              <w:rPr>
                <w:rFonts w:hint="default" w:ascii="Times New Roman" w:hAnsi="Times New Roman" w:eastAsia="宋体" w:cs="Times New Roman"/>
                <w:color w:val="auto"/>
                <w:sz w:val="24"/>
                <w:highlight w:val="none"/>
              </w:rPr>
              <w:t>竣工环境保护验收监测报告表》</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本项目</w:t>
            </w:r>
            <w:r>
              <w:rPr>
                <w:rFonts w:hint="eastAsia" w:cs="Times New Roman"/>
                <w:color w:val="auto"/>
                <w:sz w:val="24"/>
                <w:highlight w:val="none"/>
                <w:lang w:val="en-US" w:eastAsia="zh-CN"/>
              </w:rPr>
              <w:t>现</w:t>
            </w:r>
            <w:r>
              <w:rPr>
                <w:rFonts w:hint="default" w:ascii="Times New Roman" w:hAnsi="Times New Roman" w:eastAsia="宋体" w:cs="Times New Roman"/>
                <w:color w:val="auto"/>
                <w:kern w:val="0"/>
                <w:sz w:val="24"/>
                <w:highlight w:val="none"/>
              </w:rPr>
              <w:t>有环境污染</w:t>
            </w:r>
            <w:r>
              <w:rPr>
                <w:rFonts w:hint="eastAsia" w:cs="Times New Roman"/>
                <w:color w:val="auto"/>
                <w:kern w:val="0"/>
                <w:sz w:val="24"/>
                <w:highlight w:val="none"/>
                <w:lang w:val="en-US" w:eastAsia="zh-CN"/>
              </w:rPr>
              <w:t>产排情况如下。</w:t>
            </w:r>
          </w:p>
          <w:p w14:paraId="5CAFDA63">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（1）废水</w:t>
            </w:r>
          </w:p>
          <w:p w14:paraId="6159FA1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kern w:val="0"/>
                <w:sz w:val="24"/>
                <w:highlight w:val="none"/>
              </w:rPr>
              <w:t>现有工程</w:t>
            </w:r>
            <w:r>
              <w:rPr>
                <w:rFonts w:hint="default" w:ascii="Times New Roman" w:hAnsi="Times New Roman" w:eastAsia="宋体" w:cs="Times New Roman"/>
                <w:color w:val="auto"/>
                <w:sz w:val="24"/>
                <w:highlight w:val="none"/>
              </w:rPr>
              <w:t>运营期用水主要为车辆清洗，车间地面清洗用水，钠碱法脱硫用水，生活办公用水和绿化用水，水膜喷淋用水等；废水主要为果蔬废弃物压榨废水、车辆清洗废水，车间地面清洗废水，水膜喷淋湿法脱硫废水和生活办公废水等。</w:t>
            </w:r>
          </w:p>
          <w:p w14:paraId="62977DFF">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val="en-US" w:eastAsia="zh-CN"/>
              </w:rPr>
              <w:t>1）产排情况</w:t>
            </w:r>
          </w:p>
          <w:p w14:paraId="53DBC39B">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①果蔬压榨废水</w:t>
            </w:r>
          </w:p>
          <w:p w14:paraId="30EBF23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bCs/>
                <w:color w:val="auto"/>
                <w:sz w:val="24"/>
                <w:highlight w:val="none"/>
              </w:rPr>
              <w:t>现有工程</w:t>
            </w:r>
            <w:r>
              <w:rPr>
                <w:rFonts w:hint="default" w:ascii="Times New Roman" w:hAnsi="Times New Roman" w:eastAsia="宋体" w:cs="Times New Roman"/>
                <w:color w:val="auto"/>
                <w:sz w:val="24"/>
                <w:highlight w:val="none"/>
              </w:rPr>
              <w:t>根据实际运行情况，项目果蔬压榨废水产生量约为700t/d。</w:t>
            </w:r>
          </w:p>
          <w:p w14:paraId="66B7165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②车辆清洗用排水</w:t>
            </w:r>
          </w:p>
          <w:p w14:paraId="56D1890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bCs/>
                <w:color w:val="auto"/>
                <w:sz w:val="24"/>
                <w:highlight w:val="none"/>
              </w:rPr>
              <w:t>现有工程</w:t>
            </w:r>
            <w:r>
              <w:rPr>
                <w:rFonts w:hint="default" w:ascii="Times New Roman" w:hAnsi="Times New Roman" w:eastAsia="宋体" w:cs="Times New Roman"/>
                <w:color w:val="auto"/>
                <w:sz w:val="24"/>
                <w:highlight w:val="none"/>
              </w:rPr>
              <w:t>项目设有车辆洗消间，主要是对运输果蔬废弃物的车辆卸料后进行清洗，清洗不添加洗涤剂。</w:t>
            </w:r>
          </w:p>
          <w:p w14:paraId="50ED502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根据实际运行情况，洗车用水量约10m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/d，3330m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/a；废水量为8m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/d，2664m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/a。采用新鲜水。</w:t>
            </w:r>
          </w:p>
          <w:p w14:paraId="18E01D6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该废水中主要污染物为CODcr</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sz w:val="24"/>
                <w:highlight w:val="none"/>
              </w:rPr>
              <w:t>BOD</w:t>
            </w:r>
            <w:r>
              <w:rPr>
                <w:rFonts w:hint="default" w:ascii="Times New Roman" w:hAnsi="Times New Roman" w:eastAsia="宋体" w:cs="Times New Roman"/>
                <w:color w:val="auto"/>
                <w:sz w:val="24"/>
                <w:highlight w:val="none"/>
                <w:vertAlign w:val="subscript"/>
              </w:rPr>
              <w:t>5</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sz w:val="24"/>
                <w:highlight w:val="none"/>
              </w:rPr>
              <w:t>氨氮</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sz w:val="24"/>
                <w:highlight w:val="none"/>
              </w:rPr>
              <w:t>SS等。</w:t>
            </w:r>
          </w:p>
          <w:p w14:paraId="68D5F666">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③车间地面清洗用排水</w:t>
            </w:r>
          </w:p>
          <w:p w14:paraId="735AA76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现有工程</w:t>
            </w:r>
            <w:r>
              <w:rPr>
                <w:rFonts w:hint="default" w:ascii="Times New Roman" w:hAnsi="Times New Roman" w:eastAsia="宋体" w:cs="Times New Roman"/>
                <w:color w:val="auto"/>
                <w:sz w:val="24"/>
                <w:highlight w:val="none"/>
              </w:rPr>
              <w:t>根据实际运行情况，项目地面清洁用水量约3m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/d，999m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/a；废水产生量约2.4m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/d，799.2m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a。采用新鲜水。该废水中主要污染物为CODcr</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sz w:val="24"/>
                <w:highlight w:val="none"/>
              </w:rPr>
              <w:t>BOD</w:t>
            </w:r>
            <w:r>
              <w:rPr>
                <w:rFonts w:hint="default" w:ascii="Times New Roman" w:hAnsi="Times New Roman" w:eastAsia="宋体" w:cs="Times New Roman"/>
                <w:color w:val="auto"/>
                <w:sz w:val="24"/>
                <w:highlight w:val="none"/>
                <w:vertAlign w:val="subscript"/>
              </w:rPr>
              <w:t>5</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sz w:val="24"/>
                <w:highlight w:val="none"/>
              </w:rPr>
              <w:t>氨氮</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sz w:val="24"/>
                <w:highlight w:val="none"/>
              </w:rPr>
              <w:t>SS等。</w:t>
            </w:r>
          </w:p>
          <w:p w14:paraId="77D52063">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④水膜喷淋湿法脱硫用水</w:t>
            </w:r>
          </w:p>
          <w:p w14:paraId="46486D7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bCs/>
                <w:color w:val="auto"/>
                <w:sz w:val="24"/>
                <w:highlight w:val="none"/>
              </w:rPr>
              <w:t>现有工程</w:t>
            </w:r>
            <w:r>
              <w:rPr>
                <w:rFonts w:hint="default" w:ascii="Times New Roman" w:hAnsi="Times New Roman" w:eastAsia="宋体" w:cs="Times New Roman"/>
                <w:color w:val="auto"/>
                <w:sz w:val="24"/>
                <w:highlight w:val="none"/>
              </w:rPr>
              <w:t>根据实际运行情况，</w:t>
            </w:r>
            <w:r>
              <w:rPr>
                <w:rFonts w:hint="default" w:ascii="Times New Roman" w:hAnsi="Times New Roman" w:eastAsia="宋体" w:cs="Times New Roman"/>
                <w:color w:val="auto"/>
                <w:kern w:val="0"/>
                <w:sz w:val="24"/>
                <w:highlight w:val="none"/>
              </w:rPr>
              <w:t>水膜喷淋除尘</w:t>
            </w:r>
            <w:r>
              <w:rPr>
                <w:rFonts w:hint="default" w:ascii="Times New Roman" w:hAnsi="Times New Roman" w:eastAsia="宋体" w:cs="Times New Roman"/>
                <w:color w:val="auto"/>
                <w:sz w:val="24"/>
                <w:highlight w:val="none"/>
              </w:rPr>
              <w:t>+钠碱法脱硫方式排水量</w:t>
            </w:r>
            <w:r>
              <w:rPr>
                <w:rFonts w:hint="default" w:ascii="Times New Roman" w:hAnsi="Times New Roman" w:eastAsia="宋体" w:cs="Times New Roman"/>
                <w:bCs/>
                <w:color w:val="auto"/>
                <w:sz w:val="24"/>
                <w:highlight w:val="none"/>
              </w:rPr>
              <w:t>0.04m</w:t>
            </w:r>
            <w:r>
              <w:rPr>
                <w:rFonts w:hint="default" w:ascii="Times New Roman" w:hAnsi="Times New Roman" w:eastAsia="宋体" w:cs="Times New Roman"/>
                <w:bCs/>
                <w:color w:val="auto"/>
                <w:sz w:val="24"/>
                <w:highlight w:val="none"/>
                <w:vertAlign w:val="superscript"/>
              </w:rPr>
              <w:t>3</w:t>
            </w:r>
            <w:r>
              <w:rPr>
                <w:rFonts w:hint="default" w:ascii="Times New Roman" w:hAnsi="Times New Roman" w:eastAsia="宋体" w:cs="Times New Roman"/>
                <w:bCs/>
                <w:color w:val="auto"/>
                <w:sz w:val="24"/>
                <w:highlight w:val="none"/>
              </w:rPr>
              <w:t>/d，13.32m</w:t>
            </w:r>
            <w:r>
              <w:rPr>
                <w:rFonts w:hint="default" w:ascii="Times New Roman" w:hAnsi="Times New Roman" w:eastAsia="宋体" w:cs="Times New Roman"/>
                <w:bCs/>
                <w:color w:val="auto"/>
                <w:sz w:val="24"/>
                <w:highlight w:val="none"/>
                <w:vertAlign w:val="superscript"/>
              </w:rPr>
              <w:t>3</w:t>
            </w:r>
            <w:r>
              <w:rPr>
                <w:rFonts w:hint="default" w:ascii="Times New Roman" w:hAnsi="Times New Roman" w:eastAsia="宋体" w:cs="Times New Roman"/>
                <w:bCs/>
                <w:color w:val="auto"/>
                <w:sz w:val="24"/>
                <w:highlight w:val="none"/>
              </w:rPr>
              <w:t>/a，</w:t>
            </w:r>
            <w:r>
              <w:rPr>
                <w:rFonts w:hint="default" w:ascii="Times New Roman" w:hAnsi="Times New Roman" w:eastAsia="宋体" w:cs="Times New Roman"/>
                <w:color w:val="auto"/>
                <w:sz w:val="24"/>
                <w:highlight w:val="none"/>
              </w:rPr>
              <w:t>补充新鲜水0.54</w:t>
            </w:r>
            <w:r>
              <w:rPr>
                <w:rFonts w:hint="default" w:ascii="Times New Roman" w:hAnsi="Times New Roman" w:eastAsia="宋体" w:cs="Times New Roman"/>
                <w:bCs/>
                <w:color w:val="auto"/>
                <w:sz w:val="24"/>
                <w:highlight w:val="none"/>
              </w:rPr>
              <w:t>m</w:t>
            </w:r>
            <w:r>
              <w:rPr>
                <w:rFonts w:hint="default" w:ascii="Times New Roman" w:hAnsi="Times New Roman" w:eastAsia="宋体" w:cs="Times New Roman"/>
                <w:bCs/>
                <w:color w:val="auto"/>
                <w:sz w:val="24"/>
                <w:highlight w:val="none"/>
                <w:vertAlign w:val="superscript"/>
              </w:rPr>
              <w:t>3</w:t>
            </w:r>
            <w:r>
              <w:rPr>
                <w:rFonts w:hint="default" w:ascii="Times New Roman" w:hAnsi="Times New Roman" w:eastAsia="宋体" w:cs="Times New Roman"/>
                <w:bCs/>
                <w:color w:val="auto"/>
                <w:sz w:val="24"/>
                <w:highlight w:val="none"/>
              </w:rPr>
              <w:t>/d，179.82m</w:t>
            </w:r>
            <w:r>
              <w:rPr>
                <w:rFonts w:hint="default" w:ascii="Times New Roman" w:hAnsi="Times New Roman" w:eastAsia="宋体" w:cs="Times New Roman"/>
                <w:bCs/>
                <w:color w:val="auto"/>
                <w:sz w:val="24"/>
                <w:highlight w:val="none"/>
                <w:vertAlign w:val="superscript"/>
              </w:rPr>
              <w:t>3</w:t>
            </w:r>
            <w:r>
              <w:rPr>
                <w:rFonts w:hint="default" w:ascii="Times New Roman" w:hAnsi="Times New Roman" w:eastAsia="宋体" w:cs="Times New Roman"/>
                <w:bCs/>
                <w:color w:val="auto"/>
                <w:sz w:val="24"/>
                <w:highlight w:val="none"/>
              </w:rPr>
              <w:t>/a。</w:t>
            </w:r>
          </w:p>
          <w:p w14:paraId="639CB05E">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⑤尿素喷淋用水</w:t>
            </w:r>
          </w:p>
          <w:p w14:paraId="0D26F83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现有工程</w:t>
            </w:r>
            <w:r>
              <w:rPr>
                <w:rFonts w:hint="default" w:ascii="Times New Roman" w:hAnsi="Times New Roman" w:eastAsia="宋体" w:cs="Times New Roman"/>
                <w:color w:val="auto"/>
                <w:sz w:val="24"/>
                <w:highlight w:val="none"/>
              </w:rPr>
              <w:t>根据实际运行情况</w:t>
            </w:r>
            <w:r>
              <w:rPr>
                <w:rFonts w:hint="default" w:ascii="Times New Roman" w:hAnsi="Times New Roman" w:eastAsia="宋体" w:cs="Times New Roman"/>
                <w:bCs/>
                <w:color w:val="auto"/>
                <w:sz w:val="24"/>
                <w:highlight w:val="none"/>
              </w:rPr>
              <w:t>，尿素喷淋的用水量为0.03m</w:t>
            </w:r>
            <w:r>
              <w:rPr>
                <w:rFonts w:hint="default" w:ascii="Times New Roman" w:hAnsi="Times New Roman" w:eastAsia="宋体" w:cs="Times New Roman"/>
                <w:bCs/>
                <w:color w:val="auto"/>
                <w:sz w:val="24"/>
                <w:highlight w:val="none"/>
                <w:vertAlign w:val="superscript"/>
              </w:rPr>
              <w:t>3</w:t>
            </w:r>
            <w:r>
              <w:rPr>
                <w:rFonts w:hint="default" w:ascii="Times New Roman" w:hAnsi="Times New Roman" w:eastAsia="宋体" w:cs="Times New Roman"/>
                <w:bCs/>
                <w:color w:val="auto"/>
                <w:sz w:val="24"/>
                <w:highlight w:val="none"/>
              </w:rPr>
              <w:t>/d，9.9m</w:t>
            </w:r>
            <w:r>
              <w:rPr>
                <w:rFonts w:hint="default" w:ascii="Times New Roman" w:hAnsi="Times New Roman" w:eastAsia="宋体" w:cs="Times New Roman"/>
                <w:bCs/>
                <w:color w:val="auto"/>
                <w:sz w:val="24"/>
                <w:highlight w:val="none"/>
                <w:vertAlign w:val="superscript"/>
              </w:rPr>
              <w:t>3</w:t>
            </w:r>
            <w:r>
              <w:rPr>
                <w:rFonts w:hint="default" w:ascii="Times New Roman" w:hAnsi="Times New Roman" w:eastAsia="宋体" w:cs="Times New Roman"/>
                <w:bCs/>
                <w:color w:val="auto"/>
                <w:sz w:val="24"/>
                <w:highlight w:val="none"/>
              </w:rPr>
              <w:t>/a。尿素喷淋用水量少，剩余水分在高温状态下发生气化外排，无废水产生。</w:t>
            </w:r>
          </w:p>
          <w:p w14:paraId="2B0C34D0">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⑥生活办公用排水</w:t>
            </w:r>
          </w:p>
          <w:p w14:paraId="0E52CE3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bCs/>
                <w:color w:val="auto"/>
                <w:sz w:val="24"/>
                <w:highlight w:val="none"/>
              </w:rPr>
              <w:t>现有工程</w:t>
            </w:r>
            <w:r>
              <w:rPr>
                <w:rFonts w:hint="default" w:ascii="Times New Roman" w:hAnsi="Times New Roman" w:eastAsia="宋体" w:cs="Times New Roman"/>
                <w:color w:val="auto"/>
                <w:sz w:val="24"/>
                <w:highlight w:val="none"/>
              </w:rPr>
              <w:t>根据实际运行情况，厨房用水量约0.48m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/d，159.84m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/a，厨房废水量约0.384m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/d，127.872m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/a。住宿人员办公生活用水总量约0.45m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/d，149.85m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/a，非住宿人员办公用水量为0.84m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/d，279.72m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/a，则员工办公生活总用水量为1.29m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/d，429.57m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/a，办公生活废水量为1.032m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/d，343.656m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/a。采用新鲜水。该废水中主要污染物为CODcr</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sz w:val="24"/>
                <w:highlight w:val="none"/>
              </w:rPr>
              <w:t>BOD</w:t>
            </w:r>
            <w:r>
              <w:rPr>
                <w:rFonts w:hint="default" w:ascii="Times New Roman" w:hAnsi="Times New Roman" w:eastAsia="宋体" w:cs="Times New Roman"/>
                <w:color w:val="auto"/>
                <w:sz w:val="24"/>
                <w:highlight w:val="none"/>
                <w:vertAlign w:val="subscript"/>
              </w:rPr>
              <w:t>5</w:t>
            </w:r>
            <w:r>
              <w:rPr>
                <w:rFonts w:hint="default" w:ascii="Times New Roman" w:hAnsi="Times New Roman" w:eastAsia="宋体" w:cs="Times New Roman"/>
                <w:bCs/>
                <w:color w:val="auto"/>
                <w:sz w:val="24"/>
                <w:highlight w:val="none"/>
              </w:rPr>
              <w:t>、氨</w:t>
            </w:r>
            <w:r>
              <w:rPr>
                <w:rFonts w:hint="default" w:ascii="Times New Roman" w:hAnsi="Times New Roman" w:eastAsia="宋体" w:cs="Times New Roman"/>
                <w:color w:val="auto"/>
                <w:sz w:val="24"/>
                <w:highlight w:val="none"/>
              </w:rPr>
              <w:t>氮</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sz w:val="24"/>
                <w:highlight w:val="none"/>
              </w:rPr>
              <w:t>SS等。</w:t>
            </w:r>
          </w:p>
          <w:p w14:paraId="19BD750A">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⑦冲厕用排水</w:t>
            </w:r>
          </w:p>
          <w:p w14:paraId="143FB37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Cs/>
                <w:color w:val="auto"/>
                <w:sz w:val="24"/>
                <w:highlight w:val="none"/>
              </w:rPr>
              <w:t>现有工程按照实际运行情况，冲厕用水量约1.645m</w:t>
            </w:r>
            <w:r>
              <w:rPr>
                <w:rFonts w:hint="default" w:ascii="Times New Roman" w:hAnsi="Times New Roman" w:eastAsia="宋体" w:cs="Times New Roman"/>
                <w:bCs/>
                <w:color w:val="auto"/>
                <w:sz w:val="24"/>
                <w:highlight w:val="none"/>
                <w:vertAlign w:val="superscript"/>
              </w:rPr>
              <w:t>3</w:t>
            </w:r>
            <w:r>
              <w:rPr>
                <w:rFonts w:hint="default" w:ascii="Times New Roman" w:hAnsi="Times New Roman" w:eastAsia="宋体" w:cs="Times New Roman"/>
                <w:bCs/>
                <w:color w:val="auto"/>
                <w:sz w:val="24"/>
                <w:highlight w:val="none"/>
              </w:rPr>
              <w:t>/d，547.785m</w:t>
            </w:r>
            <w:r>
              <w:rPr>
                <w:rFonts w:hint="default" w:ascii="Times New Roman" w:hAnsi="Times New Roman" w:eastAsia="宋体" w:cs="Times New Roman"/>
                <w:bCs/>
                <w:color w:val="auto"/>
                <w:sz w:val="24"/>
                <w:highlight w:val="none"/>
                <w:vertAlign w:val="superscript"/>
              </w:rPr>
              <w:t>3</w:t>
            </w:r>
            <w:r>
              <w:rPr>
                <w:rFonts w:hint="default" w:ascii="Times New Roman" w:hAnsi="Times New Roman" w:eastAsia="宋体" w:cs="Times New Roman"/>
                <w:bCs/>
                <w:color w:val="auto"/>
                <w:sz w:val="24"/>
                <w:highlight w:val="none"/>
              </w:rPr>
              <w:t>/a。冲厕废水产生量约1.316m</w:t>
            </w:r>
            <w:r>
              <w:rPr>
                <w:rFonts w:hint="default" w:ascii="Times New Roman" w:hAnsi="Times New Roman" w:eastAsia="宋体" w:cs="Times New Roman"/>
                <w:bCs/>
                <w:color w:val="auto"/>
                <w:sz w:val="24"/>
                <w:highlight w:val="none"/>
                <w:vertAlign w:val="superscript"/>
              </w:rPr>
              <w:t>3</w:t>
            </w:r>
            <w:r>
              <w:rPr>
                <w:rFonts w:hint="default" w:ascii="Times New Roman" w:hAnsi="Times New Roman" w:eastAsia="宋体" w:cs="Times New Roman"/>
                <w:bCs/>
                <w:color w:val="auto"/>
                <w:sz w:val="24"/>
                <w:highlight w:val="none"/>
              </w:rPr>
              <w:t>/d，438.228m</w:t>
            </w:r>
            <w:r>
              <w:rPr>
                <w:rFonts w:hint="default" w:ascii="Times New Roman" w:hAnsi="Times New Roman" w:eastAsia="宋体" w:cs="Times New Roman"/>
                <w:bCs/>
                <w:color w:val="auto"/>
                <w:sz w:val="24"/>
                <w:highlight w:val="none"/>
                <w:vertAlign w:val="superscript"/>
              </w:rPr>
              <w:t>3</w:t>
            </w:r>
            <w:r>
              <w:rPr>
                <w:rFonts w:hint="default" w:ascii="Times New Roman" w:hAnsi="Times New Roman" w:eastAsia="宋体" w:cs="Times New Roman"/>
                <w:bCs/>
                <w:color w:val="auto"/>
                <w:sz w:val="24"/>
                <w:highlight w:val="none"/>
              </w:rPr>
              <w:t>/a。采用新鲜水。</w:t>
            </w:r>
            <w:r>
              <w:rPr>
                <w:rFonts w:hint="default" w:ascii="Times New Roman" w:hAnsi="Times New Roman" w:eastAsia="宋体" w:cs="Times New Roman"/>
                <w:color w:val="auto"/>
                <w:sz w:val="24"/>
                <w:highlight w:val="none"/>
              </w:rPr>
              <w:t>该废水中主要污染物为CODcr</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sz w:val="24"/>
                <w:highlight w:val="none"/>
              </w:rPr>
              <w:t>BOD</w:t>
            </w:r>
            <w:r>
              <w:rPr>
                <w:rFonts w:hint="default" w:ascii="Times New Roman" w:hAnsi="Times New Roman" w:eastAsia="宋体" w:cs="Times New Roman"/>
                <w:color w:val="auto"/>
                <w:sz w:val="24"/>
                <w:highlight w:val="none"/>
                <w:vertAlign w:val="subscript"/>
              </w:rPr>
              <w:t>5</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sz w:val="24"/>
                <w:highlight w:val="none"/>
              </w:rPr>
              <w:t>氨氮</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sz w:val="24"/>
                <w:highlight w:val="none"/>
              </w:rPr>
              <w:t>SS等。</w:t>
            </w:r>
          </w:p>
          <w:p w14:paraId="6AD3890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⑧绿化用水</w:t>
            </w:r>
          </w:p>
          <w:p w14:paraId="503BE9D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现有工程项目绿化面积约为</w:t>
            </w:r>
            <w:r>
              <w:rPr>
                <w:rFonts w:hint="default" w:ascii="Times New Roman" w:hAnsi="Times New Roman" w:eastAsia="宋体" w:cs="Times New Roman"/>
                <w:color w:val="auto"/>
                <w:sz w:val="24"/>
                <w:highlight w:val="none"/>
              </w:rPr>
              <w:t>300</w:t>
            </w:r>
            <w:r>
              <w:rPr>
                <w:rFonts w:hint="default" w:ascii="Times New Roman" w:hAnsi="Times New Roman" w:eastAsia="宋体" w:cs="Times New Roman"/>
                <w:bCs/>
                <w:color w:val="auto"/>
                <w:sz w:val="24"/>
                <w:highlight w:val="none"/>
              </w:rPr>
              <w:t>m</w:t>
            </w:r>
            <w:r>
              <w:rPr>
                <w:rFonts w:hint="default" w:ascii="Times New Roman" w:hAnsi="Times New Roman" w:eastAsia="宋体" w:cs="Times New Roman"/>
                <w:bCs/>
                <w:color w:val="auto"/>
                <w:sz w:val="24"/>
                <w:highlight w:val="none"/>
                <w:vertAlign w:val="superscript"/>
              </w:rPr>
              <w:t>2</w:t>
            </w:r>
            <w:r>
              <w:rPr>
                <w:rFonts w:hint="default" w:ascii="Times New Roman" w:hAnsi="Times New Roman" w:eastAsia="宋体" w:cs="Times New Roman"/>
                <w:bCs/>
                <w:color w:val="auto"/>
                <w:sz w:val="24"/>
                <w:highlight w:val="none"/>
              </w:rPr>
              <w:t>，晴天每天浇一次水，根据实际运行情况并结合寻甸县</w:t>
            </w:r>
            <w:r>
              <w:rPr>
                <w:rFonts w:hint="default" w:ascii="Times New Roman" w:hAnsi="Times New Roman" w:eastAsia="宋体" w:cs="Times New Roman"/>
                <w:color w:val="auto"/>
                <w:kern w:val="0"/>
                <w:sz w:val="24"/>
                <w:highlight w:val="none"/>
              </w:rPr>
              <w:t>多年气象参数，寻甸县</w:t>
            </w:r>
            <w:r>
              <w:rPr>
                <w:rFonts w:hint="default" w:ascii="Times New Roman" w:hAnsi="Times New Roman" w:eastAsia="宋体" w:cs="Times New Roman"/>
                <w:bCs/>
                <w:color w:val="auto"/>
                <w:sz w:val="24"/>
                <w:highlight w:val="none"/>
              </w:rPr>
              <w:t>年均雨天约141天，晴天约224天。则项目晴天绿化用水约0.9m</w:t>
            </w:r>
            <w:r>
              <w:rPr>
                <w:rFonts w:hint="default" w:ascii="Times New Roman" w:hAnsi="Times New Roman" w:eastAsia="宋体" w:cs="Times New Roman"/>
                <w:bCs/>
                <w:color w:val="auto"/>
                <w:sz w:val="24"/>
                <w:highlight w:val="none"/>
                <w:vertAlign w:val="superscript"/>
              </w:rPr>
              <w:t>3</w:t>
            </w:r>
            <w:r>
              <w:rPr>
                <w:rFonts w:hint="default" w:ascii="Times New Roman" w:hAnsi="Times New Roman" w:eastAsia="宋体" w:cs="Times New Roman"/>
                <w:bCs/>
                <w:color w:val="auto"/>
                <w:sz w:val="24"/>
                <w:highlight w:val="none"/>
              </w:rPr>
              <w:t>/d，201.6m</w:t>
            </w:r>
            <w:r>
              <w:rPr>
                <w:rFonts w:hint="default" w:ascii="Times New Roman" w:hAnsi="Times New Roman" w:eastAsia="宋体" w:cs="Times New Roman"/>
                <w:bCs/>
                <w:color w:val="auto"/>
                <w:sz w:val="24"/>
                <w:highlight w:val="none"/>
                <w:vertAlign w:val="superscript"/>
              </w:rPr>
              <w:t>3</w:t>
            </w:r>
            <w:r>
              <w:rPr>
                <w:rFonts w:hint="default" w:ascii="Times New Roman" w:hAnsi="Times New Roman" w:eastAsia="宋体" w:cs="Times New Roman"/>
                <w:bCs/>
                <w:color w:val="auto"/>
                <w:sz w:val="24"/>
                <w:highlight w:val="none"/>
              </w:rPr>
              <w:t>/a，采用新鲜水，全部消耗，无废水产生。</w:t>
            </w:r>
          </w:p>
          <w:p w14:paraId="799DE530">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cs="Times New Roman"/>
                <w:b/>
                <w:bCs w:val="0"/>
                <w:color w:val="auto"/>
                <w:sz w:val="24"/>
                <w:highlight w:val="none"/>
                <w:lang w:val="en-US" w:eastAsia="zh-CN"/>
              </w:rPr>
            </w:pPr>
            <w:r>
              <w:rPr>
                <w:rFonts w:hint="eastAsia" w:cs="Times New Roman"/>
                <w:b/>
                <w:bCs w:val="0"/>
                <w:color w:val="auto"/>
                <w:sz w:val="24"/>
                <w:highlight w:val="none"/>
                <w:lang w:val="en-US" w:eastAsia="zh-CN"/>
              </w:rPr>
              <w:t>2）达标情况</w:t>
            </w:r>
          </w:p>
          <w:p w14:paraId="7A89A8A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cs="Times New Roman"/>
                <w:bCs/>
                <w:color w:val="auto"/>
                <w:sz w:val="24"/>
                <w:highlight w:val="none"/>
                <w:lang w:val="en-US" w:eastAsia="zh-CN"/>
              </w:rPr>
            </w:pPr>
            <w:r>
              <w:rPr>
                <w:rFonts w:hint="eastAsia" w:cs="Times New Roman"/>
                <w:bCs/>
                <w:color w:val="auto"/>
                <w:sz w:val="24"/>
                <w:highlight w:val="none"/>
                <w:lang w:val="en-US" w:eastAsia="zh-CN"/>
              </w:rPr>
              <w:t>本项目生活污水经化粪池和隔油池预处理后和经900m</w:t>
            </w:r>
            <w:r>
              <w:rPr>
                <w:rFonts w:hint="eastAsia" w:cs="Times New Roman"/>
                <w:bCs/>
                <w:color w:val="auto"/>
                <w:sz w:val="24"/>
                <w:highlight w:val="none"/>
                <w:vertAlign w:val="superscript"/>
                <w:lang w:val="en-US" w:eastAsia="zh-CN"/>
              </w:rPr>
              <w:t>3</w:t>
            </w:r>
            <w:r>
              <w:rPr>
                <w:rFonts w:hint="eastAsia" w:cs="Times New Roman"/>
                <w:bCs/>
                <w:color w:val="auto"/>
                <w:sz w:val="24"/>
                <w:highlight w:val="none"/>
                <w:lang w:val="en-US" w:eastAsia="zh-CN"/>
              </w:rPr>
              <w:t>/d污水处理站（固液分离—絮凝反应-臭氧强氧化—IC厌氧—水解酸化—接触氧化—混凝沉淀）处理的生活污水一起进入寻甸县污水处理厂进一步处理，根据</w:t>
            </w:r>
            <w:r>
              <w:rPr>
                <w:rFonts w:hint="default" w:ascii="Times New Roman" w:hAnsi="Times New Roman" w:eastAsia="宋体" w:cs="Times New Roman"/>
                <w:bCs/>
                <w:color w:val="auto"/>
                <w:sz w:val="24"/>
                <w:highlight w:val="none"/>
              </w:rPr>
              <w:t>《云南錦创环境科技有限公司果蔬废弃物处理项目竣工环境保护验收监测报告表》</w:t>
            </w:r>
            <w:r>
              <w:rPr>
                <w:rFonts w:hint="eastAsia" w:cs="Times New Roman"/>
                <w:bCs/>
                <w:color w:val="auto"/>
                <w:sz w:val="24"/>
                <w:highlight w:val="none"/>
                <w:lang w:eastAsia="zh-CN"/>
              </w:rPr>
              <w:t>，</w:t>
            </w:r>
            <w:r>
              <w:rPr>
                <w:rFonts w:hint="eastAsia" w:cs="Times New Roman"/>
                <w:bCs/>
                <w:color w:val="auto"/>
                <w:sz w:val="24"/>
                <w:highlight w:val="none"/>
                <w:lang w:val="en-US" w:eastAsia="zh-CN"/>
              </w:rPr>
              <w:t>现有项目总排口排放的各污染物满足寻甸县污水处理厂纳管标准要求。</w:t>
            </w:r>
          </w:p>
          <w:p w14:paraId="2586CE5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position w:val="2"/>
                <w:highlight w:val="none"/>
              </w:rPr>
            </w:pPr>
            <w:r>
              <w:rPr>
                <w:b/>
                <w:bCs/>
                <w:color w:val="auto"/>
                <w:position w:val="2"/>
                <w:highlight w:val="none"/>
              </w:rPr>
              <w:t>表</w:t>
            </w:r>
            <w:r>
              <w:rPr>
                <w:rFonts w:hint="eastAsia"/>
                <w:b/>
                <w:bCs/>
                <w:color w:val="auto"/>
                <w:position w:val="2"/>
                <w:highlight w:val="none"/>
              </w:rPr>
              <w:t>2</w:t>
            </w:r>
            <w:r>
              <w:rPr>
                <w:b/>
                <w:bCs/>
                <w:color w:val="auto"/>
                <w:position w:val="2"/>
                <w:highlight w:val="none"/>
              </w:rPr>
              <w:t>-1</w:t>
            </w:r>
            <w:r>
              <w:rPr>
                <w:rFonts w:hint="eastAsia"/>
                <w:b/>
                <w:bCs/>
                <w:color w:val="auto"/>
                <w:position w:val="2"/>
                <w:highlight w:val="none"/>
                <w:lang w:val="en-US" w:eastAsia="zh-CN"/>
              </w:rPr>
              <w:t>4</w:t>
            </w:r>
            <w:r>
              <w:rPr>
                <w:b/>
                <w:bCs/>
                <w:color w:val="auto"/>
                <w:position w:val="2"/>
                <w:highlight w:val="none"/>
              </w:rPr>
              <w:t xml:space="preserve"> </w:t>
            </w:r>
            <w:r>
              <w:rPr>
                <w:rFonts w:hint="eastAsia"/>
                <w:b/>
                <w:bCs/>
                <w:color w:val="auto"/>
                <w:position w:val="2"/>
                <w:highlight w:val="none"/>
                <w:lang w:val="en-US" w:eastAsia="zh-CN"/>
              </w:rPr>
              <w:t xml:space="preserve"> 现有</w:t>
            </w:r>
            <w:r>
              <w:rPr>
                <w:b/>
                <w:bCs/>
                <w:color w:val="auto"/>
                <w:position w:val="2"/>
                <w:highlight w:val="none"/>
              </w:rPr>
              <w:t>项目废水产排情况一览表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295"/>
              <w:gridCol w:w="985"/>
              <w:gridCol w:w="1004"/>
              <w:gridCol w:w="951"/>
              <w:gridCol w:w="1084"/>
              <w:gridCol w:w="1085"/>
              <w:gridCol w:w="1778"/>
            </w:tblGrid>
            <w:tr w14:paraId="3075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999" w:type="pct"/>
                  <w:gridSpan w:val="2"/>
                  <w:noWrap w:val="0"/>
                  <w:vAlign w:val="center"/>
                </w:tcPr>
                <w:p w14:paraId="126E2A3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项目</w:t>
                  </w:r>
                </w:p>
              </w:tc>
              <w:tc>
                <w:tcPr>
                  <w:tcW w:w="572" w:type="pct"/>
                  <w:noWrap w:val="0"/>
                  <w:vAlign w:val="center"/>
                </w:tcPr>
                <w:p w14:paraId="0551C02E">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新鲜</w:t>
                  </w:r>
                </w:p>
                <w:p w14:paraId="6D5DC50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用水量</w:t>
                  </w:r>
                </w:p>
              </w:tc>
              <w:tc>
                <w:tcPr>
                  <w:tcW w:w="583" w:type="pct"/>
                  <w:noWrap w:val="0"/>
                  <w:vAlign w:val="center"/>
                </w:tcPr>
                <w:p w14:paraId="34118F7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损耗量</w:t>
                  </w:r>
                </w:p>
              </w:tc>
              <w:tc>
                <w:tcPr>
                  <w:tcW w:w="552" w:type="pct"/>
                  <w:noWrap w:val="0"/>
                  <w:vAlign w:val="center"/>
                </w:tcPr>
                <w:p w14:paraId="4975CFB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回用水</w:t>
                  </w:r>
                </w:p>
              </w:tc>
              <w:tc>
                <w:tcPr>
                  <w:tcW w:w="629" w:type="pct"/>
                  <w:noWrap w:val="0"/>
                  <w:vAlign w:val="center"/>
                </w:tcPr>
                <w:p w14:paraId="4C37098D">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废水</w:t>
                  </w:r>
                </w:p>
                <w:p w14:paraId="0A25C60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产生量</w:t>
                  </w:r>
                </w:p>
              </w:tc>
              <w:tc>
                <w:tcPr>
                  <w:tcW w:w="630" w:type="pct"/>
                  <w:noWrap w:val="0"/>
                  <w:vAlign w:val="center"/>
                </w:tcPr>
                <w:p w14:paraId="50749D9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废水</w:t>
                  </w:r>
                </w:p>
                <w:p w14:paraId="1524C8F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排放</w:t>
                  </w:r>
                  <w:r>
                    <w:rPr>
                      <w:rFonts w:hint="default" w:ascii="Times New Roman" w:hAnsi="Times New Roman" w:eastAsia="宋体" w:cs="Times New Roman"/>
                      <w:b/>
                      <w:bCs/>
                      <w:color w:val="auto"/>
                      <w:sz w:val="21"/>
                      <w:szCs w:val="21"/>
                      <w:highlight w:val="none"/>
                      <w:lang w:val="en-US" w:eastAsia="zh-CN"/>
                    </w:rPr>
                    <w:t>量</w:t>
                  </w:r>
                </w:p>
              </w:tc>
              <w:tc>
                <w:tcPr>
                  <w:tcW w:w="1032" w:type="pct"/>
                  <w:noWrap w:val="0"/>
                  <w:vAlign w:val="center"/>
                </w:tcPr>
                <w:p w14:paraId="56269A7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排水去向</w:t>
                  </w:r>
                </w:p>
              </w:tc>
            </w:tr>
            <w:tr w14:paraId="4E6CE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restart"/>
                  <w:noWrap w:val="0"/>
                  <w:vAlign w:val="center"/>
                </w:tcPr>
                <w:p w14:paraId="1E6AC759">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color w:val="auto"/>
                      <w:highlight w:val="none"/>
                      <w:lang w:val="en-US" w:eastAsia="zh-CN"/>
                    </w:rPr>
                    <w:t>现有项目</w:t>
                  </w:r>
                </w:p>
              </w:tc>
              <w:tc>
                <w:tcPr>
                  <w:tcW w:w="752" w:type="pct"/>
                  <w:noWrap w:val="0"/>
                  <w:vAlign w:val="center"/>
                </w:tcPr>
                <w:p w14:paraId="130CC938">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生活</w:t>
                  </w:r>
                </w:p>
              </w:tc>
              <w:tc>
                <w:tcPr>
                  <w:tcW w:w="572" w:type="pct"/>
                  <w:noWrap w:val="0"/>
                  <w:vAlign w:val="center"/>
                </w:tcPr>
                <w:p w14:paraId="3E530DAF">
                  <w:pPr>
                    <w:keepNext w:val="0"/>
                    <w:keepLines w:val="0"/>
                    <w:pageBreakBefore w:val="0"/>
                    <w:kinsoku/>
                    <w:wordWrap/>
                    <w:overflowPunct/>
                    <w:topLinePunct w:val="0"/>
                    <w:autoSpaceDE/>
                    <w:autoSpaceDN/>
                    <w:bidi w:val="0"/>
                    <w:adjustRightInd/>
                    <w:snapToGrid/>
                    <w:spacing w:line="320" w:lineRule="exact"/>
                    <w:jc w:val="center"/>
                    <w:rPr>
                      <w:rFonts w:hint="default" w:eastAsia="宋体"/>
                      <w:b w:val="0"/>
                      <w:bCs w:val="0"/>
                      <w:color w:val="auto"/>
                      <w:highlight w:val="none"/>
                      <w:lang w:val="en-US" w:eastAsia="zh-CN"/>
                    </w:rPr>
                  </w:pPr>
                  <w:r>
                    <w:rPr>
                      <w:rFonts w:hint="eastAsia" w:eastAsia="宋体"/>
                      <w:b w:val="0"/>
                      <w:bCs w:val="0"/>
                      <w:color w:val="auto"/>
                      <w:highlight w:val="none"/>
                      <w:lang w:val="en-US" w:eastAsia="zh-CN"/>
                    </w:rPr>
                    <w:t>1.29</w:t>
                  </w:r>
                </w:p>
              </w:tc>
              <w:tc>
                <w:tcPr>
                  <w:tcW w:w="583" w:type="pct"/>
                  <w:noWrap w:val="0"/>
                  <w:vAlign w:val="center"/>
                </w:tcPr>
                <w:p w14:paraId="705032B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0.258</w:t>
                  </w:r>
                </w:p>
              </w:tc>
              <w:tc>
                <w:tcPr>
                  <w:tcW w:w="552" w:type="pct"/>
                  <w:noWrap w:val="0"/>
                  <w:vAlign w:val="center"/>
                </w:tcPr>
                <w:p w14:paraId="3A9A07B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1A3AC9D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1.032</w:t>
                  </w:r>
                </w:p>
              </w:tc>
              <w:tc>
                <w:tcPr>
                  <w:tcW w:w="630" w:type="pct"/>
                  <w:noWrap w:val="0"/>
                  <w:vAlign w:val="center"/>
                </w:tcPr>
                <w:p w14:paraId="39C5B16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+1.032</w:t>
                  </w:r>
                </w:p>
              </w:tc>
              <w:tc>
                <w:tcPr>
                  <w:tcW w:w="1032" w:type="pct"/>
                  <w:vMerge w:val="restart"/>
                  <w:noWrap w:val="0"/>
                  <w:vAlign w:val="center"/>
                </w:tcPr>
                <w:p w14:paraId="381B503F">
                  <w:pPr>
                    <w:keepNext w:val="0"/>
                    <w:keepLines w:val="0"/>
                    <w:pageBreakBefore w:val="0"/>
                    <w:kinsoku/>
                    <w:wordWrap/>
                    <w:overflowPunct/>
                    <w:topLinePunct w:val="0"/>
                    <w:autoSpaceDE/>
                    <w:autoSpaceDN/>
                    <w:bidi w:val="0"/>
                    <w:adjustRightInd/>
                    <w:snapToGrid/>
                    <w:spacing w:line="320" w:lineRule="exact"/>
                    <w:jc w:val="left"/>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经隔油池和化粪池预处理后，排入寻甸县污水处理厂处理。</w:t>
                  </w:r>
                </w:p>
              </w:tc>
            </w:tr>
            <w:tr w14:paraId="3E2F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19EF1F81">
                  <w:pPr>
                    <w:keepNext w:val="0"/>
                    <w:keepLines w:val="0"/>
                    <w:pageBreakBefore w:val="0"/>
                    <w:kinsoku/>
                    <w:wordWrap/>
                    <w:overflowPunct/>
                    <w:topLinePunct w:val="0"/>
                    <w:autoSpaceDE/>
                    <w:autoSpaceDN/>
                    <w:bidi w:val="0"/>
                    <w:adjustRightInd/>
                    <w:snapToGrid/>
                    <w:spacing w:line="320" w:lineRule="exact"/>
                    <w:jc w:val="center"/>
                    <w:rPr>
                      <w:rFonts w:hint="eastAsia"/>
                      <w:color w:val="auto"/>
                      <w:highlight w:val="none"/>
                      <w:lang w:val="en-US" w:eastAsia="zh-CN"/>
                    </w:rPr>
                  </w:pPr>
                </w:p>
              </w:tc>
              <w:tc>
                <w:tcPr>
                  <w:tcW w:w="752" w:type="pct"/>
                  <w:noWrap w:val="0"/>
                  <w:vAlign w:val="center"/>
                </w:tcPr>
                <w:p w14:paraId="3E73E5C9">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餐饮</w:t>
                  </w:r>
                </w:p>
              </w:tc>
              <w:tc>
                <w:tcPr>
                  <w:tcW w:w="572" w:type="pct"/>
                  <w:noWrap w:val="0"/>
                  <w:vAlign w:val="center"/>
                </w:tcPr>
                <w:p w14:paraId="0ACBA41F">
                  <w:pPr>
                    <w:keepNext w:val="0"/>
                    <w:keepLines w:val="0"/>
                    <w:pageBreakBefore w:val="0"/>
                    <w:kinsoku/>
                    <w:wordWrap/>
                    <w:overflowPunct/>
                    <w:topLinePunct w:val="0"/>
                    <w:autoSpaceDE/>
                    <w:autoSpaceDN/>
                    <w:bidi w:val="0"/>
                    <w:adjustRightInd/>
                    <w:snapToGrid/>
                    <w:spacing w:line="320" w:lineRule="exact"/>
                    <w:jc w:val="center"/>
                    <w:rPr>
                      <w:rFonts w:hint="default" w:eastAsia="宋体"/>
                      <w:b w:val="0"/>
                      <w:bCs w:val="0"/>
                      <w:color w:val="auto"/>
                      <w:highlight w:val="none"/>
                      <w:lang w:val="en-US" w:eastAsia="zh-CN"/>
                    </w:rPr>
                  </w:pPr>
                  <w:r>
                    <w:rPr>
                      <w:rFonts w:hint="eastAsia" w:eastAsia="宋体"/>
                      <w:b w:val="0"/>
                      <w:bCs w:val="0"/>
                      <w:color w:val="auto"/>
                      <w:highlight w:val="none"/>
                      <w:lang w:val="en-US" w:eastAsia="zh-CN"/>
                    </w:rPr>
                    <w:t>0.48</w:t>
                  </w:r>
                </w:p>
              </w:tc>
              <w:tc>
                <w:tcPr>
                  <w:tcW w:w="583" w:type="pct"/>
                  <w:noWrap w:val="0"/>
                  <w:vAlign w:val="center"/>
                </w:tcPr>
                <w:p w14:paraId="3E24129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0.096</w:t>
                  </w:r>
                </w:p>
              </w:tc>
              <w:tc>
                <w:tcPr>
                  <w:tcW w:w="552" w:type="pct"/>
                  <w:noWrap w:val="0"/>
                  <w:vAlign w:val="center"/>
                </w:tcPr>
                <w:p w14:paraId="7712D0F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342887F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0.384</w:t>
                  </w:r>
                </w:p>
              </w:tc>
              <w:tc>
                <w:tcPr>
                  <w:tcW w:w="630" w:type="pct"/>
                  <w:noWrap w:val="0"/>
                  <w:vAlign w:val="center"/>
                </w:tcPr>
                <w:p w14:paraId="18BF142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+0.384</w:t>
                  </w:r>
                </w:p>
              </w:tc>
              <w:tc>
                <w:tcPr>
                  <w:tcW w:w="1032" w:type="pct"/>
                  <w:vMerge w:val="continue"/>
                  <w:noWrap w:val="0"/>
                  <w:vAlign w:val="center"/>
                </w:tcPr>
                <w:p w14:paraId="7B1307AE">
                  <w:pPr>
                    <w:keepNext w:val="0"/>
                    <w:keepLines w:val="0"/>
                    <w:pageBreakBefore w:val="0"/>
                    <w:kinsoku/>
                    <w:wordWrap/>
                    <w:overflowPunct/>
                    <w:topLinePunct w:val="0"/>
                    <w:autoSpaceDE/>
                    <w:autoSpaceDN/>
                    <w:bidi w:val="0"/>
                    <w:adjustRightInd/>
                    <w:snapToGrid/>
                    <w:spacing w:line="320" w:lineRule="exact"/>
                    <w:jc w:val="left"/>
                    <w:rPr>
                      <w:rFonts w:hint="eastAsia" w:ascii="Times New Roman" w:hAnsi="Times New Roman" w:eastAsia="宋体" w:cs="Times New Roman"/>
                      <w:color w:val="auto"/>
                      <w:kern w:val="0"/>
                      <w:sz w:val="21"/>
                      <w:szCs w:val="21"/>
                      <w:highlight w:val="none"/>
                      <w:lang w:val="en-US" w:eastAsia="zh-CN" w:bidi="ar"/>
                    </w:rPr>
                  </w:pPr>
                </w:p>
              </w:tc>
            </w:tr>
            <w:tr w14:paraId="257D1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62FF633C">
                  <w:pPr>
                    <w:keepNext w:val="0"/>
                    <w:keepLines w:val="0"/>
                    <w:pageBreakBefore w:val="0"/>
                    <w:kinsoku/>
                    <w:wordWrap/>
                    <w:overflowPunct/>
                    <w:topLinePunct w:val="0"/>
                    <w:autoSpaceDE/>
                    <w:autoSpaceDN/>
                    <w:bidi w:val="0"/>
                    <w:adjustRightInd/>
                    <w:snapToGrid/>
                    <w:spacing w:line="320" w:lineRule="exact"/>
                    <w:jc w:val="center"/>
                    <w:rPr>
                      <w:rFonts w:hint="eastAsia"/>
                      <w:color w:val="auto"/>
                      <w:highlight w:val="none"/>
                      <w:lang w:val="en-US" w:eastAsia="zh-CN"/>
                    </w:rPr>
                  </w:pPr>
                </w:p>
              </w:tc>
              <w:tc>
                <w:tcPr>
                  <w:tcW w:w="752" w:type="pct"/>
                  <w:shd w:val="clear" w:color="auto" w:fill="auto"/>
                  <w:noWrap w:val="0"/>
                  <w:vAlign w:val="center"/>
                </w:tcPr>
                <w:p w14:paraId="31AD6950">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color w:val="auto"/>
                      <w:kern w:val="2"/>
                      <w:sz w:val="21"/>
                      <w:szCs w:val="24"/>
                      <w:highlight w:val="none"/>
                      <w:lang w:val="en-US" w:eastAsia="zh-CN" w:bidi="ar-SA"/>
                    </w:rPr>
                  </w:pPr>
                  <w:r>
                    <w:rPr>
                      <w:rFonts w:hint="eastAsia" w:eastAsia="宋体"/>
                      <w:color w:val="auto"/>
                      <w:highlight w:val="none"/>
                      <w:lang w:val="en-US" w:eastAsia="zh-CN"/>
                    </w:rPr>
                    <w:t>冲厕</w:t>
                  </w:r>
                </w:p>
              </w:tc>
              <w:tc>
                <w:tcPr>
                  <w:tcW w:w="572" w:type="pct"/>
                  <w:shd w:val="clear" w:color="auto" w:fill="auto"/>
                  <w:noWrap w:val="0"/>
                  <w:vAlign w:val="center"/>
                </w:tcPr>
                <w:p w14:paraId="301A3FBC">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color w:val="auto"/>
                      <w:kern w:val="2"/>
                      <w:sz w:val="21"/>
                      <w:szCs w:val="24"/>
                      <w:highlight w:val="none"/>
                      <w:lang w:val="en-US" w:eastAsia="zh-CN" w:bidi="ar-SA"/>
                    </w:rPr>
                  </w:pPr>
                  <w:r>
                    <w:rPr>
                      <w:rFonts w:hint="eastAsia" w:eastAsia="宋体"/>
                      <w:color w:val="auto"/>
                      <w:highlight w:val="none"/>
                      <w:lang w:val="en-US" w:eastAsia="zh-CN"/>
                    </w:rPr>
                    <w:t>1.645</w:t>
                  </w:r>
                </w:p>
              </w:tc>
              <w:tc>
                <w:tcPr>
                  <w:tcW w:w="583" w:type="pct"/>
                  <w:shd w:val="clear" w:color="auto" w:fill="auto"/>
                  <w:noWrap w:val="0"/>
                  <w:vAlign w:val="center"/>
                </w:tcPr>
                <w:p w14:paraId="5F4F928A">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0.329</w:t>
                  </w:r>
                </w:p>
              </w:tc>
              <w:tc>
                <w:tcPr>
                  <w:tcW w:w="552" w:type="pct"/>
                  <w:shd w:val="clear" w:color="auto" w:fill="auto"/>
                  <w:noWrap w:val="0"/>
                  <w:vAlign w:val="center"/>
                </w:tcPr>
                <w:p w14:paraId="2C7A1E4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shd w:val="clear" w:color="auto" w:fill="auto"/>
                  <w:noWrap w:val="0"/>
                  <w:vAlign w:val="center"/>
                </w:tcPr>
                <w:p w14:paraId="135C490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1.316</w:t>
                  </w:r>
                </w:p>
              </w:tc>
              <w:tc>
                <w:tcPr>
                  <w:tcW w:w="630" w:type="pct"/>
                  <w:shd w:val="clear" w:color="auto" w:fill="auto"/>
                  <w:noWrap w:val="0"/>
                  <w:vAlign w:val="center"/>
                </w:tcPr>
                <w:p w14:paraId="332BF5FA">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+1.316</w:t>
                  </w:r>
                </w:p>
              </w:tc>
              <w:tc>
                <w:tcPr>
                  <w:tcW w:w="1032" w:type="pct"/>
                  <w:vMerge w:val="continue"/>
                  <w:noWrap w:val="0"/>
                  <w:vAlign w:val="center"/>
                </w:tcPr>
                <w:p w14:paraId="5EF0F5F3">
                  <w:pPr>
                    <w:keepNext w:val="0"/>
                    <w:keepLines w:val="0"/>
                    <w:pageBreakBefore w:val="0"/>
                    <w:kinsoku/>
                    <w:wordWrap/>
                    <w:overflowPunct/>
                    <w:topLinePunct w:val="0"/>
                    <w:autoSpaceDE/>
                    <w:autoSpaceDN/>
                    <w:bidi w:val="0"/>
                    <w:adjustRightInd/>
                    <w:snapToGrid/>
                    <w:spacing w:line="320" w:lineRule="exact"/>
                    <w:jc w:val="left"/>
                    <w:rPr>
                      <w:rFonts w:hint="eastAsia" w:ascii="Times New Roman" w:hAnsi="Times New Roman" w:eastAsia="宋体" w:cs="Times New Roman"/>
                      <w:color w:val="auto"/>
                      <w:kern w:val="0"/>
                      <w:sz w:val="21"/>
                      <w:szCs w:val="21"/>
                      <w:highlight w:val="none"/>
                      <w:lang w:val="en-US" w:eastAsia="zh-CN" w:bidi="ar"/>
                    </w:rPr>
                  </w:pPr>
                </w:p>
              </w:tc>
            </w:tr>
            <w:tr w14:paraId="0FEB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4AF0257F">
                  <w:pPr>
                    <w:keepNext w:val="0"/>
                    <w:keepLines w:val="0"/>
                    <w:pageBreakBefore w:val="0"/>
                    <w:kinsoku/>
                    <w:wordWrap/>
                    <w:overflowPunct/>
                    <w:topLinePunct w:val="0"/>
                    <w:autoSpaceDE/>
                    <w:autoSpaceDN/>
                    <w:bidi w:val="0"/>
                    <w:adjustRightInd/>
                    <w:snapToGrid/>
                    <w:spacing w:line="320" w:lineRule="exact"/>
                    <w:jc w:val="center"/>
                    <w:rPr>
                      <w:rFonts w:hint="eastAsia"/>
                      <w:color w:val="auto"/>
                      <w:highlight w:val="none"/>
                      <w:lang w:val="en-US" w:eastAsia="zh-CN"/>
                    </w:rPr>
                  </w:pPr>
                </w:p>
              </w:tc>
              <w:tc>
                <w:tcPr>
                  <w:tcW w:w="752" w:type="pct"/>
                  <w:shd w:val="clear" w:color="auto" w:fill="auto"/>
                  <w:noWrap w:val="0"/>
                  <w:vAlign w:val="center"/>
                </w:tcPr>
                <w:p w14:paraId="2921D4B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color w:val="auto"/>
                      <w:kern w:val="2"/>
                      <w:sz w:val="21"/>
                      <w:szCs w:val="24"/>
                      <w:highlight w:val="none"/>
                      <w:lang w:val="en-US" w:eastAsia="zh-CN" w:bidi="ar-SA"/>
                    </w:rPr>
                  </w:pPr>
                  <w:r>
                    <w:rPr>
                      <w:rFonts w:hint="eastAsia" w:eastAsia="宋体" w:cs="Times New Roman"/>
                      <w:color w:val="auto"/>
                      <w:kern w:val="2"/>
                      <w:sz w:val="21"/>
                      <w:szCs w:val="24"/>
                      <w:highlight w:val="none"/>
                      <w:lang w:val="en-US" w:eastAsia="zh-CN" w:bidi="ar-SA"/>
                    </w:rPr>
                    <w:t>脱水工艺</w:t>
                  </w:r>
                </w:p>
              </w:tc>
              <w:tc>
                <w:tcPr>
                  <w:tcW w:w="572" w:type="pct"/>
                  <w:shd w:val="clear" w:color="auto" w:fill="auto"/>
                  <w:noWrap w:val="0"/>
                  <w:vAlign w:val="center"/>
                </w:tcPr>
                <w:p w14:paraId="7647C6B9">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eastAsia="宋体"/>
                      <w:b w:val="0"/>
                      <w:bCs w:val="0"/>
                      <w:color w:val="auto"/>
                      <w:highlight w:val="none"/>
                      <w:lang w:val="en-US" w:eastAsia="zh-CN"/>
                    </w:rPr>
                    <w:t>0</w:t>
                  </w:r>
                </w:p>
              </w:tc>
              <w:tc>
                <w:tcPr>
                  <w:tcW w:w="583" w:type="pct"/>
                  <w:shd w:val="clear" w:color="auto" w:fill="auto"/>
                  <w:noWrap w:val="0"/>
                  <w:vAlign w:val="center"/>
                </w:tcPr>
                <w:p w14:paraId="4136D229">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0</w:t>
                  </w:r>
                </w:p>
              </w:tc>
              <w:tc>
                <w:tcPr>
                  <w:tcW w:w="552" w:type="pct"/>
                  <w:shd w:val="clear" w:color="auto" w:fill="auto"/>
                  <w:noWrap w:val="0"/>
                  <w:vAlign w:val="center"/>
                </w:tcPr>
                <w:p w14:paraId="7E4098C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shd w:val="clear" w:color="auto" w:fill="auto"/>
                  <w:noWrap w:val="0"/>
                  <w:vAlign w:val="center"/>
                </w:tcPr>
                <w:p w14:paraId="77FB86D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700（尾菜废水）</w:t>
                  </w:r>
                </w:p>
              </w:tc>
              <w:tc>
                <w:tcPr>
                  <w:tcW w:w="630" w:type="pct"/>
                  <w:shd w:val="clear" w:color="auto" w:fill="auto"/>
                  <w:noWrap w:val="0"/>
                  <w:vAlign w:val="center"/>
                </w:tcPr>
                <w:p w14:paraId="3DA5BA75">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+700</w:t>
                  </w:r>
                </w:p>
              </w:tc>
              <w:tc>
                <w:tcPr>
                  <w:tcW w:w="1032" w:type="pct"/>
                  <w:vMerge w:val="restart"/>
                  <w:noWrap w:val="0"/>
                  <w:vAlign w:val="center"/>
                </w:tcPr>
                <w:p w14:paraId="195F54E8">
                  <w:pPr>
                    <w:keepNext w:val="0"/>
                    <w:keepLines w:val="0"/>
                    <w:pageBreakBefore w:val="0"/>
                    <w:kinsoku/>
                    <w:wordWrap/>
                    <w:overflowPunct/>
                    <w:topLinePunct w:val="0"/>
                    <w:autoSpaceDE/>
                    <w:autoSpaceDN/>
                    <w:bidi w:val="0"/>
                    <w:adjustRightInd/>
                    <w:snapToGrid/>
                    <w:spacing w:line="320" w:lineRule="exact"/>
                    <w:jc w:val="left"/>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经自建污水处理站处理后，排入寻甸县污水处理厂处理。</w:t>
                  </w:r>
                </w:p>
              </w:tc>
            </w:tr>
            <w:tr w14:paraId="6BE8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3651BB0E">
                  <w:pPr>
                    <w:keepNext w:val="0"/>
                    <w:keepLines w:val="0"/>
                    <w:pageBreakBefore w:val="0"/>
                    <w:kinsoku/>
                    <w:wordWrap/>
                    <w:overflowPunct/>
                    <w:topLinePunct w:val="0"/>
                    <w:autoSpaceDE/>
                    <w:autoSpaceDN/>
                    <w:bidi w:val="0"/>
                    <w:adjustRightInd/>
                    <w:snapToGrid/>
                    <w:spacing w:line="320" w:lineRule="exact"/>
                    <w:jc w:val="center"/>
                    <w:rPr>
                      <w:color w:val="auto"/>
                      <w:highlight w:val="none"/>
                    </w:rPr>
                  </w:pPr>
                </w:p>
              </w:tc>
              <w:tc>
                <w:tcPr>
                  <w:tcW w:w="752" w:type="pct"/>
                  <w:noWrap w:val="0"/>
                  <w:vAlign w:val="center"/>
                </w:tcPr>
                <w:p w14:paraId="2E1A2625">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车辆清洗</w:t>
                  </w:r>
                </w:p>
              </w:tc>
              <w:tc>
                <w:tcPr>
                  <w:tcW w:w="572" w:type="pct"/>
                  <w:noWrap w:val="0"/>
                  <w:vAlign w:val="center"/>
                </w:tcPr>
                <w:p w14:paraId="22BF8A7D">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10</w:t>
                  </w:r>
                </w:p>
              </w:tc>
              <w:tc>
                <w:tcPr>
                  <w:tcW w:w="583" w:type="pct"/>
                  <w:noWrap w:val="0"/>
                  <w:vAlign w:val="center"/>
                </w:tcPr>
                <w:p w14:paraId="491BCE6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w:t>
                  </w:r>
                </w:p>
              </w:tc>
              <w:tc>
                <w:tcPr>
                  <w:tcW w:w="552" w:type="pct"/>
                  <w:noWrap w:val="0"/>
                  <w:vAlign w:val="center"/>
                </w:tcPr>
                <w:p w14:paraId="0BBA78A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3462071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w:t>
                  </w:r>
                </w:p>
              </w:tc>
              <w:tc>
                <w:tcPr>
                  <w:tcW w:w="630" w:type="pct"/>
                  <w:noWrap w:val="0"/>
                  <w:vAlign w:val="center"/>
                </w:tcPr>
                <w:p w14:paraId="54ADCF3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w:t>
                  </w:r>
                </w:p>
              </w:tc>
              <w:tc>
                <w:tcPr>
                  <w:tcW w:w="1032" w:type="pct"/>
                  <w:vMerge w:val="continue"/>
                  <w:noWrap w:val="0"/>
                  <w:vAlign w:val="center"/>
                </w:tcPr>
                <w:p w14:paraId="47C2344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p>
              </w:tc>
            </w:tr>
            <w:tr w14:paraId="06288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1ADC7DD7">
                  <w:pPr>
                    <w:keepNext w:val="0"/>
                    <w:keepLines w:val="0"/>
                    <w:pageBreakBefore w:val="0"/>
                    <w:kinsoku/>
                    <w:wordWrap/>
                    <w:overflowPunct/>
                    <w:topLinePunct w:val="0"/>
                    <w:autoSpaceDE/>
                    <w:autoSpaceDN/>
                    <w:bidi w:val="0"/>
                    <w:adjustRightInd/>
                    <w:snapToGrid/>
                    <w:spacing w:line="320" w:lineRule="exact"/>
                    <w:jc w:val="center"/>
                    <w:rPr>
                      <w:color w:val="auto"/>
                      <w:highlight w:val="none"/>
                    </w:rPr>
                  </w:pPr>
                </w:p>
              </w:tc>
              <w:tc>
                <w:tcPr>
                  <w:tcW w:w="752" w:type="pct"/>
                  <w:noWrap w:val="0"/>
                  <w:vAlign w:val="center"/>
                </w:tcPr>
                <w:p w14:paraId="5CA286CC">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highlight w:val="none"/>
                      <w:lang w:val="en-US" w:eastAsia="zh-CN"/>
                    </w:rPr>
                  </w:pPr>
                  <w:r>
                    <w:rPr>
                      <w:rFonts w:hint="eastAsia" w:eastAsia="宋体"/>
                      <w:color w:val="auto"/>
                      <w:highlight w:val="none"/>
                      <w:lang w:val="en-US" w:eastAsia="zh-CN"/>
                    </w:rPr>
                    <w:t>车间</w:t>
                  </w:r>
                </w:p>
                <w:p w14:paraId="5C51B95B">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地面冲洗</w:t>
                  </w:r>
                </w:p>
              </w:tc>
              <w:tc>
                <w:tcPr>
                  <w:tcW w:w="572" w:type="pct"/>
                  <w:noWrap w:val="0"/>
                  <w:vAlign w:val="center"/>
                </w:tcPr>
                <w:p w14:paraId="132D43BD">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3</w:t>
                  </w:r>
                </w:p>
              </w:tc>
              <w:tc>
                <w:tcPr>
                  <w:tcW w:w="583" w:type="pct"/>
                  <w:noWrap w:val="0"/>
                  <w:vAlign w:val="center"/>
                </w:tcPr>
                <w:p w14:paraId="5333111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0.6</w:t>
                  </w:r>
                </w:p>
              </w:tc>
              <w:tc>
                <w:tcPr>
                  <w:tcW w:w="552" w:type="pct"/>
                  <w:noWrap w:val="0"/>
                  <w:vAlign w:val="center"/>
                </w:tcPr>
                <w:p w14:paraId="094C130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0A3F19A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2.4</w:t>
                  </w:r>
                </w:p>
              </w:tc>
              <w:tc>
                <w:tcPr>
                  <w:tcW w:w="630" w:type="pct"/>
                  <w:noWrap w:val="0"/>
                  <w:vAlign w:val="center"/>
                </w:tcPr>
                <w:p w14:paraId="40477F2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+2.4</w:t>
                  </w:r>
                </w:p>
              </w:tc>
              <w:tc>
                <w:tcPr>
                  <w:tcW w:w="1032" w:type="pct"/>
                  <w:vMerge w:val="continue"/>
                  <w:noWrap w:val="0"/>
                  <w:vAlign w:val="center"/>
                </w:tcPr>
                <w:p w14:paraId="328B114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p>
              </w:tc>
            </w:tr>
            <w:tr w14:paraId="3498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59E746E3">
                  <w:pPr>
                    <w:keepNext w:val="0"/>
                    <w:keepLines w:val="0"/>
                    <w:pageBreakBefore w:val="0"/>
                    <w:kinsoku/>
                    <w:wordWrap/>
                    <w:overflowPunct/>
                    <w:topLinePunct w:val="0"/>
                    <w:autoSpaceDE/>
                    <w:autoSpaceDN/>
                    <w:bidi w:val="0"/>
                    <w:adjustRightInd/>
                    <w:snapToGrid/>
                    <w:spacing w:line="320" w:lineRule="exact"/>
                    <w:jc w:val="center"/>
                    <w:rPr>
                      <w:color w:val="auto"/>
                      <w:highlight w:val="none"/>
                    </w:rPr>
                  </w:pPr>
                </w:p>
              </w:tc>
              <w:tc>
                <w:tcPr>
                  <w:tcW w:w="752" w:type="pct"/>
                  <w:noWrap w:val="0"/>
                  <w:vAlign w:val="center"/>
                </w:tcPr>
                <w:p w14:paraId="193369E6">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default" w:eastAsia="宋体"/>
                      <w:color w:val="auto"/>
                      <w:highlight w:val="none"/>
                      <w:lang w:val="en-US" w:eastAsia="zh-CN"/>
                    </w:rPr>
                    <w:t>水膜喷淋湿法脱硫</w:t>
                  </w:r>
                </w:p>
              </w:tc>
              <w:tc>
                <w:tcPr>
                  <w:tcW w:w="572" w:type="pct"/>
                  <w:noWrap w:val="0"/>
                  <w:vAlign w:val="center"/>
                </w:tcPr>
                <w:p w14:paraId="1DB52873">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0.54</w:t>
                  </w:r>
                </w:p>
              </w:tc>
              <w:tc>
                <w:tcPr>
                  <w:tcW w:w="583" w:type="pct"/>
                  <w:noWrap w:val="0"/>
                  <w:vAlign w:val="center"/>
                </w:tcPr>
                <w:p w14:paraId="321DFB6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0.5</w:t>
                  </w:r>
                </w:p>
              </w:tc>
              <w:tc>
                <w:tcPr>
                  <w:tcW w:w="552" w:type="pct"/>
                  <w:noWrap w:val="0"/>
                  <w:vAlign w:val="center"/>
                </w:tcPr>
                <w:p w14:paraId="659A251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33AB68E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0.04</w:t>
                  </w:r>
                </w:p>
              </w:tc>
              <w:tc>
                <w:tcPr>
                  <w:tcW w:w="630" w:type="pct"/>
                  <w:noWrap w:val="0"/>
                  <w:vAlign w:val="center"/>
                </w:tcPr>
                <w:p w14:paraId="46662E3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+0.04</w:t>
                  </w:r>
                </w:p>
              </w:tc>
              <w:tc>
                <w:tcPr>
                  <w:tcW w:w="1032" w:type="pct"/>
                  <w:vMerge w:val="continue"/>
                  <w:noWrap w:val="0"/>
                  <w:vAlign w:val="center"/>
                </w:tcPr>
                <w:p w14:paraId="6FDEF44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p>
              </w:tc>
            </w:tr>
            <w:tr w14:paraId="3A788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3AA5A1F4">
                  <w:pPr>
                    <w:keepNext w:val="0"/>
                    <w:keepLines w:val="0"/>
                    <w:pageBreakBefore w:val="0"/>
                    <w:kinsoku/>
                    <w:wordWrap/>
                    <w:overflowPunct/>
                    <w:topLinePunct w:val="0"/>
                    <w:autoSpaceDE/>
                    <w:autoSpaceDN/>
                    <w:bidi w:val="0"/>
                    <w:adjustRightInd/>
                    <w:snapToGrid/>
                    <w:spacing w:line="320" w:lineRule="exact"/>
                    <w:jc w:val="center"/>
                    <w:rPr>
                      <w:color w:val="auto"/>
                      <w:highlight w:val="none"/>
                    </w:rPr>
                  </w:pPr>
                </w:p>
              </w:tc>
              <w:tc>
                <w:tcPr>
                  <w:tcW w:w="752" w:type="pct"/>
                  <w:noWrap w:val="0"/>
                  <w:vAlign w:val="center"/>
                </w:tcPr>
                <w:p w14:paraId="614245F4">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default" w:eastAsia="宋体"/>
                      <w:color w:val="auto"/>
                      <w:highlight w:val="none"/>
                      <w:lang w:val="en-US" w:eastAsia="zh-CN"/>
                    </w:rPr>
                    <w:t>尿素喷淋</w:t>
                  </w:r>
                </w:p>
              </w:tc>
              <w:tc>
                <w:tcPr>
                  <w:tcW w:w="572" w:type="pct"/>
                  <w:noWrap w:val="0"/>
                  <w:vAlign w:val="center"/>
                </w:tcPr>
                <w:p w14:paraId="39A5C82F">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0.03</w:t>
                  </w:r>
                </w:p>
              </w:tc>
              <w:tc>
                <w:tcPr>
                  <w:tcW w:w="583" w:type="pct"/>
                  <w:noWrap w:val="0"/>
                  <w:vAlign w:val="center"/>
                </w:tcPr>
                <w:p w14:paraId="6F7F60E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0.03</w:t>
                  </w:r>
                </w:p>
              </w:tc>
              <w:tc>
                <w:tcPr>
                  <w:tcW w:w="552" w:type="pct"/>
                  <w:noWrap w:val="0"/>
                  <w:vAlign w:val="center"/>
                </w:tcPr>
                <w:p w14:paraId="1823C78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4D8903F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30" w:type="pct"/>
                  <w:noWrap w:val="0"/>
                  <w:vAlign w:val="center"/>
                </w:tcPr>
                <w:p w14:paraId="232ACD6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1032" w:type="pct"/>
                  <w:noWrap w:val="0"/>
                  <w:vAlign w:val="center"/>
                </w:tcPr>
                <w:p w14:paraId="175A1A0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高温气化损耗</w:t>
                  </w:r>
                </w:p>
              </w:tc>
            </w:tr>
            <w:tr w14:paraId="6B1B8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Merge w:val="continue"/>
                  <w:noWrap w:val="0"/>
                  <w:vAlign w:val="center"/>
                </w:tcPr>
                <w:p w14:paraId="46C0EDEC">
                  <w:pPr>
                    <w:keepNext w:val="0"/>
                    <w:keepLines w:val="0"/>
                    <w:pageBreakBefore w:val="0"/>
                    <w:kinsoku/>
                    <w:wordWrap/>
                    <w:overflowPunct/>
                    <w:topLinePunct w:val="0"/>
                    <w:autoSpaceDE/>
                    <w:autoSpaceDN/>
                    <w:bidi w:val="0"/>
                    <w:adjustRightInd/>
                    <w:snapToGrid/>
                    <w:spacing w:line="320" w:lineRule="exact"/>
                    <w:jc w:val="center"/>
                    <w:rPr>
                      <w:color w:val="auto"/>
                      <w:highlight w:val="none"/>
                    </w:rPr>
                  </w:pPr>
                </w:p>
              </w:tc>
              <w:tc>
                <w:tcPr>
                  <w:tcW w:w="752" w:type="pct"/>
                  <w:noWrap w:val="0"/>
                  <w:vAlign w:val="center"/>
                </w:tcPr>
                <w:p w14:paraId="0FBABDD4">
                  <w:pPr>
                    <w:keepNext w:val="0"/>
                    <w:keepLines w:val="0"/>
                    <w:pageBreakBefore w:val="0"/>
                    <w:kinsoku/>
                    <w:wordWrap/>
                    <w:overflowPunct/>
                    <w:topLinePunct w:val="0"/>
                    <w:autoSpaceDE/>
                    <w:autoSpaceDN/>
                    <w:bidi w:val="0"/>
                    <w:adjustRightInd/>
                    <w:snapToGrid/>
                    <w:spacing w:line="320" w:lineRule="exact"/>
                    <w:jc w:val="center"/>
                    <w:rPr>
                      <w:rFonts w:hint="default"/>
                      <w:color w:val="auto"/>
                      <w:highlight w:val="none"/>
                      <w:lang w:val="en-US" w:eastAsia="zh-CN"/>
                    </w:rPr>
                  </w:pPr>
                  <w:r>
                    <w:rPr>
                      <w:rFonts w:hint="eastAsia"/>
                      <w:color w:val="auto"/>
                      <w:highlight w:val="none"/>
                      <w:lang w:val="en-US" w:eastAsia="zh-CN"/>
                    </w:rPr>
                    <w:t>绿化</w:t>
                  </w:r>
                </w:p>
              </w:tc>
              <w:tc>
                <w:tcPr>
                  <w:tcW w:w="572" w:type="pct"/>
                  <w:noWrap w:val="0"/>
                  <w:vAlign w:val="center"/>
                </w:tcPr>
                <w:p w14:paraId="6CB96BFD">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highlight w:val="none"/>
                      <w:lang w:val="en-US" w:eastAsia="zh-CN"/>
                    </w:rPr>
                  </w:pPr>
                  <w:r>
                    <w:rPr>
                      <w:rFonts w:hint="eastAsia" w:eastAsia="宋体"/>
                      <w:color w:val="auto"/>
                      <w:highlight w:val="none"/>
                      <w:lang w:val="en-US" w:eastAsia="zh-CN"/>
                    </w:rPr>
                    <w:t>0.9</w:t>
                  </w:r>
                </w:p>
              </w:tc>
              <w:tc>
                <w:tcPr>
                  <w:tcW w:w="583" w:type="pct"/>
                  <w:noWrap w:val="0"/>
                  <w:vAlign w:val="center"/>
                </w:tcPr>
                <w:p w14:paraId="1B6A572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0.9</w:t>
                  </w:r>
                </w:p>
              </w:tc>
              <w:tc>
                <w:tcPr>
                  <w:tcW w:w="552" w:type="pct"/>
                  <w:noWrap w:val="0"/>
                  <w:vAlign w:val="center"/>
                </w:tcPr>
                <w:p w14:paraId="7DA965B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1B2A31F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30" w:type="pct"/>
                  <w:noWrap w:val="0"/>
                  <w:vAlign w:val="center"/>
                </w:tcPr>
                <w:p w14:paraId="00E0CF2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1032" w:type="pct"/>
                  <w:noWrap w:val="0"/>
                  <w:vAlign w:val="center"/>
                </w:tcPr>
                <w:p w14:paraId="7AE29A3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蒸发、植被吸收损耗</w:t>
                  </w:r>
                </w:p>
              </w:tc>
            </w:tr>
            <w:tr w14:paraId="7A7F7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9" w:type="pct"/>
                  <w:gridSpan w:val="2"/>
                  <w:noWrap w:val="0"/>
                  <w:vAlign w:val="center"/>
                </w:tcPr>
                <w:p w14:paraId="6947DC29">
                  <w:pPr>
                    <w:keepNext w:val="0"/>
                    <w:keepLines w:val="0"/>
                    <w:pageBreakBefore w:val="0"/>
                    <w:kinsoku/>
                    <w:wordWrap/>
                    <w:overflowPunct/>
                    <w:topLinePunct w:val="0"/>
                    <w:autoSpaceDE/>
                    <w:autoSpaceDN/>
                    <w:bidi w:val="0"/>
                    <w:adjustRightInd/>
                    <w:snapToGrid/>
                    <w:spacing w:line="320" w:lineRule="exact"/>
                    <w:jc w:val="center"/>
                    <w:rPr>
                      <w:rFonts w:hint="default"/>
                      <w:color w:val="auto"/>
                      <w:highlight w:val="none"/>
                      <w:lang w:val="en-US" w:eastAsia="zh-CN"/>
                    </w:rPr>
                  </w:pPr>
                  <w:r>
                    <w:rPr>
                      <w:rFonts w:hint="eastAsia"/>
                      <w:color w:val="auto"/>
                      <w:highlight w:val="none"/>
                      <w:lang w:val="en-US" w:eastAsia="zh-CN"/>
                    </w:rPr>
                    <w:t>合计</w:t>
                  </w:r>
                </w:p>
              </w:tc>
              <w:tc>
                <w:tcPr>
                  <w:tcW w:w="572" w:type="pct"/>
                  <w:noWrap w:val="0"/>
                  <w:vAlign w:val="center"/>
                </w:tcPr>
                <w:p w14:paraId="4C63883B">
                  <w:pPr>
                    <w:keepNext w:val="0"/>
                    <w:keepLines w:val="0"/>
                    <w:pageBreakBefore w:val="0"/>
                    <w:kinsoku/>
                    <w:wordWrap/>
                    <w:overflowPunct/>
                    <w:topLinePunct w:val="0"/>
                    <w:autoSpaceDE/>
                    <w:autoSpaceDN/>
                    <w:bidi w:val="0"/>
                    <w:adjustRightInd/>
                    <w:snapToGrid/>
                    <w:spacing w:line="320" w:lineRule="exact"/>
                    <w:jc w:val="center"/>
                    <w:rPr>
                      <w:rFonts w:hint="default"/>
                      <w:b w:val="0"/>
                      <w:bCs w:val="0"/>
                      <w:color w:val="auto"/>
                      <w:highlight w:val="none"/>
                      <w:lang w:val="en-US" w:eastAsia="zh-CN"/>
                    </w:rPr>
                  </w:pPr>
                  <w:r>
                    <w:rPr>
                      <w:rFonts w:hint="eastAsia"/>
                      <w:b w:val="0"/>
                      <w:bCs w:val="0"/>
                      <w:color w:val="auto"/>
                      <w:highlight w:val="none"/>
                      <w:lang w:val="en-US" w:eastAsia="zh-CN"/>
                    </w:rPr>
                    <w:t>17.885</w:t>
                  </w:r>
                </w:p>
              </w:tc>
              <w:tc>
                <w:tcPr>
                  <w:tcW w:w="583" w:type="pct"/>
                  <w:noWrap w:val="0"/>
                  <w:vAlign w:val="center"/>
                </w:tcPr>
                <w:p w14:paraId="35D9080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4.713</w:t>
                  </w:r>
                </w:p>
              </w:tc>
              <w:tc>
                <w:tcPr>
                  <w:tcW w:w="552" w:type="pct"/>
                  <w:noWrap w:val="0"/>
                  <w:vAlign w:val="center"/>
                </w:tcPr>
                <w:p w14:paraId="7861C46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p>
              </w:tc>
              <w:tc>
                <w:tcPr>
                  <w:tcW w:w="629" w:type="pct"/>
                  <w:noWrap w:val="0"/>
                  <w:vAlign w:val="center"/>
                </w:tcPr>
                <w:p w14:paraId="4FBDD91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713.712</w:t>
                  </w:r>
                </w:p>
              </w:tc>
              <w:tc>
                <w:tcPr>
                  <w:tcW w:w="630" w:type="pct"/>
                  <w:noWrap w:val="0"/>
                  <w:vAlign w:val="center"/>
                </w:tcPr>
                <w:p w14:paraId="2DE08EE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+713.172</w:t>
                  </w:r>
                </w:p>
              </w:tc>
              <w:tc>
                <w:tcPr>
                  <w:tcW w:w="1032" w:type="pct"/>
                  <w:noWrap w:val="0"/>
                  <w:vAlign w:val="center"/>
                </w:tcPr>
                <w:p w14:paraId="5B5D3FC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w:t>
                  </w:r>
                </w:p>
              </w:tc>
            </w:tr>
          </w:tbl>
          <w:p w14:paraId="1C2CF210">
            <w:pPr>
              <w:pStyle w:val="117"/>
              <w:keepNext w:val="0"/>
              <w:keepLines w:val="0"/>
              <w:pageBreakBefore w:val="0"/>
              <w:widowControl w:val="0"/>
              <w:kinsoku/>
              <w:wordWrap/>
              <w:overflowPunct/>
              <w:topLinePunct w:val="0"/>
              <w:autoSpaceDE/>
              <w:autoSpaceDN/>
              <w:bidi w:val="0"/>
              <w:adjustRightInd/>
              <w:snapToGrid/>
              <w:spacing w:before="157" w:beforeLines="50" w:line="240" w:lineRule="auto"/>
              <w:ind w:firstLine="0"/>
              <w:jc w:val="center"/>
              <w:textAlignment w:val="auto"/>
              <w:rPr>
                <w:rFonts w:cs="Times New Roman"/>
                <w:color w:val="auto"/>
                <w:szCs w:val="24"/>
                <w:highlight w:val="none"/>
              </w:rPr>
            </w:pPr>
            <w:r>
              <w:rPr>
                <w:rFonts w:hint="eastAsia" w:cs="Times New Roman"/>
                <w:color w:val="auto"/>
                <w:szCs w:val="24"/>
                <w:highlight w:val="none"/>
              </w:rPr>
              <w:drawing>
                <wp:inline distT="0" distB="0" distL="114300" distR="114300">
                  <wp:extent cx="5474970" cy="4313555"/>
                  <wp:effectExtent l="0" t="0" r="11430" b="14605"/>
                  <wp:docPr id="43" name="图片 86" descr="绘图3（700水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6" descr="绘图3（700水量）"/>
                          <pic:cNvPicPr>
                            <a:picLocks noChangeAspect="1"/>
                          </pic:cNvPicPr>
                        </pic:nvPicPr>
                        <pic:blipFill>
                          <a:blip r:embed="rId14"/>
                          <a:stretch>
                            <a:fillRect/>
                          </a:stretch>
                        </pic:blipFill>
                        <pic:spPr>
                          <a:xfrm>
                            <a:off x="0" y="0"/>
                            <a:ext cx="5474970" cy="4313555"/>
                          </a:xfrm>
                          <a:prstGeom prst="rect">
                            <a:avLst/>
                          </a:prstGeom>
                          <a:noFill/>
                          <a:ln>
                            <a:noFill/>
                          </a:ln>
                        </pic:spPr>
                      </pic:pic>
                    </a:graphicData>
                  </a:graphic>
                </wp:inline>
              </w:drawing>
            </w:r>
          </w:p>
          <w:p w14:paraId="034F0803">
            <w:pPr>
              <w:snapToGrid w:val="0"/>
              <w:spacing w:before="48" w:beforeLines="20" w:line="360" w:lineRule="auto"/>
              <w:jc w:val="center"/>
              <w:rPr>
                <w:b/>
                <w:bCs/>
                <w:color w:val="auto"/>
                <w:szCs w:val="21"/>
                <w:highlight w:val="none"/>
              </w:rPr>
            </w:pPr>
            <w:r>
              <w:rPr>
                <w:b/>
                <w:bCs/>
                <w:color w:val="auto"/>
                <w:highlight w:val="none"/>
              </w:rPr>
              <w:t>图2-</w:t>
            </w:r>
            <w:r>
              <w:rPr>
                <w:rFonts w:hint="eastAsia"/>
                <w:b/>
                <w:bCs/>
                <w:color w:val="auto"/>
                <w:highlight w:val="none"/>
                <w:lang w:val="en-US" w:eastAsia="zh-CN"/>
              </w:rPr>
              <w:t xml:space="preserve">10  </w:t>
            </w:r>
            <w:r>
              <w:rPr>
                <w:rFonts w:hint="eastAsia"/>
                <w:b/>
                <w:bCs/>
                <w:color w:val="auto"/>
                <w:highlight w:val="none"/>
              </w:rPr>
              <w:t>现有项目</w:t>
            </w:r>
            <w:r>
              <w:rPr>
                <w:b/>
                <w:bCs/>
                <w:color w:val="auto"/>
                <w:highlight w:val="none"/>
              </w:rPr>
              <w:t>运营期项目区水平衡图（m</w:t>
            </w:r>
            <w:r>
              <w:rPr>
                <w:b/>
                <w:bCs/>
                <w:color w:val="auto"/>
                <w:highlight w:val="none"/>
                <w:vertAlign w:val="superscript"/>
              </w:rPr>
              <w:t>3</w:t>
            </w:r>
            <w:r>
              <w:rPr>
                <w:b/>
                <w:bCs/>
                <w:color w:val="auto"/>
                <w:highlight w:val="none"/>
              </w:rPr>
              <w:t>/d）</w:t>
            </w:r>
          </w:p>
          <w:p w14:paraId="17CE978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position w:val="2"/>
                <w:highlight w:val="none"/>
              </w:rPr>
            </w:pPr>
            <w:r>
              <w:rPr>
                <w:b/>
                <w:bCs/>
                <w:color w:val="auto"/>
                <w:position w:val="2"/>
                <w:highlight w:val="none"/>
              </w:rPr>
              <w:t>表</w:t>
            </w:r>
            <w:r>
              <w:rPr>
                <w:rFonts w:hint="eastAsia"/>
                <w:b/>
                <w:bCs/>
                <w:color w:val="auto"/>
                <w:position w:val="2"/>
                <w:highlight w:val="none"/>
              </w:rPr>
              <w:t>2</w:t>
            </w:r>
            <w:r>
              <w:rPr>
                <w:b/>
                <w:bCs/>
                <w:color w:val="auto"/>
                <w:position w:val="2"/>
                <w:highlight w:val="none"/>
              </w:rPr>
              <w:t>-</w:t>
            </w:r>
            <w:r>
              <w:rPr>
                <w:rFonts w:hint="eastAsia"/>
                <w:b/>
                <w:bCs/>
                <w:color w:val="auto"/>
                <w:position w:val="2"/>
                <w:highlight w:val="none"/>
              </w:rPr>
              <w:t>1</w:t>
            </w:r>
            <w:r>
              <w:rPr>
                <w:rFonts w:hint="eastAsia"/>
                <w:b/>
                <w:bCs/>
                <w:color w:val="auto"/>
                <w:position w:val="2"/>
                <w:highlight w:val="none"/>
                <w:lang w:val="en-US" w:eastAsia="zh-CN"/>
              </w:rPr>
              <w:t xml:space="preserve">5 </w:t>
            </w:r>
            <w:r>
              <w:rPr>
                <w:b/>
                <w:bCs/>
                <w:color w:val="auto"/>
                <w:position w:val="2"/>
                <w:highlight w:val="none"/>
              </w:rPr>
              <w:t xml:space="preserve"> 项目废水污染物排放达标情况一览表</w:t>
            </w:r>
          </w:p>
          <w:tbl>
            <w:tblPr>
              <w:tblStyle w:val="26"/>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1233"/>
              <w:gridCol w:w="1214"/>
              <w:gridCol w:w="1004"/>
              <w:gridCol w:w="899"/>
              <w:gridCol w:w="907"/>
              <w:gridCol w:w="912"/>
              <w:gridCol w:w="840"/>
              <w:gridCol w:w="893"/>
            </w:tblGrid>
            <w:tr w14:paraId="0196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3" w:type="pct"/>
                  <w:gridSpan w:val="2"/>
                  <w:vAlign w:val="center"/>
                </w:tcPr>
                <w:p w14:paraId="161DB924">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color w:val="auto"/>
                      <w:position w:val="2"/>
                      <w:sz w:val="21"/>
                      <w:szCs w:val="21"/>
                      <w:highlight w:val="none"/>
                    </w:rPr>
                  </w:pPr>
                  <w:r>
                    <w:rPr>
                      <w:rFonts w:hint="default" w:ascii="Times New Roman" w:hAnsi="Times New Roman" w:cs="Times New Roman" w:eastAsiaTheme="minorEastAsia"/>
                      <w:b/>
                      <w:bCs/>
                      <w:color w:val="auto"/>
                      <w:position w:val="2"/>
                      <w:sz w:val="21"/>
                      <w:szCs w:val="21"/>
                      <w:highlight w:val="none"/>
                    </w:rPr>
                    <w:t>项目</w:t>
                  </w:r>
                </w:p>
              </w:tc>
              <w:tc>
                <w:tcPr>
                  <w:tcW w:w="705" w:type="pct"/>
                  <w:vAlign w:val="center"/>
                </w:tcPr>
                <w:p w14:paraId="423762F0">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color w:val="auto"/>
                      <w:position w:val="2"/>
                      <w:sz w:val="21"/>
                      <w:szCs w:val="21"/>
                      <w:highlight w:val="none"/>
                    </w:rPr>
                  </w:pPr>
                  <w:r>
                    <w:rPr>
                      <w:rFonts w:hint="default" w:ascii="Times New Roman" w:hAnsi="Times New Roman" w:cs="Times New Roman" w:eastAsiaTheme="minorEastAsia"/>
                      <w:b/>
                      <w:bCs/>
                      <w:color w:val="auto"/>
                      <w:position w:val="2"/>
                      <w:sz w:val="21"/>
                      <w:szCs w:val="21"/>
                      <w:highlight w:val="none"/>
                    </w:rPr>
                    <w:t>废水量</w:t>
                  </w:r>
                </w:p>
              </w:tc>
              <w:tc>
                <w:tcPr>
                  <w:tcW w:w="582" w:type="pct"/>
                  <w:vAlign w:val="center"/>
                </w:tcPr>
                <w:p w14:paraId="386750F2">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color w:val="auto"/>
                      <w:position w:val="2"/>
                      <w:sz w:val="21"/>
                      <w:szCs w:val="21"/>
                      <w:highlight w:val="none"/>
                    </w:rPr>
                  </w:pPr>
                  <w:r>
                    <w:rPr>
                      <w:rFonts w:hint="default" w:ascii="Times New Roman" w:hAnsi="Times New Roman" w:cs="Times New Roman" w:eastAsiaTheme="minorEastAsia"/>
                      <w:b/>
                      <w:bCs/>
                      <w:color w:val="auto"/>
                      <w:position w:val="2"/>
                      <w:sz w:val="21"/>
                      <w:szCs w:val="21"/>
                      <w:highlight w:val="none"/>
                    </w:rPr>
                    <w:t>单位</w:t>
                  </w:r>
                </w:p>
              </w:tc>
              <w:tc>
                <w:tcPr>
                  <w:tcW w:w="898" w:type="dxa"/>
                  <w:vAlign w:val="center"/>
                </w:tcPr>
                <w:p w14:paraId="34273EF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b/>
                      <w:bCs/>
                      <w:color w:val="auto"/>
                      <w:position w:val="2"/>
                      <w:sz w:val="21"/>
                      <w:szCs w:val="21"/>
                      <w:highlight w:val="none"/>
                    </w:rPr>
                  </w:pPr>
                  <w:r>
                    <w:rPr>
                      <w:b/>
                      <w:bCs/>
                      <w:color w:val="auto"/>
                      <w:kern w:val="0"/>
                      <w:sz w:val="21"/>
                      <w:szCs w:val="21"/>
                      <w:highlight w:val="none"/>
                      <w:lang w:bidi="ar"/>
                    </w:rPr>
                    <w:t>CODcr</w:t>
                  </w:r>
                </w:p>
              </w:tc>
              <w:tc>
                <w:tcPr>
                  <w:tcW w:w="907" w:type="dxa"/>
                  <w:vAlign w:val="center"/>
                </w:tcPr>
                <w:p w14:paraId="1D84DF1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b/>
                      <w:bCs/>
                      <w:color w:val="auto"/>
                      <w:position w:val="2"/>
                      <w:sz w:val="21"/>
                      <w:szCs w:val="21"/>
                      <w:highlight w:val="none"/>
                    </w:rPr>
                  </w:pPr>
                  <w:r>
                    <w:rPr>
                      <w:b/>
                      <w:bCs/>
                      <w:color w:val="auto"/>
                      <w:kern w:val="0"/>
                      <w:sz w:val="21"/>
                      <w:szCs w:val="21"/>
                      <w:highlight w:val="none"/>
                      <w:lang w:bidi="ar"/>
                    </w:rPr>
                    <w:t>BOD₅</w:t>
                  </w:r>
                </w:p>
              </w:tc>
              <w:tc>
                <w:tcPr>
                  <w:tcW w:w="912" w:type="dxa"/>
                  <w:vAlign w:val="center"/>
                </w:tcPr>
                <w:p w14:paraId="02C2FE2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b/>
                      <w:bCs/>
                      <w:color w:val="auto"/>
                      <w:position w:val="2"/>
                      <w:sz w:val="21"/>
                      <w:szCs w:val="21"/>
                      <w:highlight w:val="none"/>
                    </w:rPr>
                  </w:pPr>
                  <w:r>
                    <w:rPr>
                      <w:b/>
                      <w:bCs/>
                      <w:color w:val="auto"/>
                      <w:kern w:val="0"/>
                      <w:sz w:val="21"/>
                      <w:szCs w:val="21"/>
                      <w:highlight w:val="none"/>
                      <w:lang w:bidi="ar"/>
                    </w:rPr>
                    <w:t>SS</w:t>
                  </w:r>
                </w:p>
              </w:tc>
              <w:tc>
                <w:tcPr>
                  <w:tcW w:w="840" w:type="dxa"/>
                  <w:vAlign w:val="center"/>
                </w:tcPr>
                <w:p w14:paraId="3316153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b/>
                      <w:bCs/>
                      <w:color w:val="auto"/>
                      <w:position w:val="2"/>
                      <w:sz w:val="21"/>
                      <w:szCs w:val="21"/>
                      <w:highlight w:val="none"/>
                    </w:rPr>
                  </w:pPr>
                  <w:r>
                    <w:rPr>
                      <w:rFonts w:hint="eastAsia" w:ascii="宋体" w:hAnsi="宋体" w:cs="宋体"/>
                      <w:b/>
                      <w:bCs/>
                      <w:color w:val="auto"/>
                      <w:kern w:val="0"/>
                      <w:sz w:val="21"/>
                      <w:szCs w:val="21"/>
                      <w:highlight w:val="none"/>
                      <w:lang w:bidi="ar"/>
                    </w:rPr>
                    <w:t>氨氮</w:t>
                  </w:r>
                </w:p>
              </w:tc>
              <w:tc>
                <w:tcPr>
                  <w:tcW w:w="894" w:type="dxa"/>
                  <w:vAlign w:val="center"/>
                </w:tcPr>
                <w:p w14:paraId="2F5BEA8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b/>
                      <w:bCs/>
                      <w:color w:val="auto"/>
                      <w:position w:val="2"/>
                      <w:sz w:val="21"/>
                      <w:szCs w:val="21"/>
                      <w:highlight w:val="none"/>
                    </w:rPr>
                  </w:pPr>
                  <w:r>
                    <w:rPr>
                      <w:rFonts w:hint="eastAsia" w:ascii="宋体" w:hAnsi="宋体" w:cs="宋体"/>
                      <w:b/>
                      <w:bCs/>
                      <w:color w:val="auto"/>
                      <w:kern w:val="0"/>
                      <w:sz w:val="21"/>
                      <w:szCs w:val="21"/>
                      <w:highlight w:val="none"/>
                      <w:lang w:bidi="ar"/>
                    </w:rPr>
                    <w:t>总磷</w:t>
                  </w:r>
                </w:p>
              </w:tc>
            </w:tr>
            <w:tr w14:paraId="2D29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7" w:type="pct"/>
                  <w:vMerge w:val="restart"/>
                  <w:vAlign w:val="center"/>
                </w:tcPr>
                <w:p w14:paraId="2854EDB0">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color w:val="auto"/>
                      <w:position w:val="2"/>
                      <w:sz w:val="21"/>
                      <w:szCs w:val="21"/>
                      <w:highlight w:val="none"/>
                    </w:rPr>
                  </w:pPr>
                  <w:r>
                    <w:rPr>
                      <w:rFonts w:hint="default" w:ascii="Times New Roman" w:hAnsi="Times New Roman" w:cs="Times New Roman" w:eastAsiaTheme="minorEastAsia"/>
                      <w:b/>
                      <w:bCs/>
                      <w:color w:val="auto"/>
                      <w:position w:val="2"/>
                      <w:sz w:val="21"/>
                      <w:szCs w:val="21"/>
                      <w:highlight w:val="none"/>
                    </w:rPr>
                    <w:t>验收</w:t>
                  </w:r>
                </w:p>
                <w:p w14:paraId="3D4B710A">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color w:val="auto"/>
                      <w:position w:val="2"/>
                      <w:sz w:val="21"/>
                      <w:szCs w:val="21"/>
                      <w:highlight w:val="none"/>
                    </w:rPr>
                  </w:pPr>
                  <w:r>
                    <w:rPr>
                      <w:rFonts w:hint="default" w:ascii="Times New Roman" w:hAnsi="Times New Roman" w:cs="Times New Roman" w:eastAsiaTheme="minorEastAsia"/>
                      <w:b/>
                      <w:bCs/>
                      <w:color w:val="auto"/>
                      <w:position w:val="2"/>
                      <w:sz w:val="21"/>
                      <w:szCs w:val="21"/>
                      <w:highlight w:val="none"/>
                    </w:rPr>
                    <w:t>阶段</w:t>
                  </w:r>
                </w:p>
              </w:tc>
              <w:tc>
                <w:tcPr>
                  <w:tcW w:w="715" w:type="pct"/>
                  <w:vAlign w:val="center"/>
                </w:tcPr>
                <w:p w14:paraId="13DAA24D">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color w:val="auto"/>
                      <w:position w:val="2"/>
                      <w:sz w:val="21"/>
                      <w:szCs w:val="21"/>
                      <w:highlight w:val="none"/>
                    </w:rPr>
                  </w:pPr>
                  <w:r>
                    <w:rPr>
                      <w:rFonts w:hint="default" w:ascii="Times New Roman" w:hAnsi="Times New Roman" w:cs="Times New Roman" w:eastAsiaTheme="minorEastAsia"/>
                      <w:b/>
                      <w:bCs/>
                      <w:color w:val="auto"/>
                      <w:position w:val="2"/>
                      <w:sz w:val="21"/>
                      <w:szCs w:val="21"/>
                      <w:highlight w:val="none"/>
                    </w:rPr>
                    <w:t>废水</w:t>
                  </w:r>
                </w:p>
                <w:p w14:paraId="72179C0E">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color w:val="auto"/>
                      <w:position w:val="2"/>
                      <w:sz w:val="21"/>
                      <w:szCs w:val="21"/>
                      <w:highlight w:val="none"/>
                    </w:rPr>
                  </w:pPr>
                  <w:r>
                    <w:rPr>
                      <w:rFonts w:hint="default" w:ascii="Times New Roman" w:hAnsi="Times New Roman" w:cs="Times New Roman" w:eastAsiaTheme="minorEastAsia"/>
                      <w:b/>
                      <w:bCs/>
                      <w:color w:val="auto"/>
                      <w:position w:val="2"/>
                      <w:sz w:val="21"/>
                      <w:szCs w:val="21"/>
                      <w:highlight w:val="none"/>
                    </w:rPr>
                    <w:t>出水浓度</w:t>
                  </w:r>
                </w:p>
              </w:tc>
              <w:tc>
                <w:tcPr>
                  <w:tcW w:w="705" w:type="pct"/>
                  <w:vAlign w:val="center"/>
                </w:tcPr>
                <w:p w14:paraId="0B87AB70">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color w:val="auto"/>
                      <w:position w:val="2"/>
                      <w:sz w:val="21"/>
                      <w:szCs w:val="21"/>
                      <w:highlight w:val="none"/>
                    </w:rPr>
                  </w:pPr>
                  <w:r>
                    <w:rPr>
                      <w:rFonts w:hint="default" w:ascii="Times New Roman" w:hAnsi="Times New Roman" w:cs="Times New Roman" w:eastAsiaTheme="minorEastAsia"/>
                      <w:b/>
                      <w:bCs/>
                      <w:color w:val="auto"/>
                      <w:position w:val="2"/>
                      <w:sz w:val="21"/>
                      <w:szCs w:val="21"/>
                      <w:highlight w:val="none"/>
                    </w:rPr>
                    <w:t>-</w:t>
                  </w:r>
                </w:p>
              </w:tc>
              <w:tc>
                <w:tcPr>
                  <w:tcW w:w="582" w:type="pct"/>
                  <w:vAlign w:val="center"/>
                </w:tcPr>
                <w:p w14:paraId="37B630AA">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sz w:val="21"/>
                      <w:szCs w:val="21"/>
                      <w:highlight w:val="none"/>
                    </w:rPr>
                    <w:t>mg/L</w:t>
                  </w:r>
                </w:p>
              </w:tc>
              <w:tc>
                <w:tcPr>
                  <w:tcW w:w="522" w:type="pct"/>
                  <w:vAlign w:val="center"/>
                </w:tcPr>
                <w:p w14:paraId="20573B84">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position w:val="2"/>
                      <w:sz w:val="21"/>
                      <w:szCs w:val="21"/>
                      <w:highlight w:val="none"/>
                    </w:rPr>
                    <w:t>169</w:t>
                  </w:r>
                </w:p>
              </w:tc>
              <w:tc>
                <w:tcPr>
                  <w:tcW w:w="527" w:type="pct"/>
                  <w:vAlign w:val="center"/>
                </w:tcPr>
                <w:p w14:paraId="3B1AECEE">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position w:val="2"/>
                      <w:sz w:val="21"/>
                      <w:szCs w:val="21"/>
                      <w:highlight w:val="none"/>
                    </w:rPr>
                    <w:t>62.5</w:t>
                  </w:r>
                </w:p>
              </w:tc>
              <w:tc>
                <w:tcPr>
                  <w:tcW w:w="530" w:type="pct"/>
                  <w:vAlign w:val="center"/>
                </w:tcPr>
                <w:p w14:paraId="62F0EB57">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position w:val="2"/>
                      <w:sz w:val="21"/>
                      <w:szCs w:val="21"/>
                      <w:highlight w:val="none"/>
                    </w:rPr>
                    <w:t>37</w:t>
                  </w:r>
                </w:p>
              </w:tc>
              <w:tc>
                <w:tcPr>
                  <w:tcW w:w="488" w:type="pct"/>
                  <w:vAlign w:val="center"/>
                </w:tcPr>
                <w:p w14:paraId="5B328864">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position w:val="2"/>
                      <w:sz w:val="21"/>
                      <w:szCs w:val="21"/>
                      <w:highlight w:val="none"/>
                    </w:rPr>
                    <w:t>12.3</w:t>
                  </w:r>
                </w:p>
              </w:tc>
              <w:tc>
                <w:tcPr>
                  <w:tcW w:w="519" w:type="pct"/>
                  <w:vAlign w:val="center"/>
                </w:tcPr>
                <w:p w14:paraId="438FCC72">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position w:val="2"/>
                      <w:sz w:val="21"/>
                      <w:szCs w:val="21"/>
                      <w:highlight w:val="none"/>
                    </w:rPr>
                    <w:t>7.14</w:t>
                  </w:r>
                </w:p>
              </w:tc>
            </w:tr>
            <w:tr w14:paraId="6198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7" w:type="pct"/>
                  <w:vMerge w:val="continue"/>
                  <w:vAlign w:val="center"/>
                </w:tcPr>
                <w:p w14:paraId="46304D26">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color w:val="auto"/>
                      <w:position w:val="2"/>
                      <w:sz w:val="21"/>
                      <w:szCs w:val="21"/>
                      <w:highlight w:val="none"/>
                    </w:rPr>
                  </w:pPr>
                </w:p>
              </w:tc>
              <w:tc>
                <w:tcPr>
                  <w:tcW w:w="715" w:type="pct"/>
                  <w:vAlign w:val="center"/>
                </w:tcPr>
                <w:p w14:paraId="62525219">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color w:val="auto"/>
                      <w:position w:val="2"/>
                      <w:sz w:val="21"/>
                      <w:szCs w:val="21"/>
                      <w:highlight w:val="none"/>
                    </w:rPr>
                  </w:pPr>
                  <w:r>
                    <w:rPr>
                      <w:rFonts w:hint="default" w:ascii="Times New Roman" w:hAnsi="Times New Roman" w:cs="Times New Roman" w:eastAsiaTheme="minorEastAsia"/>
                      <w:b/>
                      <w:bCs/>
                      <w:color w:val="auto"/>
                      <w:position w:val="2"/>
                      <w:sz w:val="21"/>
                      <w:szCs w:val="21"/>
                      <w:highlight w:val="none"/>
                    </w:rPr>
                    <w:t>排放量（工况95%）</w:t>
                  </w:r>
                </w:p>
              </w:tc>
              <w:tc>
                <w:tcPr>
                  <w:tcW w:w="705" w:type="pct"/>
                  <w:vAlign w:val="center"/>
                </w:tcPr>
                <w:p w14:paraId="239D4675">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color w:val="auto"/>
                      <w:position w:val="2"/>
                      <w:sz w:val="21"/>
                      <w:szCs w:val="21"/>
                      <w:highlight w:val="none"/>
                    </w:rPr>
                  </w:pPr>
                  <w:r>
                    <w:rPr>
                      <w:rFonts w:hint="default" w:ascii="Times New Roman" w:hAnsi="Times New Roman" w:cs="Times New Roman" w:eastAsiaTheme="minorEastAsia"/>
                      <w:color w:val="auto"/>
                      <w:sz w:val="21"/>
                      <w:szCs w:val="21"/>
                      <w:highlight w:val="none"/>
                    </w:rPr>
                    <w:t>237486.276</w:t>
                  </w:r>
                </w:p>
              </w:tc>
              <w:tc>
                <w:tcPr>
                  <w:tcW w:w="582" w:type="pct"/>
                  <w:vAlign w:val="center"/>
                </w:tcPr>
                <w:p w14:paraId="38C1AFF2">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sz w:val="21"/>
                      <w:szCs w:val="21"/>
                      <w:highlight w:val="none"/>
                    </w:rPr>
                    <w:t>t/a</w:t>
                  </w:r>
                </w:p>
              </w:tc>
              <w:tc>
                <w:tcPr>
                  <w:tcW w:w="898" w:type="dxa"/>
                  <w:vAlign w:val="center"/>
                </w:tcPr>
                <w:p w14:paraId="5AD4471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eastAsia"/>
                      <w:color w:val="auto"/>
                      <w:kern w:val="0"/>
                      <w:sz w:val="21"/>
                      <w:szCs w:val="21"/>
                      <w:highlight w:val="none"/>
                      <w:lang w:val="en-US" w:eastAsia="zh-CN" w:bidi="ar"/>
                    </w:rPr>
                    <w:t>40.14</w:t>
                  </w:r>
                </w:p>
              </w:tc>
              <w:tc>
                <w:tcPr>
                  <w:tcW w:w="907" w:type="dxa"/>
                  <w:vAlign w:val="center"/>
                </w:tcPr>
                <w:p w14:paraId="08BD9DB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Times New Roman" w:hAnsi="Times New Roman" w:cs="Times New Roman" w:eastAsiaTheme="minorEastAsia"/>
                      <w:color w:val="auto"/>
                      <w:kern w:val="0"/>
                      <w:sz w:val="21"/>
                      <w:szCs w:val="21"/>
                      <w:highlight w:val="none"/>
                      <w:lang w:eastAsia="zh-CN" w:bidi="ar"/>
                    </w:rPr>
                  </w:pPr>
                  <w:r>
                    <w:rPr>
                      <w:rFonts w:hint="eastAsia"/>
                      <w:color w:val="auto"/>
                      <w:kern w:val="0"/>
                      <w:sz w:val="21"/>
                      <w:szCs w:val="21"/>
                      <w:highlight w:val="none"/>
                      <w:lang w:val="en-US" w:eastAsia="zh-CN" w:bidi="ar"/>
                    </w:rPr>
                    <w:t>14.843</w:t>
                  </w:r>
                </w:p>
              </w:tc>
              <w:tc>
                <w:tcPr>
                  <w:tcW w:w="912" w:type="dxa"/>
                  <w:vAlign w:val="center"/>
                </w:tcPr>
                <w:p w14:paraId="13D6354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eastAsia"/>
                      <w:color w:val="auto"/>
                      <w:kern w:val="0"/>
                      <w:sz w:val="21"/>
                      <w:szCs w:val="21"/>
                      <w:highlight w:val="none"/>
                      <w:lang w:val="en-US" w:eastAsia="zh-CN" w:bidi="ar"/>
                    </w:rPr>
                    <w:t>8.787</w:t>
                  </w:r>
                </w:p>
              </w:tc>
              <w:tc>
                <w:tcPr>
                  <w:tcW w:w="840" w:type="dxa"/>
                  <w:vAlign w:val="center"/>
                </w:tcPr>
                <w:p w14:paraId="29C4245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eastAsia"/>
                      <w:color w:val="auto"/>
                      <w:kern w:val="0"/>
                      <w:sz w:val="21"/>
                      <w:szCs w:val="21"/>
                      <w:highlight w:val="none"/>
                      <w:lang w:val="en-US" w:eastAsia="zh-CN" w:bidi="ar"/>
                    </w:rPr>
                    <w:t>2.921</w:t>
                  </w:r>
                </w:p>
              </w:tc>
              <w:tc>
                <w:tcPr>
                  <w:tcW w:w="894" w:type="dxa"/>
                  <w:vAlign w:val="center"/>
                </w:tcPr>
                <w:p w14:paraId="7BB2E6B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eastAsia"/>
                      <w:color w:val="auto"/>
                      <w:kern w:val="0"/>
                      <w:sz w:val="21"/>
                      <w:szCs w:val="21"/>
                      <w:highlight w:val="none"/>
                      <w:lang w:val="en-US" w:eastAsia="zh-CN" w:bidi="ar"/>
                    </w:rPr>
                    <w:t>1.696</w:t>
                  </w:r>
                </w:p>
              </w:tc>
            </w:tr>
            <w:tr w14:paraId="08C11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7" w:type="pct"/>
                  <w:vAlign w:val="center"/>
                </w:tcPr>
                <w:p w14:paraId="57C6900E">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color w:val="auto"/>
                      <w:position w:val="2"/>
                      <w:sz w:val="21"/>
                      <w:szCs w:val="21"/>
                      <w:highlight w:val="none"/>
                    </w:rPr>
                  </w:pPr>
                  <w:r>
                    <w:rPr>
                      <w:rFonts w:hint="default" w:ascii="Times New Roman" w:hAnsi="Times New Roman" w:cs="Times New Roman" w:eastAsiaTheme="minorEastAsia"/>
                      <w:b/>
                      <w:bCs/>
                      <w:color w:val="auto"/>
                      <w:position w:val="2"/>
                      <w:sz w:val="21"/>
                      <w:szCs w:val="21"/>
                      <w:highlight w:val="none"/>
                    </w:rPr>
                    <w:t>排放标准</w:t>
                  </w:r>
                </w:p>
              </w:tc>
              <w:tc>
                <w:tcPr>
                  <w:tcW w:w="715" w:type="pct"/>
                  <w:vAlign w:val="center"/>
                </w:tcPr>
                <w:p w14:paraId="51882F31">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color w:val="auto"/>
                      <w:position w:val="2"/>
                      <w:sz w:val="21"/>
                      <w:szCs w:val="21"/>
                      <w:highlight w:val="none"/>
                    </w:rPr>
                  </w:pPr>
                  <w:r>
                    <w:rPr>
                      <w:rFonts w:hint="default" w:ascii="Times New Roman" w:hAnsi="Times New Roman" w:cs="Times New Roman" w:eastAsiaTheme="minorEastAsia"/>
                      <w:b/>
                      <w:bCs/>
                      <w:color w:val="auto"/>
                      <w:position w:val="2"/>
                      <w:sz w:val="21"/>
                      <w:szCs w:val="21"/>
                      <w:highlight w:val="none"/>
                    </w:rPr>
                    <w:t>废水</w:t>
                  </w:r>
                </w:p>
                <w:p w14:paraId="2D81CBBA">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color w:val="auto"/>
                      <w:position w:val="2"/>
                      <w:sz w:val="21"/>
                      <w:szCs w:val="21"/>
                      <w:highlight w:val="none"/>
                    </w:rPr>
                  </w:pPr>
                  <w:r>
                    <w:rPr>
                      <w:rFonts w:hint="default" w:ascii="Times New Roman" w:hAnsi="Times New Roman" w:cs="Times New Roman" w:eastAsiaTheme="minorEastAsia"/>
                      <w:b/>
                      <w:bCs/>
                      <w:color w:val="auto"/>
                      <w:position w:val="2"/>
                      <w:sz w:val="21"/>
                      <w:szCs w:val="21"/>
                      <w:highlight w:val="none"/>
                    </w:rPr>
                    <w:t>出水浓度</w:t>
                  </w:r>
                </w:p>
              </w:tc>
              <w:tc>
                <w:tcPr>
                  <w:tcW w:w="705" w:type="pct"/>
                  <w:vAlign w:val="center"/>
                </w:tcPr>
                <w:p w14:paraId="0C8DED4B">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b/>
                      <w:bCs/>
                      <w:color w:val="auto"/>
                      <w:position w:val="2"/>
                      <w:sz w:val="21"/>
                      <w:szCs w:val="21"/>
                      <w:highlight w:val="none"/>
                    </w:rPr>
                    <w:t>-</w:t>
                  </w:r>
                </w:p>
              </w:tc>
              <w:tc>
                <w:tcPr>
                  <w:tcW w:w="582" w:type="pct"/>
                  <w:vAlign w:val="center"/>
                </w:tcPr>
                <w:p w14:paraId="2CD50304">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mg/L</w:t>
                  </w:r>
                </w:p>
              </w:tc>
              <w:tc>
                <w:tcPr>
                  <w:tcW w:w="522" w:type="pct"/>
                  <w:vAlign w:val="center"/>
                </w:tcPr>
                <w:p w14:paraId="0FF854CC">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position w:val="2"/>
                      <w:sz w:val="21"/>
                      <w:szCs w:val="21"/>
                      <w:highlight w:val="none"/>
                    </w:rPr>
                    <w:t>500</w:t>
                  </w:r>
                </w:p>
              </w:tc>
              <w:tc>
                <w:tcPr>
                  <w:tcW w:w="527" w:type="pct"/>
                  <w:vAlign w:val="center"/>
                </w:tcPr>
                <w:p w14:paraId="4F3BEB98">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position w:val="2"/>
                      <w:sz w:val="21"/>
                      <w:szCs w:val="21"/>
                      <w:highlight w:val="none"/>
                    </w:rPr>
                    <w:t>350</w:t>
                  </w:r>
                </w:p>
              </w:tc>
              <w:tc>
                <w:tcPr>
                  <w:tcW w:w="530" w:type="pct"/>
                  <w:vAlign w:val="center"/>
                </w:tcPr>
                <w:p w14:paraId="166257BA">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position w:val="2"/>
                      <w:sz w:val="21"/>
                      <w:szCs w:val="21"/>
                      <w:highlight w:val="none"/>
                    </w:rPr>
                    <w:t>400</w:t>
                  </w:r>
                </w:p>
              </w:tc>
              <w:tc>
                <w:tcPr>
                  <w:tcW w:w="488" w:type="pct"/>
                  <w:vAlign w:val="center"/>
                </w:tcPr>
                <w:p w14:paraId="481BC6FB">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position w:val="2"/>
                      <w:sz w:val="21"/>
                      <w:szCs w:val="21"/>
                      <w:highlight w:val="none"/>
                    </w:rPr>
                    <w:t>45</w:t>
                  </w:r>
                </w:p>
              </w:tc>
              <w:tc>
                <w:tcPr>
                  <w:tcW w:w="519" w:type="pct"/>
                  <w:vAlign w:val="center"/>
                </w:tcPr>
                <w:p w14:paraId="37B8AA84">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position w:val="2"/>
                      <w:sz w:val="21"/>
                      <w:szCs w:val="21"/>
                      <w:highlight w:val="none"/>
                    </w:rPr>
                    <w:t>70</w:t>
                  </w:r>
                </w:p>
              </w:tc>
            </w:tr>
            <w:tr w14:paraId="679EB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11" w:type="pct"/>
                  <w:gridSpan w:val="4"/>
                  <w:vAlign w:val="center"/>
                </w:tcPr>
                <w:p w14:paraId="522D13A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b/>
                      <w:bCs/>
                      <w:color w:val="auto"/>
                      <w:sz w:val="21"/>
                      <w:szCs w:val="21"/>
                      <w:highlight w:val="none"/>
                    </w:rPr>
                    <w:t>达标情况</w:t>
                  </w:r>
                </w:p>
              </w:tc>
              <w:tc>
                <w:tcPr>
                  <w:tcW w:w="522" w:type="pct"/>
                  <w:vAlign w:val="center"/>
                </w:tcPr>
                <w:p w14:paraId="72CC59B7">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position w:val="2"/>
                      <w:sz w:val="21"/>
                      <w:szCs w:val="21"/>
                      <w:highlight w:val="none"/>
                    </w:rPr>
                    <w:t>达标</w:t>
                  </w:r>
                </w:p>
              </w:tc>
              <w:tc>
                <w:tcPr>
                  <w:tcW w:w="527" w:type="pct"/>
                  <w:vAlign w:val="center"/>
                </w:tcPr>
                <w:p w14:paraId="1E4645FC">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position w:val="2"/>
                      <w:sz w:val="21"/>
                      <w:szCs w:val="21"/>
                      <w:highlight w:val="none"/>
                    </w:rPr>
                    <w:t>达标</w:t>
                  </w:r>
                </w:p>
              </w:tc>
              <w:tc>
                <w:tcPr>
                  <w:tcW w:w="530" w:type="pct"/>
                  <w:vAlign w:val="center"/>
                </w:tcPr>
                <w:p w14:paraId="54B8F219">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position w:val="2"/>
                      <w:sz w:val="21"/>
                      <w:szCs w:val="21"/>
                      <w:highlight w:val="none"/>
                    </w:rPr>
                    <w:t>达标</w:t>
                  </w:r>
                </w:p>
              </w:tc>
              <w:tc>
                <w:tcPr>
                  <w:tcW w:w="488" w:type="pct"/>
                  <w:vAlign w:val="center"/>
                </w:tcPr>
                <w:p w14:paraId="5EEFC4FE">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position w:val="2"/>
                      <w:sz w:val="21"/>
                      <w:szCs w:val="21"/>
                      <w:highlight w:val="none"/>
                    </w:rPr>
                    <w:t>达标</w:t>
                  </w:r>
                </w:p>
              </w:tc>
              <w:tc>
                <w:tcPr>
                  <w:tcW w:w="519" w:type="pct"/>
                  <w:vAlign w:val="center"/>
                </w:tcPr>
                <w:p w14:paraId="2577BECA">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color w:val="auto"/>
                      <w:position w:val="2"/>
                      <w:sz w:val="21"/>
                      <w:szCs w:val="21"/>
                      <w:highlight w:val="none"/>
                    </w:rPr>
                  </w:pPr>
                  <w:r>
                    <w:rPr>
                      <w:rFonts w:hint="default" w:ascii="Times New Roman" w:hAnsi="Times New Roman" w:cs="Times New Roman" w:eastAsiaTheme="minorEastAsia"/>
                      <w:color w:val="auto"/>
                      <w:position w:val="2"/>
                      <w:sz w:val="21"/>
                      <w:szCs w:val="21"/>
                      <w:highlight w:val="none"/>
                    </w:rPr>
                    <w:t>达标</w:t>
                  </w:r>
                </w:p>
              </w:tc>
            </w:tr>
          </w:tbl>
          <w:p w14:paraId="09F31769">
            <w:pPr>
              <w:keepNext w:val="0"/>
              <w:keepLines w:val="0"/>
              <w:pageBreakBefore w:val="0"/>
              <w:numPr>
                <w:ilvl w:val="0"/>
                <w:numId w:val="0"/>
              </w:numPr>
              <w:kinsoku/>
              <w:wordWrap/>
              <w:overflowPunct/>
              <w:topLinePunct w:val="0"/>
              <w:autoSpaceDE/>
              <w:autoSpaceDN/>
              <w:bidi w:val="0"/>
              <w:adjustRightInd/>
              <w:spacing w:line="440" w:lineRule="exact"/>
              <w:ind w:left="420" w:leftChars="200"/>
              <w:jc w:val="left"/>
              <w:textAlignment w:val="auto"/>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lang w:val="en-US" w:eastAsia="zh-CN" w:bidi="ar-SA"/>
              </w:rPr>
              <w:t>（</w:t>
            </w:r>
            <w:r>
              <w:rPr>
                <w:rFonts w:hint="default" w:ascii="Times New Roman" w:hAnsi="Times New Roman" w:cs="Times New Roman"/>
                <w:b/>
                <w:bCs/>
                <w:color w:val="auto"/>
                <w:kern w:val="0"/>
                <w:sz w:val="24"/>
                <w:szCs w:val="24"/>
                <w:highlight w:val="none"/>
                <w:lang w:val="en-US" w:eastAsia="zh-CN" w:bidi="ar-SA"/>
              </w:rPr>
              <w:t>2</w:t>
            </w:r>
            <w:r>
              <w:rPr>
                <w:rFonts w:hint="default" w:ascii="Times New Roman" w:hAnsi="Times New Roman" w:eastAsia="宋体" w:cs="Times New Roman"/>
                <w:b/>
                <w:bCs/>
                <w:color w:val="auto"/>
                <w:kern w:val="0"/>
                <w:sz w:val="24"/>
                <w:szCs w:val="24"/>
                <w:highlight w:val="none"/>
                <w:lang w:val="en-US" w:eastAsia="zh-CN" w:bidi="ar-SA"/>
              </w:rPr>
              <w:t>）</w:t>
            </w:r>
            <w:r>
              <w:rPr>
                <w:rFonts w:hint="default" w:ascii="Times New Roman" w:hAnsi="Times New Roman" w:eastAsia="宋体" w:cs="Times New Roman"/>
                <w:b/>
                <w:bCs/>
                <w:color w:val="auto"/>
                <w:kern w:val="0"/>
                <w:sz w:val="24"/>
                <w:szCs w:val="24"/>
                <w:highlight w:val="none"/>
              </w:rPr>
              <w:t>废气</w:t>
            </w:r>
          </w:p>
          <w:p w14:paraId="4DD5D317">
            <w:pPr>
              <w:keepNext w:val="0"/>
              <w:keepLines w:val="0"/>
              <w:pageBreakBefore w:val="0"/>
              <w:kinsoku/>
              <w:wordWrap/>
              <w:overflowPunct/>
              <w:topLinePunct w:val="0"/>
              <w:autoSpaceDE/>
              <w:autoSpaceDN/>
              <w:bidi w:val="0"/>
              <w:adjustRightInd/>
              <w:spacing w:line="44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现有工程项目运营过程中产生废气主要来自果蔬废弃物卸料、粉碎分选、烘干、烘干后粉碎产生的异味；</w:t>
            </w:r>
            <w:r>
              <w:rPr>
                <w:rFonts w:hint="default" w:ascii="Times New Roman" w:hAnsi="Times New Roman" w:eastAsia="宋体" w:cs="Times New Roman"/>
                <w:bCs/>
                <w:color w:val="auto"/>
                <w:sz w:val="24"/>
                <w:szCs w:val="24"/>
                <w:highlight w:val="none"/>
              </w:rPr>
              <w:t>热风炉燃料燃烧废气和脱硝过程中产生的逃逸氨</w:t>
            </w:r>
            <w:r>
              <w:rPr>
                <w:rFonts w:hint="default" w:ascii="Times New Roman" w:hAnsi="Times New Roman" w:eastAsia="宋体" w:cs="Times New Roman"/>
                <w:color w:val="auto"/>
                <w:sz w:val="24"/>
                <w:szCs w:val="24"/>
                <w:highlight w:val="none"/>
              </w:rPr>
              <w:t>；粉碎机粉尘；生产废水处理系统运行过程产生的恶臭气体；办公生活区员工食堂厨房产生的厨房油烟。</w:t>
            </w:r>
          </w:p>
          <w:p w14:paraId="1F0FEFD1">
            <w:pPr>
              <w:keepNext w:val="0"/>
              <w:keepLines w:val="0"/>
              <w:pageBreakBefore w:val="0"/>
              <w:numPr>
                <w:ilvl w:val="0"/>
                <w:numId w:val="0"/>
              </w:numPr>
              <w:kinsoku/>
              <w:wordWrap/>
              <w:overflowPunct/>
              <w:topLinePunct w:val="0"/>
              <w:autoSpaceDE/>
              <w:autoSpaceDN/>
              <w:bidi w:val="0"/>
              <w:adjustRightInd/>
              <w:snapToGrid w:val="0"/>
              <w:spacing w:line="440" w:lineRule="exact"/>
              <w:ind w:left="420" w:leftChars="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rPr>
              <w:t>有组织排放废气</w:t>
            </w:r>
          </w:p>
          <w:p w14:paraId="1E529FC5">
            <w:pPr>
              <w:pStyle w:val="2"/>
              <w:keepNext w:val="0"/>
              <w:keepLines w:val="0"/>
              <w:pageBreakBefore w:val="0"/>
              <w:widowControl/>
              <w:kinsoku/>
              <w:wordWrap/>
              <w:overflowPunct/>
              <w:topLinePunct w:val="0"/>
              <w:autoSpaceDE/>
              <w:autoSpaceDN/>
              <w:bidi w:val="0"/>
              <w:adjustRightInd/>
              <w:snapToGrid w:val="0"/>
              <w:spacing w:before="0" w:after="0" w:line="440" w:lineRule="exact"/>
              <w:ind w:right="113" w:firstLine="482" w:firstLineChars="200"/>
              <w:jc w:val="left"/>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①DA001</w:t>
            </w:r>
          </w:p>
          <w:p w14:paraId="74FE101F">
            <w:pPr>
              <w:pStyle w:val="2"/>
              <w:keepNext w:val="0"/>
              <w:keepLines w:val="0"/>
              <w:pageBreakBefore w:val="0"/>
              <w:widowControl/>
              <w:kinsoku/>
              <w:wordWrap/>
              <w:overflowPunct/>
              <w:topLinePunct w:val="0"/>
              <w:autoSpaceDE/>
              <w:autoSpaceDN/>
              <w:bidi w:val="0"/>
              <w:adjustRightInd/>
              <w:snapToGrid w:val="0"/>
              <w:spacing w:before="0" w:after="0" w:line="440" w:lineRule="exact"/>
              <w:ind w:right="113" w:firstLine="480" w:firstLineChars="200"/>
              <w:jc w:val="left"/>
              <w:textAlignment w:val="auto"/>
              <w:rPr>
                <w:rFonts w:hint="eastAsia" w:ascii="宋体" w:hAnsi="宋体" w:cs="宋体"/>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现有项目一级烘干热气、烘干异味经低氮燃烧+尿素喷淋+降尘室+旋风除尘+水膜喷淋除尘+1号15m高排气</w:t>
            </w:r>
            <w:r>
              <w:rPr>
                <w:rFonts w:hint="eastAsia" w:ascii="宋体" w:hAnsi="宋体" w:cs="宋体"/>
                <w:b w:val="0"/>
                <w:bCs w:val="0"/>
                <w:color w:val="auto"/>
                <w:sz w:val="24"/>
                <w:szCs w:val="24"/>
                <w:highlight w:val="none"/>
                <w:lang w:val="en-US" w:eastAsia="zh-CN"/>
              </w:rPr>
              <w:t>筒（DA001）排放。根据《云南錦创环境科技有限公司果蔬废弃物处理项目竣工环境保护验收监测报告表》，其排放的二氧化硫、氮氧化物和颗粒物能够满足《大气污染物综合排放标准》（GB16297-1996）表2二级标准，氨、硫化氢和臭气浓度满足《恶臭污染物排放标准》（GB14554-93）标准要求。</w:t>
            </w:r>
          </w:p>
          <w:p w14:paraId="6F4EC835">
            <w:pPr>
              <w:pStyle w:val="2"/>
              <w:keepNext w:val="0"/>
              <w:keepLines w:val="0"/>
              <w:pageBreakBefore w:val="0"/>
              <w:widowControl/>
              <w:kinsoku/>
              <w:wordWrap/>
              <w:overflowPunct/>
              <w:topLinePunct w:val="0"/>
              <w:autoSpaceDE/>
              <w:autoSpaceDN/>
              <w:bidi w:val="0"/>
              <w:adjustRightInd/>
              <w:snapToGrid w:val="0"/>
              <w:spacing w:before="0" w:after="0" w:line="440" w:lineRule="exact"/>
              <w:ind w:right="113" w:firstLine="480" w:firstLineChars="200"/>
              <w:jc w:val="left"/>
              <w:textAlignment w:val="auto"/>
              <w:rPr>
                <w:rFonts w:hint="default" w:ascii="宋体" w:hAnsi="宋体" w:cs="宋体"/>
                <w:b w:val="0"/>
                <w:bCs w:val="0"/>
                <w:color w:val="auto"/>
                <w:sz w:val="24"/>
                <w:szCs w:val="24"/>
                <w:highlight w:val="none"/>
                <w:lang w:val="en-US" w:eastAsia="zh-CN"/>
              </w:rPr>
            </w:pPr>
            <w:r>
              <w:rPr>
                <w:rFonts w:hint="eastAsia" w:ascii="宋体" w:hAnsi="宋体" w:cs="宋体"/>
                <w:color w:val="auto"/>
                <w:sz w:val="24"/>
                <w:szCs w:val="24"/>
                <w:highlight w:val="none"/>
                <w:lang w:val="en-US" w:eastAsia="zh-CN"/>
              </w:rPr>
              <w:t>根据调查，本项目一级烘干产生的废气和验收期间使用的燃料一致，现有项目废气参照</w:t>
            </w:r>
            <w:r>
              <w:rPr>
                <w:rFonts w:hint="eastAsia" w:ascii="宋体" w:hAnsi="宋体" w:cs="宋体"/>
                <w:b w:val="0"/>
                <w:bCs w:val="0"/>
                <w:color w:val="auto"/>
                <w:sz w:val="24"/>
                <w:szCs w:val="24"/>
                <w:highlight w:val="none"/>
                <w:lang w:val="en-US" w:eastAsia="zh-CN"/>
              </w:rPr>
              <w:t>《云南錦创环境科技有限公司果蔬废弃物处理项目竣工环境保护验收监测报告表》监测数据核算总量。</w:t>
            </w:r>
          </w:p>
          <w:p w14:paraId="53F866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4"/>
                <w:highlight w:val="none"/>
              </w:rPr>
            </w:pPr>
            <w:r>
              <w:rPr>
                <w:b/>
                <w:bCs/>
                <w:color w:val="auto"/>
                <w:highlight w:val="none"/>
              </w:rPr>
              <w:t>表</w:t>
            </w:r>
            <w:r>
              <w:rPr>
                <w:rFonts w:hint="eastAsia"/>
                <w:b/>
                <w:bCs/>
                <w:color w:val="auto"/>
                <w:highlight w:val="none"/>
              </w:rPr>
              <w:t>2</w:t>
            </w:r>
            <w:r>
              <w:rPr>
                <w:b/>
                <w:bCs/>
                <w:color w:val="auto"/>
                <w:highlight w:val="none"/>
              </w:rPr>
              <w:t>-</w:t>
            </w:r>
            <w:r>
              <w:rPr>
                <w:rFonts w:hint="eastAsia"/>
                <w:b/>
                <w:bCs/>
                <w:color w:val="auto"/>
                <w:highlight w:val="none"/>
              </w:rPr>
              <w:t>1</w:t>
            </w:r>
            <w:r>
              <w:rPr>
                <w:rFonts w:hint="eastAsia"/>
                <w:b/>
                <w:bCs/>
                <w:color w:val="auto"/>
                <w:highlight w:val="none"/>
                <w:lang w:val="en-US" w:eastAsia="zh-CN"/>
              </w:rPr>
              <w:t xml:space="preserve">6  </w:t>
            </w:r>
            <w:r>
              <w:rPr>
                <w:b/>
                <w:bCs/>
                <w:color w:val="auto"/>
                <w:highlight w:val="none"/>
              </w:rPr>
              <w:t>热风炉燃料燃烧废气排放总量一览表</w:t>
            </w:r>
          </w:p>
          <w:tbl>
            <w:tblPr>
              <w:tblStyle w:val="26"/>
              <w:tblW w:w="497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35"/>
              <w:gridCol w:w="1309"/>
              <w:gridCol w:w="3119"/>
              <w:gridCol w:w="1942"/>
              <w:gridCol w:w="1363"/>
            </w:tblGrid>
            <w:tr w14:paraId="5AD9C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7" w:type="pct"/>
                  <w:vMerge w:val="restart"/>
                  <w:vAlign w:val="center"/>
                </w:tcPr>
                <w:p w14:paraId="6B0DEF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排气筒</w:t>
                  </w:r>
                </w:p>
              </w:tc>
              <w:tc>
                <w:tcPr>
                  <w:tcW w:w="764" w:type="pct"/>
                  <w:vMerge w:val="restart"/>
                  <w:vAlign w:val="center"/>
                </w:tcPr>
                <w:p w14:paraId="336606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污染物指标</w:t>
                  </w:r>
                </w:p>
              </w:tc>
              <w:tc>
                <w:tcPr>
                  <w:tcW w:w="3748" w:type="pct"/>
                  <w:gridSpan w:val="3"/>
                  <w:vAlign w:val="center"/>
                </w:tcPr>
                <w:p w14:paraId="7F835C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验收阶段</w:t>
                  </w:r>
                </w:p>
              </w:tc>
            </w:tr>
            <w:tr w14:paraId="032AA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7" w:type="pct"/>
                  <w:vMerge w:val="continue"/>
                  <w:vAlign w:val="center"/>
                </w:tcPr>
                <w:p w14:paraId="64B620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p>
              </w:tc>
              <w:tc>
                <w:tcPr>
                  <w:tcW w:w="764" w:type="pct"/>
                  <w:vMerge w:val="continue"/>
                  <w:vAlign w:val="center"/>
                </w:tcPr>
                <w:p w14:paraId="4399A3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p>
              </w:tc>
              <w:tc>
                <w:tcPr>
                  <w:tcW w:w="1820" w:type="pct"/>
                  <w:vAlign w:val="center"/>
                </w:tcPr>
                <w:p w14:paraId="100D9A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排放总量（t/a）</w:t>
                  </w:r>
                </w:p>
                <w:p w14:paraId="1669ED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（根据验收监测工况95%折算）</w:t>
                  </w:r>
                </w:p>
              </w:tc>
              <w:tc>
                <w:tcPr>
                  <w:tcW w:w="1133" w:type="pct"/>
                  <w:vAlign w:val="center"/>
                </w:tcPr>
                <w:p w14:paraId="184CD9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排放浓度（mg/m</w:t>
                  </w:r>
                  <w:r>
                    <w:rPr>
                      <w:rFonts w:hint="default" w:ascii="Times New Roman" w:hAnsi="Times New Roman" w:cs="Times New Roman" w:eastAsiaTheme="minorEastAsia"/>
                      <w:b/>
                      <w:bCs/>
                      <w:color w:val="auto"/>
                      <w:sz w:val="21"/>
                      <w:szCs w:val="21"/>
                      <w:highlight w:val="none"/>
                      <w:vertAlign w:val="superscript"/>
                    </w:rPr>
                    <w:t>3</w:t>
                  </w:r>
                  <w:r>
                    <w:rPr>
                      <w:rFonts w:hint="default" w:ascii="Times New Roman" w:hAnsi="Times New Roman" w:cs="Times New Roman" w:eastAsiaTheme="minorEastAsia"/>
                      <w:b/>
                      <w:bCs/>
                      <w:color w:val="auto"/>
                      <w:sz w:val="21"/>
                      <w:szCs w:val="21"/>
                      <w:highlight w:val="none"/>
                    </w:rPr>
                    <w:t>）</w:t>
                  </w:r>
                </w:p>
              </w:tc>
              <w:tc>
                <w:tcPr>
                  <w:tcW w:w="794" w:type="pct"/>
                  <w:vAlign w:val="center"/>
                </w:tcPr>
                <w:p w14:paraId="5BBBA0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排放速率（kg/h）</w:t>
                  </w:r>
                </w:p>
              </w:tc>
            </w:tr>
            <w:tr w14:paraId="4002C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7" w:type="pct"/>
                  <w:vMerge w:val="restart"/>
                  <w:vAlign w:val="center"/>
                </w:tcPr>
                <w:p w14:paraId="22BB7B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DA001</w:t>
                  </w:r>
                </w:p>
              </w:tc>
              <w:tc>
                <w:tcPr>
                  <w:tcW w:w="764" w:type="pct"/>
                  <w:vAlign w:val="center"/>
                </w:tcPr>
                <w:p w14:paraId="7717BE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二氧化硫</w:t>
                  </w:r>
                </w:p>
              </w:tc>
              <w:tc>
                <w:tcPr>
                  <w:tcW w:w="1820" w:type="pct"/>
                  <w:vAlign w:val="center"/>
                </w:tcPr>
                <w:p w14:paraId="714C32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0.421</w:t>
                  </w:r>
                </w:p>
              </w:tc>
              <w:tc>
                <w:tcPr>
                  <w:tcW w:w="1133" w:type="pct"/>
                  <w:vAlign w:val="center"/>
                </w:tcPr>
                <w:p w14:paraId="5BDDEB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6</w:t>
                  </w:r>
                </w:p>
              </w:tc>
              <w:tc>
                <w:tcPr>
                  <w:tcW w:w="794" w:type="pct"/>
                  <w:vAlign w:val="center"/>
                </w:tcPr>
                <w:p w14:paraId="1DE632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0.06</w:t>
                  </w:r>
                </w:p>
              </w:tc>
            </w:tr>
            <w:tr w14:paraId="6E31F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7" w:type="pct"/>
                  <w:vMerge w:val="continue"/>
                  <w:vAlign w:val="center"/>
                </w:tcPr>
                <w:p w14:paraId="215FF1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p>
              </w:tc>
              <w:tc>
                <w:tcPr>
                  <w:tcW w:w="764" w:type="pct"/>
                  <w:vAlign w:val="center"/>
                </w:tcPr>
                <w:p w14:paraId="3FF148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颗粒物</w:t>
                  </w:r>
                </w:p>
              </w:tc>
              <w:tc>
                <w:tcPr>
                  <w:tcW w:w="1820" w:type="pct"/>
                  <w:vAlign w:val="center"/>
                </w:tcPr>
                <w:p w14:paraId="71587E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0.974</w:t>
                  </w:r>
                </w:p>
              </w:tc>
              <w:tc>
                <w:tcPr>
                  <w:tcW w:w="1133" w:type="pct"/>
                  <w:vAlign w:val="center"/>
                </w:tcPr>
                <w:p w14:paraId="425F31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13.7</w:t>
                  </w:r>
                </w:p>
              </w:tc>
              <w:tc>
                <w:tcPr>
                  <w:tcW w:w="794" w:type="pct"/>
                  <w:vAlign w:val="center"/>
                </w:tcPr>
                <w:p w14:paraId="160B5A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0.139</w:t>
                  </w:r>
                </w:p>
              </w:tc>
            </w:tr>
            <w:tr w14:paraId="415F1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7" w:type="pct"/>
                  <w:vMerge w:val="continue"/>
                  <w:vAlign w:val="center"/>
                </w:tcPr>
                <w:p w14:paraId="0291129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p>
              </w:tc>
              <w:tc>
                <w:tcPr>
                  <w:tcW w:w="764" w:type="pct"/>
                  <w:vAlign w:val="center"/>
                </w:tcPr>
                <w:p w14:paraId="02409A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氮氧化物</w:t>
                  </w:r>
                </w:p>
              </w:tc>
              <w:tc>
                <w:tcPr>
                  <w:tcW w:w="1820" w:type="pct"/>
                  <w:vAlign w:val="center"/>
                </w:tcPr>
                <w:p w14:paraId="50EE369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2.033</w:t>
                  </w:r>
                </w:p>
              </w:tc>
              <w:tc>
                <w:tcPr>
                  <w:tcW w:w="1133" w:type="pct"/>
                  <w:vAlign w:val="center"/>
                </w:tcPr>
                <w:p w14:paraId="3A4505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26</w:t>
                  </w:r>
                </w:p>
              </w:tc>
              <w:tc>
                <w:tcPr>
                  <w:tcW w:w="794" w:type="pct"/>
                  <w:vAlign w:val="center"/>
                </w:tcPr>
                <w:p w14:paraId="23A1F4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0.29</w:t>
                  </w:r>
                </w:p>
              </w:tc>
            </w:tr>
            <w:tr w14:paraId="341FA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7" w:type="pct"/>
                  <w:vMerge w:val="continue"/>
                  <w:vAlign w:val="center"/>
                </w:tcPr>
                <w:p w14:paraId="6F43A4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p>
              </w:tc>
              <w:tc>
                <w:tcPr>
                  <w:tcW w:w="764" w:type="pct"/>
                  <w:vAlign w:val="center"/>
                </w:tcPr>
                <w:p w14:paraId="2D2B79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氨</w:t>
                  </w:r>
                </w:p>
              </w:tc>
              <w:tc>
                <w:tcPr>
                  <w:tcW w:w="1820" w:type="pct"/>
                  <w:vAlign w:val="center"/>
                </w:tcPr>
                <w:p w14:paraId="32990A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0.128</w:t>
                  </w:r>
                </w:p>
              </w:tc>
              <w:tc>
                <w:tcPr>
                  <w:tcW w:w="1133" w:type="pct"/>
                  <w:vAlign w:val="center"/>
                </w:tcPr>
                <w:p w14:paraId="1DB019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1.8</w:t>
                  </w:r>
                </w:p>
              </w:tc>
              <w:tc>
                <w:tcPr>
                  <w:tcW w:w="794" w:type="pct"/>
                  <w:vAlign w:val="center"/>
                </w:tcPr>
                <w:p w14:paraId="0D0150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0.0182</w:t>
                  </w:r>
                </w:p>
              </w:tc>
            </w:tr>
            <w:tr w14:paraId="7D77C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7" w:type="pct"/>
                  <w:vMerge w:val="continue"/>
                  <w:vAlign w:val="center"/>
                </w:tcPr>
                <w:p w14:paraId="2E7F2D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p>
              </w:tc>
              <w:tc>
                <w:tcPr>
                  <w:tcW w:w="764" w:type="pct"/>
                  <w:vAlign w:val="center"/>
                </w:tcPr>
                <w:p w14:paraId="5ABDCA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硫化氢</w:t>
                  </w:r>
                </w:p>
              </w:tc>
              <w:tc>
                <w:tcPr>
                  <w:tcW w:w="1820" w:type="pct"/>
                  <w:vAlign w:val="center"/>
                </w:tcPr>
                <w:p w14:paraId="7B8B14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0.026</w:t>
                  </w:r>
                </w:p>
              </w:tc>
              <w:tc>
                <w:tcPr>
                  <w:tcW w:w="1133" w:type="pct"/>
                  <w:vAlign w:val="center"/>
                </w:tcPr>
                <w:p w14:paraId="2232D4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0.36</w:t>
                  </w:r>
                </w:p>
              </w:tc>
              <w:tc>
                <w:tcPr>
                  <w:tcW w:w="794" w:type="pct"/>
                  <w:vAlign w:val="center"/>
                </w:tcPr>
                <w:p w14:paraId="0C15CD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0.0037</w:t>
                  </w:r>
                </w:p>
              </w:tc>
            </w:tr>
          </w:tbl>
          <w:p w14:paraId="7AC275D9">
            <w:pPr>
              <w:pStyle w:val="2"/>
              <w:keepNext w:val="0"/>
              <w:keepLines w:val="0"/>
              <w:pageBreakBefore w:val="0"/>
              <w:widowControl/>
              <w:kinsoku/>
              <w:wordWrap/>
              <w:overflowPunct/>
              <w:topLinePunct w:val="0"/>
              <w:autoSpaceDE/>
              <w:autoSpaceDN/>
              <w:bidi w:val="0"/>
              <w:adjustRightInd/>
              <w:snapToGrid w:val="0"/>
              <w:spacing w:before="0" w:after="0" w:line="440" w:lineRule="exact"/>
              <w:ind w:right="113" w:firstLine="482" w:firstLineChars="200"/>
              <w:jc w:val="lef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②</w:t>
            </w:r>
            <w:r>
              <w:rPr>
                <w:rFonts w:hint="default" w:ascii="Times New Roman" w:hAnsi="Times New Roman" w:cs="Times New Roman"/>
                <w:b/>
                <w:bCs/>
                <w:color w:val="auto"/>
                <w:sz w:val="24"/>
                <w:szCs w:val="24"/>
                <w:highlight w:val="none"/>
                <w:lang w:val="en-US" w:eastAsia="zh-CN"/>
              </w:rPr>
              <w:t>DA002</w:t>
            </w:r>
          </w:p>
          <w:p w14:paraId="4147E301">
            <w:pPr>
              <w:pStyle w:val="2"/>
              <w:keepNext w:val="0"/>
              <w:keepLines w:val="0"/>
              <w:pageBreakBefore w:val="0"/>
              <w:widowControl/>
              <w:kinsoku/>
              <w:wordWrap/>
              <w:overflowPunct/>
              <w:topLinePunct w:val="0"/>
              <w:autoSpaceDE/>
              <w:autoSpaceDN/>
              <w:bidi w:val="0"/>
              <w:adjustRightInd/>
              <w:snapToGrid w:val="0"/>
              <w:spacing w:before="0" w:after="0" w:line="440" w:lineRule="exact"/>
              <w:ind w:right="113"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现有</w:t>
            </w:r>
            <w:r>
              <w:rPr>
                <w:rFonts w:hint="eastAsia" w:ascii="宋体" w:hAnsi="宋体" w:eastAsia="宋体" w:cs="宋体"/>
                <w:b w:val="0"/>
                <w:bCs w:val="0"/>
                <w:color w:val="auto"/>
                <w:sz w:val="24"/>
                <w:szCs w:val="24"/>
                <w:highlight w:val="none"/>
              </w:rPr>
              <w:t>二级烘干热气、烘干异味经低氮燃烧+尿素喷淋</w:t>
            </w:r>
            <w:r>
              <w:rPr>
                <w:rFonts w:hint="eastAsia" w:ascii="宋体" w:hAnsi="宋体" w:cs="宋体"/>
                <w:b w:val="0"/>
                <w:bCs w:val="0"/>
                <w:color w:val="auto"/>
                <w:sz w:val="24"/>
                <w:szCs w:val="24"/>
                <w:highlight w:val="none"/>
                <w:lang w:val="en-US" w:eastAsia="zh-CN"/>
              </w:rPr>
              <w:t>预处理后和经布袋除尘预处理的粉碎粉尘一起合并经</w:t>
            </w:r>
            <w:r>
              <w:rPr>
                <w:rFonts w:hint="eastAsia" w:ascii="宋体" w:hAnsi="宋体" w:eastAsia="宋体" w:cs="宋体"/>
                <w:b w:val="0"/>
                <w:bCs w:val="0"/>
                <w:color w:val="auto"/>
                <w:sz w:val="24"/>
                <w:szCs w:val="24"/>
                <w:highlight w:val="none"/>
              </w:rPr>
              <w:t>水膜喷淋除尘+钠碱法脱硫+2号15m高排气筒（DA002）排放。</w:t>
            </w:r>
          </w:p>
          <w:p w14:paraId="1B308AA9">
            <w:pPr>
              <w:pStyle w:val="2"/>
              <w:keepNext w:val="0"/>
              <w:keepLines w:val="0"/>
              <w:pageBreakBefore w:val="0"/>
              <w:widowControl/>
              <w:kinsoku/>
              <w:wordWrap/>
              <w:overflowPunct/>
              <w:topLinePunct w:val="0"/>
              <w:autoSpaceDE/>
              <w:autoSpaceDN/>
              <w:bidi w:val="0"/>
              <w:adjustRightInd/>
              <w:snapToGrid w:val="0"/>
              <w:spacing w:before="0" w:after="0" w:line="440" w:lineRule="exact"/>
              <w:ind w:right="113" w:firstLine="480" w:firstLineChars="200"/>
              <w:jc w:val="left"/>
              <w:textAlignment w:val="auto"/>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根据《云南錦创环境科技有限公司果蔬废弃物处理项目竣工环境保护验收监测报告表》，其排放的二氧化硫、氮氧化物和颗粒物能够满足《大气污染物综合排放标准》（GB16297-1996）表2二级标准，氨、硫化氢和臭气浓度满足《恶臭污染物排放标准》（GB14554-93）标准要求。</w:t>
            </w:r>
          </w:p>
          <w:p w14:paraId="3E65E42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cs="宋体"/>
                <w:b w:val="0"/>
                <w:bCs w:val="0"/>
                <w:color w:val="auto"/>
                <w:sz w:val="24"/>
                <w:szCs w:val="24"/>
                <w:highlight w:val="none"/>
                <w:lang w:val="en-US" w:eastAsia="zh-CN"/>
              </w:rPr>
            </w:pPr>
            <w:r>
              <w:rPr>
                <w:rFonts w:hint="eastAsia" w:ascii="宋体" w:hAnsi="宋体" w:cs="宋体"/>
                <w:color w:val="auto"/>
                <w:sz w:val="24"/>
                <w:szCs w:val="24"/>
                <w:highlight w:val="none"/>
                <w:lang w:val="en-US" w:eastAsia="zh-CN"/>
              </w:rPr>
              <w:t>根据调查，本项目</w:t>
            </w:r>
            <w:r>
              <w:rPr>
                <w:rFonts w:hint="eastAsia" w:ascii="宋体" w:hAnsi="宋体" w:cs="宋体"/>
                <w:b w:val="0"/>
                <w:bCs w:val="0"/>
                <w:color w:val="auto"/>
                <w:sz w:val="24"/>
                <w:szCs w:val="24"/>
                <w:highlight w:val="none"/>
                <w:lang w:val="en-US" w:eastAsia="zh-CN"/>
              </w:rPr>
              <w:t>二级烘干废气使用的燃料为沼气和生物质，虽燃料一致，但沼气产生量受污水处理站影响，其沼气与生物质燃料的配比随时变动，其导致排放的二氧化硫和氮氧化物排放总量会随燃料配比变化而变化，现有项目验收报告未备注验收监测期间沼气与生物质燃料的配比，因此其验收间监测数据核算的总量不能代表实际排放情况，本次现有项目二氧化硫和氮氧化物排放总量</w:t>
            </w:r>
            <w:r>
              <w:rPr>
                <w:rFonts w:hint="eastAsia"/>
                <w:b w:val="0"/>
                <w:bCs w:val="0"/>
                <w:color w:val="auto"/>
                <w:sz w:val="24"/>
                <w:szCs w:val="24"/>
                <w:highlight w:val="none"/>
                <w:lang w:val="en-US" w:eastAsia="zh-CN"/>
              </w:rPr>
              <w:t>参照《排放源统计调查产排污核算方法和系数手册》（生态环境部公告2021年第24号，2021年6月9日实施）中《4430工业锅炉（热力生产和供应行业）产污系数表》进行核算</w:t>
            </w:r>
            <w:r>
              <w:rPr>
                <w:rFonts w:hint="eastAsia" w:ascii="宋体" w:hAnsi="宋体" w:cs="宋体"/>
                <w:b w:val="0"/>
                <w:bCs w:val="0"/>
                <w:color w:val="auto"/>
                <w:sz w:val="24"/>
                <w:szCs w:val="24"/>
                <w:highlight w:val="none"/>
                <w:lang w:val="en-US" w:eastAsia="zh-CN"/>
              </w:rPr>
              <w:t>；颗粒物参照《云南錦创环境科技有限公司果蔬废弃物处理项目竣工环境保护验收监测报告表》DA001排放量核算。</w:t>
            </w:r>
          </w:p>
          <w:p w14:paraId="5E0D2D9A">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根据《云南錦创环境科技有限公司果蔬废弃物处理项目竣工环境保护验收监测报告表》一级烘干废气颗粒物年排放0.974t/a，燃料使用量为5743t/a，环保设施净化效率为98.44%，则推算颗粒物产污序数为10.87kg/t(燃料），则现有项目二级烘干燃烧废气颗粒物产生量为57.47t/a，其采取的环保措施为尿素喷淋和喷淋除尘均有除尘左右（综合处理效率98%），则二级烘干废气颗粒物排放量为1.149t/a，破碎粉碎机粉尘排放量为0.0087t/a，则合计DA002排放的颗粒物总量为</w:t>
            </w:r>
          </w:p>
          <w:p w14:paraId="238400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4"/>
                <w:highlight w:val="none"/>
              </w:rPr>
            </w:pPr>
            <w:r>
              <w:rPr>
                <w:b/>
                <w:bCs/>
                <w:color w:val="auto"/>
                <w:highlight w:val="none"/>
              </w:rPr>
              <w:t>表</w:t>
            </w:r>
            <w:r>
              <w:rPr>
                <w:rFonts w:hint="eastAsia"/>
                <w:b/>
                <w:bCs/>
                <w:color w:val="auto"/>
                <w:highlight w:val="none"/>
              </w:rPr>
              <w:t>2</w:t>
            </w:r>
            <w:r>
              <w:rPr>
                <w:b/>
                <w:bCs/>
                <w:color w:val="auto"/>
                <w:highlight w:val="none"/>
              </w:rPr>
              <w:t>-</w:t>
            </w:r>
            <w:r>
              <w:rPr>
                <w:rFonts w:hint="eastAsia"/>
                <w:b/>
                <w:bCs/>
                <w:color w:val="auto"/>
                <w:highlight w:val="none"/>
              </w:rPr>
              <w:t>1</w:t>
            </w:r>
            <w:r>
              <w:rPr>
                <w:rFonts w:hint="eastAsia"/>
                <w:b/>
                <w:bCs/>
                <w:color w:val="auto"/>
                <w:highlight w:val="none"/>
                <w:lang w:val="en-US" w:eastAsia="zh-CN"/>
              </w:rPr>
              <w:t xml:space="preserve">7  </w:t>
            </w:r>
            <w:r>
              <w:rPr>
                <w:b/>
                <w:bCs/>
                <w:color w:val="auto"/>
                <w:highlight w:val="none"/>
              </w:rPr>
              <w:t>热风炉燃料燃烧废气排放总量一览表</w:t>
            </w:r>
          </w:p>
          <w:tbl>
            <w:tblPr>
              <w:tblStyle w:val="26"/>
              <w:tblW w:w="862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35"/>
              <w:gridCol w:w="1316"/>
              <w:gridCol w:w="2405"/>
              <w:gridCol w:w="1880"/>
              <w:gridCol w:w="2187"/>
            </w:tblGrid>
            <w:tr w14:paraId="35C1D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4" w:type="pct"/>
                  <w:vMerge w:val="restart"/>
                  <w:vAlign w:val="center"/>
                </w:tcPr>
                <w:p w14:paraId="1A1C63F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排气筒</w:t>
                  </w:r>
                </w:p>
              </w:tc>
              <w:tc>
                <w:tcPr>
                  <w:tcW w:w="763" w:type="pct"/>
                  <w:vMerge w:val="restart"/>
                  <w:vAlign w:val="center"/>
                </w:tcPr>
                <w:p w14:paraId="4E34D63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污染物指标</w:t>
                  </w:r>
                </w:p>
              </w:tc>
              <w:tc>
                <w:tcPr>
                  <w:tcW w:w="3752" w:type="pct"/>
                  <w:gridSpan w:val="3"/>
                  <w:vAlign w:val="center"/>
                </w:tcPr>
                <w:p w14:paraId="574CBB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lang w:val="en-US" w:eastAsia="zh-CN"/>
                    </w:rPr>
                  </w:pPr>
                  <w:r>
                    <w:rPr>
                      <w:rFonts w:hint="eastAsia" w:cs="Times New Roman" w:eastAsiaTheme="minorEastAsia"/>
                      <w:b/>
                      <w:bCs/>
                      <w:color w:val="auto"/>
                      <w:sz w:val="21"/>
                      <w:szCs w:val="21"/>
                      <w:highlight w:val="none"/>
                      <w:lang w:val="en-US" w:eastAsia="zh-CN"/>
                    </w:rPr>
                    <w:t>排放情况</w:t>
                  </w:r>
                </w:p>
              </w:tc>
            </w:tr>
            <w:tr w14:paraId="666D6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4" w:type="pct"/>
                  <w:vMerge w:val="continue"/>
                  <w:vAlign w:val="center"/>
                </w:tcPr>
                <w:p w14:paraId="6918C5D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p>
              </w:tc>
              <w:tc>
                <w:tcPr>
                  <w:tcW w:w="763" w:type="pct"/>
                  <w:vMerge w:val="continue"/>
                  <w:vAlign w:val="center"/>
                </w:tcPr>
                <w:p w14:paraId="766BC3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p>
              </w:tc>
              <w:tc>
                <w:tcPr>
                  <w:tcW w:w="1394" w:type="pct"/>
                  <w:vAlign w:val="center"/>
                </w:tcPr>
                <w:p w14:paraId="34B3A6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排放总量（t/a）</w:t>
                  </w:r>
                </w:p>
              </w:tc>
              <w:tc>
                <w:tcPr>
                  <w:tcW w:w="1090" w:type="pct"/>
                  <w:vAlign w:val="center"/>
                </w:tcPr>
                <w:p w14:paraId="6B19A6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排放浓度（mg/m</w:t>
                  </w:r>
                  <w:r>
                    <w:rPr>
                      <w:rFonts w:hint="default" w:ascii="Times New Roman" w:hAnsi="Times New Roman" w:cs="Times New Roman" w:eastAsiaTheme="minorEastAsia"/>
                      <w:b/>
                      <w:bCs/>
                      <w:color w:val="auto"/>
                      <w:sz w:val="21"/>
                      <w:szCs w:val="21"/>
                      <w:highlight w:val="none"/>
                      <w:vertAlign w:val="superscript"/>
                    </w:rPr>
                    <w:t>3</w:t>
                  </w:r>
                  <w:r>
                    <w:rPr>
                      <w:rFonts w:hint="default" w:ascii="Times New Roman" w:hAnsi="Times New Roman" w:cs="Times New Roman" w:eastAsiaTheme="minorEastAsia"/>
                      <w:b/>
                      <w:bCs/>
                      <w:color w:val="auto"/>
                      <w:sz w:val="21"/>
                      <w:szCs w:val="21"/>
                      <w:highlight w:val="none"/>
                    </w:rPr>
                    <w:t>）</w:t>
                  </w:r>
                </w:p>
              </w:tc>
              <w:tc>
                <w:tcPr>
                  <w:tcW w:w="1268" w:type="pct"/>
                  <w:vAlign w:val="center"/>
                </w:tcPr>
                <w:p w14:paraId="5224BC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排放速率（kg/h）</w:t>
                  </w:r>
                </w:p>
              </w:tc>
            </w:tr>
            <w:tr w14:paraId="23C3C6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4" w:type="pct"/>
                  <w:vMerge w:val="restart"/>
                  <w:vAlign w:val="center"/>
                </w:tcPr>
                <w:p w14:paraId="1DF6EB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DA002</w:t>
                  </w:r>
                </w:p>
              </w:tc>
              <w:tc>
                <w:tcPr>
                  <w:tcW w:w="763" w:type="pct"/>
                  <w:shd w:val="clear" w:color="auto" w:fill="auto"/>
                  <w:vAlign w:val="center"/>
                </w:tcPr>
                <w:p w14:paraId="24AB3883">
                  <w:pPr>
                    <w:spacing w:before="62" w:beforeLines="20"/>
                    <w:jc w:val="center"/>
                    <w:rPr>
                      <w:rFonts w:hint="default" w:ascii="Times New Roman" w:hAnsi="Times New Roman" w:cs="Times New Roman" w:eastAsiaTheme="minorEastAsia"/>
                      <w:b/>
                      <w:bCs/>
                      <w:color w:val="auto"/>
                      <w:kern w:val="2"/>
                      <w:sz w:val="21"/>
                      <w:szCs w:val="21"/>
                      <w:highlight w:val="none"/>
                      <w:lang w:val="en-US" w:eastAsia="zh-CN" w:bidi="ar-SA"/>
                    </w:rPr>
                  </w:pPr>
                  <w:r>
                    <w:rPr>
                      <w:b/>
                      <w:bCs/>
                      <w:color w:val="auto"/>
                      <w:szCs w:val="21"/>
                      <w:highlight w:val="none"/>
                    </w:rPr>
                    <w:t>颗粒物</w:t>
                  </w:r>
                </w:p>
              </w:tc>
              <w:tc>
                <w:tcPr>
                  <w:tcW w:w="1394" w:type="pct"/>
                  <w:shd w:val="clear" w:color="auto" w:fill="auto"/>
                  <w:vAlign w:val="center"/>
                </w:tcPr>
                <w:p w14:paraId="3F16211F">
                  <w:pPr>
                    <w:spacing w:before="62" w:beforeLines="2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kern w:val="2"/>
                      <w:sz w:val="21"/>
                      <w:szCs w:val="21"/>
                      <w:highlight w:val="none"/>
                      <w:lang w:val="en-US" w:eastAsia="zh-CN" w:bidi="ar-SA"/>
                    </w:rPr>
                    <w:t>1.1577</w:t>
                  </w:r>
                </w:p>
              </w:tc>
              <w:tc>
                <w:tcPr>
                  <w:tcW w:w="1090" w:type="pct"/>
                  <w:shd w:val="clear" w:color="auto" w:fill="auto"/>
                  <w:vAlign w:val="center"/>
                </w:tcPr>
                <w:p w14:paraId="4F0179DA">
                  <w:pPr>
                    <w:spacing w:before="62" w:beforeLines="2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kern w:val="2"/>
                      <w:sz w:val="21"/>
                      <w:szCs w:val="21"/>
                      <w:highlight w:val="none"/>
                      <w:lang w:val="en-US" w:eastAsia="zh-CN" w:bidi="ar-SA"/>
                    </w:rPr>
                    <w:t>10.3</w:t>
                  </w:r>
                </w:p>
              </w:tc>
              <w:tc>
                <w:tcPr>
                  <w:tcW w:w="1268" w:type="pct"/>
                  <w:shd w:val="clear" w:color="auto" w:fill="auto"/>
                  <w:vAlign w:val="center"/>
                </w:tcPr>
                <w:p w14:paraId="06AC8700">
                  <w:pPr>
                    <w:spacing w:before="62" w:beforeLines="2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kern w:val="2"/>
                      <w:sz w:val="21"/>
                      <w:szCs w:val="21"/>
                      <w:highlight w:val="none"/>
                      <w:lang w:val="en-US" w:eastAsia="zh-CN" w:bidi="ar-SA"/>
                    </w:rPr>
                    <w:t>0.175</w:t>
                  </w:r>
                </w:p>
              </w:tc>
            </w:tr>
            <w:tr w14:paraId="22636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4" w:type="pct"/>
                  <w:vMerge w:val="continue"/>
                  <w:vAlign w:val="center"/>
                </w:tcPr>
                <w:p w14:paraId="28A592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p>
              </w:tc>
              <w:tc>
                <w:tcPr>
                  <w:tcW w:w="763" w:type="pct"/>
                  <w:vAlign w:val="center"/>
                </w:tcPr>
                <w:p w14:paraId="72DFD8DA">
                  <w:pPr>
                    <w:spacing w:before="62" w:beforeLines="20"/>
                    <w:jc w:val="center"/>
                    <w:rPr>
                      <w:rFonts w:hint="default" w:ascii="Times New Roman" w:hAnsi="Times New Roman" w:cs="Times New Roman" w:eastAsiaTheme="minorEastAsia"/>
                      <w:b/>
                      <w:bCs/>
                      <w:color w:val="auto"/>
                      <w:sz w:val="21"/>
                      <w:szCs w:val="21"/>
                      <w:highlight w:val="none"/>
                      <w:lang w:val="en-US" w:eastAsia="zh-CN"/>
                    </w:rPr>
                  </w:pPr>
                  <w:r>
                    <w:rPr>
                      <w:rFonts w:hint="eastAsia" w:cs="Times New Roman" w:eastAsiaTheme="minorEastAsia"/>
                      <w:b/>
                      <w:bCs/>
                      <w:color w:val="auto"/>
                      <w:sz w:val="21"/>
                      <w:szCs w:val="21"/>
                      <w:highlight w:val="none"/>
                      <w:lang w:val="en-US" w:eastAsia="zh-CN"/>
                    </w:rPr>
                    <w:t>二氧化硫</w:t>
                  </w:r>
                </w:p>
              </w:tc>
              <w:tc>
                <w:tcPr>
                  <w:tcW w:w="1394" w:type="pct"/>
                  <w:vAlign w:val="center"/>
                </w:tcPr>
                <w:p w14:paraId="5CE0C226">
                  <w:pPr>
                    <w:spacing w:before="62" w:beforeLines="20"/>
                    <w:jc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13.89</w:t>
                  </w:r>
                </w:p>
              </w:tc>
              <w:tc>
                <w:tcPr>
                  <w:tcW w:w="1090" w:type="pct"/>
                  <w:vAlign w:val="center"/>
                </w:tcPr>
                <w:p w14:paraId="35851DD9">
                  <w:pPr>
                    <w:spacing w:before="62" w:beforeLines="20"/>
                    <w:jc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102.2</w:t>
                  </w:r>
                </w:p>
              </w:tc>
              <w:tc>
                <w:tcPr>
                  <w:tcW w:w="1268" w:type="pct"/>
                  <w:vAlign w:val="center"/>
                </w:tcPr>
                <w:p w14:paraId="4ED6D2D7">
                  <w:pPr>
                    <w:spacing w:before="62" w:beforeLines="20"/>
                    <w:jc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1.74</w:t>
                  </w:r>
                </w:p>
              </w:tc>
            </w:tr>
            <w:tr w14:paraId="40960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4" w:type="pct"/>
                  <w:vMerge w:val="continue"/>
                  <w:vAlign w:val="center"/>
                </w:tcPr>
                <w:p w14:paraId="5A7771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p>
              </w:tc>
              <w:tc>
                <w:tcPr>
                  <w:tcW w:w="763" w:type="pct"/>
                  <w:vAlign w:val="center"/>
                </w:tcPr>
                <w:p w14:paraId="334309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氮氧化物</w:t>
                  </w:r>
                </w:p>
              </w:tc>
              <w:tc>
                <w:tcPr>
                  <w:tcW w:w="1394" w:type="pct"/>
                  <w:vAlign w:val="center"/>
                </w:tcPr>
                <w:p w14:paraId="304E17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4.81</w:t>
                  </w:r>
                </w:p>
              </w:tc>
              <w:tc>
                <w:tcPr>
                  <w:tcW w:w="1090" w:type="pct"/>
                  <w:vAlign w:val="center"/>
                </w:tcPr>
                <w:p w14:paraId="3EDEBD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35.4</w:t>
                  </w:r>
                </w:p>
              </w:tc>
              <w:tc>
                <w:tcPr>
                  <w:tcW w:w="1268" w:type="pct"/>
                  <w:vAlign w:val="center"/>
                </w:tcPr>
                <w:p w14:paraId="020979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0.602</w:t>
                  </w:r>
                </w:p>
              </w:tc>
            </w:tr>
            <w:tr w14:paraId="6E3D2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4" w:type="pct"/>
                  <w:vMerge w:val="continue"/>
                  <w:vAlign w:val="center"/>
                </w:tcPr>
                <w:p w14:paraId="574F87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p>
              </w:tc>
              <w:tc>
                <w:tcPr>
                  <w:tcW w:w="763" w:type="pct"/>
                  <w:vAlign w:val="center"/>
                </w:tcPr>
                <w:p w14:paraId="210E03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氨</w:t>
                  </w:r>
                </w:p>
              </w:tc>
              <w:tc>
                <w:tcPr>
                  <w:tcW w:w="1394" w:type="pct"/>
                  <w:vAlign w:val="center"/>
                </w:tcPr>
                <w:p w14:paraId="479584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0.24</w:t>
                  </w:r>
                </w:p>
              </w:tc>
              <w:tc>
                <w:tcPr>
                  <w:tcW w:w="1090" w:type="pct"/>
                  <w:vAlign w:val="center"/>
                </w:tcPr>
                <w:p w14:paraId="4DF719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2.01</w:t>
                  </w:r>
                </w:p>
              </w:tc>
              <w:tc>
                <w:tcPr>
                  <w:tcW w:w="1268" w:type="pct"/>
                  <w:vAlign w:val="center"/>
                </w:tcPr>
                <w:p w14:paraId="1BAA45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0.0342</w:t>
                  </w:r>
                </w:p>
              </w:tc>
            </w:tr>
            <w:tr w14:paraId="0562E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4" w:type="pct"/>
                  <w:vMerge w:val="continue"/>
                  <w:vAlign w:val="center"/>
                </w:tcPr>
                <w:p w14:paraId="3A2BBB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p>
              </w:tc>
              <w:tc>
                <w:tcPr>
                  <w:tcW w:w="763" w:type="pct"/>
                  <w:vAlign w:val="center"/>
                </w:tcPr>
                <w:p w14:paraId="3AC36F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硫化氢</w:t>
                  </w:r>
                </w:p>
              </w:tc>
              <w:tc>
                <w:tcPr>
                  <w:tcW w:w="1394" w:type="pct"/>
                  <w:vAlign w:val="center"/>
                </w:tcPr>
                <w:p w14:paraId="1C047E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0.044</w:t>
                  </w:r>
                </w:p>
              </w:tc>
              <w:tc>
                <w:tcPr>
                  <w:tcW w:w="1090" w:type="pct"/>
                  <w:vAlign w:val="center"/>
                </w:tcPr>
                <w:p w14:paraId="7381244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0.36</w:t>
                  </w:r>
                </w:p>
              </w:tc>
              <w:tc>
                <w:tcPr>
                  <w:tcW w:w="1268" w:type="pct"/>
                  <w:vAlign w:val="center"/>
                </w:tcPr>
                <w:p w14:paraId="3C5AE0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0.0063</w:t>
                  </w:r>
                </w:p>
              </w:tc>
            </w:tr>
          </w:tbl>
          <w:p w14:paraId="5A1C15FF">
            <w:pPr>
              <w:pStyle w:val="2"/>
              <w:keepNext w:val="0"/>
              <w:keepLines w:val="0"/>
              <w:pageBreakBefore w:val="0"/>
              <w:kinsoku/>
              <w:wordWrap/>
              <w:overflowPunct/>
              <w:topLinePunct w:val="0"/>
              <w:bidi w:val="0"/>
              <w:adjustRightInd/>
              <w:spacing w:before="0" w:after="0" w:line="440" w:lineRule="exact"/>
              <w:ind w:firstLine="482" w:firstLineChars="200"/>
              <w:jc w:val="left"/>
              <w:textAlignment w:val="auto"/>
              <w:rPr>
                <w:rFonts w:hint="default" w:ascii="Times New Roman" w:hAnsi="Times New Roman" w:cs="Times New Roman" w:eastAsiaTheme="minorEastAsia"/>
                <w:b/>
                <w:bCs/>
                <w:color w:val="auto"/>
                <w:sz w:val="24"/>
                <w:szCs w:val="40"/>
                <w:highlight w:val="none"/>
              </w:rPr>
            </w:pPr>
            <w:r>
              <w:rPr>
                <w:rFonts w:hint="default" w:ascii="Times New Roman" w:hAnsi="Times New Roman" w:cs="Times New Roman" w:eastAsiaTheme="minorEastAsia"/>
                <w:b/>
                <w:bCs/>
                <w:color w:val="auto"/>
                <w:sz w:val="24"/>
                <w:szCs w:val="40"/>
                <w:highlight w:val="none"/>
                <w:lang w:val="en-US" w:eastAsia="zh-CN"/>
              </w:rPr>
              <w:t>2）</w:t>
            </w:r>
            <w:r>
              <w:rPr>
                <w:rFonts w:hint="default" w:ascii="Times New Roman" w:hAnsi="Times New Roman" w:cs="Times New Roman" w:eastAsiaTheme="minorEastAsia"/>
                <w:b/>
                <w:bCs/>
                <w:color w:val="auto"/>
                <w:sz w:val="24"/>
                <w:szCs w:val="40"/>
                <w:highlight w:val="none"/>
              </w:rPr>
              <w:t>无组织排放废气</w:t>
            </w:r>
          </w:p>
          <w:p w14:paraId="1ECF711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b w:val="0"/>
                <w:bCs w:val="0"/>
                <w:color w:val="auto"/>
                <w:sz w:val="24"/>
                <w:highlight w:val="none"/>
              </w:rPr>
            </w:pPr>
            <w:r>
              <w:rPr>
                <w:rFonts w:hint="default" w:ascii="Times New Roman" w:hAnsi="Times New Roman" w:cs="Times New Roman" w:eastAsiaTheme="minorEastAsia"/>
                <w:b w:val="0"/>
                <w:bCs w:val="0"/>
                <w:color w:val="auto"/>
                <w:sz w:val="24"/>
                <w:highlight w:val="none"/>
                <w:lang w:val="en-US" w:eastAsia="zh-CN"/>
              </w:rPr>
              <w:t>根据调查</w:t>
            </w:r>
            <w:r>
              <w:rPr>
                <w:rFonts w:hint="default" w:ascii="Times New Roman" w:hAnsi="Times New Roman" w:cs="Times New Roman" w:eastAsiaTheme="minorEastAsia"/>
                <w:b w:val="0"/>
                <w:bCs w:val="0"/>
                <w:color w:val="auto"/>
                <w:sz w:val="24"/>
                <w:highlight w:val="none"/>
              </w:rPr>
              <w:t>《云南錦创环境科技有限公司果蔬废弃物处理项目竣工环境保护验收监测报告表》</w:t>
            </w:r>
            <w:r>
              <w:rPr>
                <w:rFonts w:hint="default" w:ascii="Times New Roman" w:hAnsi="Times New Roman" w:cs="Times New Roman" w:eastAsiaTheme="minorEastAsia"/>
                <w:b w:val="0"/>
                <w:bCs w:val="0"/>
                <w:color w:val="auto"/>
                <w:sz w:val="24"/>
                <w:highlight w:val="none"/>
                <w:lang w:val="en-US" w:eastAsia="zh-CN"/>
              </w:rPr>
              <w:t>仅对无组织排放达标情况进行分析，未核算总量，现有项目无组织排放总量</w:t>
            </w:r>
            <w:r>
              <w:rPr>
                <w:rFonts w:hint="default" w:ascii="Times New Roman" w:hAnsi="Times New Roman" w:cs="Times New Roman" w:eastAsiaTheme="minorEastAsia"/>
                <w:b w:val="0"/>
                <w:bCs w:val="0"/>
                <w:color w:val="auto"/>
                <w:sz w:val="24"/>
                <w:highlight w:val="none"/>
              </w:rPr>
              <w:t>使用《云南錦创环境科技有限公司果蔬废弃物处理项目（重新报批）环境影响报告表》</w:t>
            </w:r>
            <w:r>
              <w:rPr>
                <w:rFonts w:hint="eastAsia" w:ascii="Times New Roman" w:hAnsi="Times New Roman" w:cs="Times New Roman" w:eastAsiaTheme="minorEastAsia"/>
                <w:b w:val="0"/>
                <w:bCs w:val="0"/>
                <w:color w:val="auto"/>
                <w:sz w:val="24"/>
                <w:highlight w:val="none"/>
                <w:lang w:val="en-US" w:eastAsia="zh-CN"/>
              </w:rPr>
              <w:t>中采取的</w:t>
            </w:r>
            <w:r>
              <w:rPr>
                <w:rFonts w:hint="default" w:ascii="Times New Roman" w:hAnsi="Times New Roman" w:cs="Times New Roman" w:eastAsiaTheme="minorEastAsia"/>
                <w:b w:val="0"/>
                <w:bCs w:val="0"/>
                <w:color w:val="auto"/>
                <w:sz w:val="24"/>
                <w:highlight w:val="none"/>
                <w:lang w:eastAsia="zh-CN"/>
              </w:rPr>
              <w:t>《第二次全国污染源普查产排污核算系数手册（试用版）》（生态环境部第二次全国污染普查工作办公室，2019年4月8日）中“2625有机肥及微生物肥制造行业产污系数”</w:t>
            </w:r>
            <w:r>
              <w:rPr>
                <w:rFonts w:hint="default" w:ascii="Times New Roman" w:hAnsi="Times New Roman" w:cs="Times New Roman" w:eastAsiaTheme="minorEastAsia"/>
                <w:b w:val="0"/>
                <w:bCs w:val="0"/>
                <w:color w:val="auto"/>
                <w:sz w:val="24"/>
                <w:highlight w:val="none"/>
                <w:lang w:val="en-US" w:eastAsia="zh-CN"/>
              </w:rPr>
              <w:t>计算</w:t>
            </w:r>
            <w:r>
              <w:rPr>
                <w:rFonts w:hint="eastAsia" w:ascii="Times New Roman" w:hAnsi="Times New Roman" w:cs="Times New Roman" w:eastAsiaTheme="minorEastAsia"/>
                <w:b w:val="0"/>
                <w:bCs w:val="0"/>
                <w:color w:val="auto"/>
                <w:sz w:val="24"/>
                <w:highlight w:val="none"/>
                <w:lang w:val="en-US" w:eastAsia="zh-CN"/>
              </w:rPr>
              <w:t>核算系数核算总量</w:t>
            </w:r>
            <w:r>
              <w:rPr>
                <w:rFonts w:hint="default" w:ascii="Times New Roman" w:hAnsi="Times New Roman" w:cs="Times New Roman" w:eastAsiaTheme="minorEastAsia"/>
                <w:b w:val="0"/>
                <w:bCs w:val="0"/>
                <w:color w:val="auto"/>
                <w:sz w:val="24"/>
                <w:highlight w:val="none"/>
              </w:rPr>
              <w:t>。</w:t>
            </w:r>
          </w:p>
          <w:p w14:paraId="0284BCDE">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cs="Times New Roman" w:eastAsiaTheme="minorEastAsia"/>
                <w:b/>
                <w:bCs/>
                <w:color w:val="auto"/>
                <w:sz w:val="24"/>
                <w:highlight w:val="none"/>
              </w:rPr>
            </w:pPr>
            <w:r>
              <w:rPr>
                <w:rFonts w:hint="default" w:ascii="Times New Roman" w:hAnsi="Times New Roman" w:cs="Times New Roman" w:eastAsiaTheme="minorEastAsia"/>
                <w:b/>
                <w:bCs/>
                <w:color w:val="auto"/>
                <w:sz w:val="24"/>
                <w:highlight w:val="none"/>
              </w:rPr>
              <w:t>①恶臭气体</w:t>
            </w:r>
          </w:p>
          <w:p w14:paraId="394E535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rPr>
              <w:t>《云南錦创环境科技有限公司果蔬废弃物处理项目竣工环境保护验收监测报告表》</w:t>
            </w:r>
            <w:r>
              <w:rPr>
                <w:rFonts w:hint="default" w:ascii="Times New Roman" w:hAnsi="Times New Roman" w:cs="Times New Roman" w:eastAsiaTheme="minorEastAsia"/>
                <w:color w:val="auto"/>
                <w:sz w:val="24"/>
                <w:highlight w:val="none"/>
                <w:lang w:val="en-US" w:eastAsia="zh-CN"/>
              </w:rPr>
              <w:t>监测数据</w:t>
            </w:r>
            <w:r>
              <w:rPr>
                <w:rFonts w:hint="default" w:ascii="Times New Roman" w:hAnsi="Times New Roman" w:cs="Times New Roman" w:eastAsiaTheme="minorEastAsia"/>
                <w:color w:val="auto"/>
                <w:sz w:val="24"/>
                <w:highlight w:val="none"/>
              </w:rPr>
              <w:t>，无组织排放废气氨、硫化氢、臭气浓度厂界值达到《恶臭污染物排放标准》（GB14554-93）表1二级标准，即NH</w:t>
            </w:r>
            <w:r>
              <w:rPr>
                <w:rFonts w:hint="default" w:ascii="Times New Roman" w:hAnsi="Times New Roman" w:cs="Times New Roman" w:eastAsiaTheme="minorEastAsia"/>
                <w:color w:val="auto"/>
                <w:sz w:val="24"/>
                <w:highlight w:val="none"/>
                <w:vertAlign w:val="subscript"/>
              </w:rPr>
              <w:t>3</w:t>
            </w:r>
            <w:r>
              <w:rPr>
                <w:rFonts w:hint="default" w:ascii="Times New Roman" w:hAnsi="Times New Roman" w:cs="Times New Roman" w:eastAsiaTheme="minorEastAsia"/>
                <w:color w:val="auto"/>
                <w:sz w:val="24"/>
                <w:highlight w:val="none"/>
              </w:rPr>
              <w:t>≤1.5</w:t>
            </w:r>
            <w:r>
              <w:rPr>
                <w:rFonts w:hint="default" w:ascii="Times New Roman" w:hAnsi="Times New Roman" w:cs="Times New Roman" w:eastAsiaTheme="minorEastAsia"/>
                <w:color w:val="auto"/>
                <w:sz w:val="24"/>
                <w:highlight w:val="none"/>
                <w:lang w:val="zh-CN"/>
              </w:rPr>
              <w:t>mg/m</w:t>
            </w:r>
            <w:r>
              <w:rPr>
                <w:rFonts w:hint="default" w:ascii="Times New Roman" w:hAnsi="Times New Roman" w:cs="Times New Roman" w:eastAsiaTheme="minorEastAsia"/>
                <w:color w:val="auto"/>
                <w:sz w:val="24"/>
                <w:highlight w:val="none"/>
                <w:vertAlign w:val="superscript"/>
                <w:lang w:val="zh-CN"/>
              </w:rPr>
              <w:t>3</w:t>
            </w:r>
            <w:r>
              <w:rPr>
                <w:rFonts w:hint="default" w:ascii="Times New Roman" w:hAnsi="Times New Roman" w:cs="Times New Roman" w:eastAsiaTheme="minorEastAsia"/>
                <w:color w:val="auto"/>
                <w:sz w:val="24"/>
                <w:highlight w:val="none"/>
              </w:rPr>
              <w:t>，H</w:t>
            </w:r>
            <w:r>
              <w:rPr>
                <w:rFonts w:hint="default" w:ascii="Times New Roman" w:hAnsi="Times New Roman" w:cs="Times New Roman" w:eastAsiaTheme="minorEastAsia"/>
                <w:color w:val="auto"/>
                <w:sz w:val="24"/>
                <w:highlight w:val="none"/>
                <w:vertAlign w:val="subscript"/>
              </w:rPr>
              <w:t>2</w:t>
            </w:r>
            <w:r>
              <w:rPr>
                <w:rFonts w:hint="default" w:ascii="Times New Roman" w:hAnsi="Times New Roman" w:cs="Times New Roman" w:eastAsiaTheme="minorEastAsia"/>
                <w:color w:val="auto"/>
                <w:sz w:val="24"/>
                <w:highlight w:val="none"/>
              </w:rPr>
              <w:t>S≤0.06</w:t>
            </w:r>
            <w:r>
              <w:rPr>
                <w:rFonts w:hint="default" w:ascii="Times New Roman" w:hAnsi="Times New Roman" w:cs="Times New Roman" w:eastAsiaTheme="minorEastAsia"/>
                <w:color w:val="auto"/>
                <w:sz w:val="24"/>
                <w:highlight w:val="none"/>
                <w:lang w:val="zh-CN"/>
              </w:rPr>
              <w:t>mg/m</w:t>
            </w:r>
            <w:r>
              <w:rPr>
                <w:rFonts w:hint="default" w:ascii="Times New Roman" w:hAnsi="Times New Roman" w:cs="Times New Roman" w:eastAsiaTheme="minorEastAsia"/>
                <w:color w:val="auto"/>
                <w:sz w:val="24"/>
                <w:highlight w:val="none"/>
                <w:vertAlign w:val="superscript"/>
                <w:lang w:val="zh-CN"/>
              </w:rPr>
              <w:t>3</w:t>
            </w:r>
            <w:r>
              <w:rPr>
                <w:rFonts w:hint="default" w:ascii="Times New Roman" w:hAnsi="Times New Roman" w:cs="Times New Roman" w:eastAsiaTheme="minorEastAsia"/>
                <w:color w:val="auto"/>
                <w:sz w:val="24"/>
                <w:highlight w:val="none"/>
              </w:rPr>
              <w:t>，臭气浓度≤20（无量纲）。</w:t>
            </w:r>
          </w:p>
          <w:p w14:paraId="422023A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b w:val="0"/>
                <w:bCs w:val="0"/>
                <w:color w:val="auto"/>
                <w:sz w:val="24"/>
                <w:highlight w:val="none"/>
                <w:lang w:val="en-US" w:eastAsia="zh-CN"/>
              </w:rPr>
            </w:pPr>
            <w:r>
              <w:rPr>
                <w:rFonts w:hint="default" w:ascii="Times New Roman" w:hAnsi="Times New Roman" w:cs="Times New Roman" w:eastAsiaTheme="minorEastAsia"/>
                <w:b w:val="0"/>
                <w:bCs w:val="0"/>
                <w:color w:val="auto"/>
                <w:sz w:val="24"/>
                <w:highlight w:val="none"/>
                <w:lang w:val="en-US" w:eastAsia="zh-CN"/>
              </w:rPr>
              <w:t>根据</w:t>
            </w:r>
            <w:r>
              <w:rPr>
                <w:rFonts w:hint="default" w:ascii="Times New Roman" w:hAnsi="Times New Roman" w:cs="Times New Roman" w:eastAsiaTheme="minorEastAsia"/>
                <w:b w:val="0"/>
                <w:bCs w:val="0"/>
                <w:color w:val="auto"/>
                <w:sz w:val="24"/>
                <w:highlight w:val="none"/>
              </w:rPr>
              <w:t>《云南錦创环境科技有限公司果蔬废弃物处理项目（重新报批）环境影响报告表》</w:t>
            </w:r>
            <w:r>
              <w:rPr>
                <w:rFonts w:hint="default" w:ascii="Times New Roman" w:hAnsi="Times New Roman" w:cs="Times New Roman" w:eastAsiaTheme="minorEastAsia"/>
                <w:b w:val="0"/>
                <w:bCs w:val="0"/>
                <w:color w:val="auto"/>
                <w:sz w:val="24"/>
                <w:highlight w:val="none"/>
                <w:lang w:eastAsia="zh-CN"/>
              </w:rPr>
              <w:t>，堆放、粉碎分选异味参照中国农业大学关于《第二次全国污染源普查产排污核算系数手册（试用版）》（生态环境部第二次全国污染普查工作办公室，2019年4月8日）中“2625有机肥及微生物肥制造行业产污系数”</w:t>
            </w:r>
            <w:r>
              <w:rPr>
                <w:rFonts w:hint="default" w:ascii="Times New Roman" w:hAnsi="Times New Roman" w:cs="Times New Roman" w:eastAsiaTheme="minorEastAsia"/>
                <w:b w:val="0"/>
                <w:bCs w:val="0"/>
                <w:color w:val="auto"/>
                <w:sz w:val="24"/>
                <w:highlight w:val="none"/>
                <w:lang w:val="en-US" w:eastAsia="zh-CN"/>
              </w:rPr>
              <w:t>计算，则</w:t>
            </w:r>
            <w:r>
              <w:rPr>
                <w:rFonts w:hint="default" w:ascii="Times New Roman" w:hAnsi="Times New Roman" w:cs="Times New Roman" w:eastAsiaTheme="minorEastAsia"/>
                <w:b w:val="0"/>
                <w:bCs w:val="0"/>
                <w:color w:val="auto"/>
                <w:sz w:val="24"/>
                <w:highlight w:val="none"/>
                <w:lang w:eastAsia="zh-CN"/>
              </w:rPr>
              <w:t>NH</w:t>
            </w:r>
            <w:r>
              <w:rPr>
                <w:rFonts w:hint="default" w:ascii="Times New Roman" w:hAnsi="Times New Roman" w:cs="Times New Roman" w:eastAsiaTheme="minorEastAsia"/>
                <w:b w:val="0"/>
                <w:bCs w:val="0"/>
                <w:color w:val="auto"/>
                <w:sz w:val="24"/>
                <w:highlight w:val="none"/>
                <w:vertAlign w:val="subscript"/>
                <w:lang w:eastAsia="zh-CN"/>
              </w:rPr>
              <w:t>3</w:t>
            </w:r>
            <w:r>
              <w:rPr>
                <w:rFonts w:hint="default" w:ascii="Times New Roman" w:hAnsi="Times New Roman" w:cs="Times New Roman" w:eastAsiaTheme="minorEastAsia"/>
                <w:b w:val="0"/>
                <w:bCs w:val="0"/>
                <w:color w:val="auto"/>
                <w:sz w:val="24"/>
                <w:highlight w:val="none"/>
                <w:vertAlign w:val="baseline"/>
                <w:lang w:val="en-US" w:eastAsia="zh-CN"/>
              </w:rPr>
              <w:t>产生量按非罐式发酵产污序数0.073kg/t产品计</w:t>
            </w:r>
            <w:r>
              <w:rPr>
                <w:rFonts w:hint="default" w:ascii="Times New Roman" w:hAnsi="Times New Roman" w:cs="Times New Roman" w:eastAsiaTheme="minorEastAsia"/>
                <w:b w:val="0"/>
                <w:bCs w:val="0"/>
                <w:color w:val="auto"/>
                <w:sz w:val="24"/>
                <w:highlight w:val="none"/>
                <w:lang w:eastAsia="zh-CN"/>
              </w:rPr>
              <w:t>，H</w:t>
            </w:r>
            <w:r>
              <w:rPr>
                <w:rFonts w:hint="default" w:ascii="Times New Roman" w:hAnsi="Times New Roman" w:cs="Times New Roman" w:eastAsiaTheme="minorEastAsia"/>
                <w:b w:val="0"/>
                <w:bCs w:val="0"/>
                <w:color w:val="auto"/>
                <w:sz w:val="24"/>
                <w:highlight w:val="none"/>
                <w:vertAlign w:val="subscript"/>
                <w:lang w:eastAsia="zh-CN"/>
              </w:rPr>
              <w:t>2</w:t>
            </w:r>
            <w:r>
              <w:rPr>
                <w:rFonts w:hint="default" w:ascii="Times New Roman" w:hAnsi="Times New Roman" w:cs="Times New Roman" w:eastAsiaTheme="minorEastAsia"/>
                <w:b w:val="0"/>
                <w:bCs w:val="0"/>
                <w:color w:val="auto"/>
                <w:sz w:val="24"/>
                <w:highlight w:val="none"/>
                <w:lang w:eastAsia="zh-CN"/>
              </w:rPr>
              <w:t>S</w:t>
            </w:r>
            <w:r>
              <w:rPr>
                <w:rFonts w:hint="default" w:ascii="Times New Roman" w:hAnsi="Times New Roman" w:cs="Times New Roman" w:eastAsiaTheme="minorEastAsia"/>
                <w:b w:val="0"/>
                <w:bCs w:val="0"/>
                <w:color w:val="auto"/>
                <w:sz w:val="24"/>
                <w:highlight w:val="none"/>
                <w:lang w:val="en-US" w:eastAsia="zh-CN"/>
              </w:rPr>
              <w:t>按</w:t>
            </w:r>
            <w:r>
              <w:rPr>
                <w:rFonts w:hint="default" w:ascii="Times New Roman" w:hAnsi="Times New Roman" w:cs="Times New Roman" w:eastAsiaTheme="minorEastAsia"/>
                <w:b w:val="0"/>
                <w:bCs w:val="0"/>
                <w:color w:val="auto"/>
                <w:sz w:val="24"/>
                <w:highlight w:val="none"/>
                <w:lang w:eastAsia="zh-CN"/>
              </w:rPr>
              <w:t>NH</w:t>
            </w:r>
            <w:r>
              <w:rPr>
                <w:rFonts w:hint="default" w:ascii="Times New Roman" w:hAnsi="Times New Roman" w:cs="Times New Roman" w:eastAsiaTheme="minorEastAsia"/>
                <w:b w:val="0"/>
                <w:bCs w:val="0"/>
                <w:color w:val="auto"/>
                <w:sz w:val="24"/>
                <w:highlight w:val="none"/>
                <w:vertAlign w:val="subscript"/>
                <w:lang w:eastAsia="zh-CN"/>
              </w:rPr>
              <w:t>3</w:t>
            </w:r>
            <w:r>
              <w:rPr>
                <w:rFonts w:hint="default" w:ascii="Times New Roman" w:hAnsi="Times New Roman" w:cs="Times New Roman" w:eastAsiaTheme="minorEastAsia"/>
                <w:b w:val="0"/>
                <w:bCs w:val="0"/>
                <w:color w:val="auto"/>
                <w:sz w:val="24"/>
                <w:highlight w:val="none"/>
                <w:vertAlign w:val="baseline"/>
                <w:lang w:val="en-US" w:eastAsia="zh-CN"/>
              </w:rPr>
              <w:t>产生量的10%计，喷洒除臭剂处理效率按70%计，则</w:t>
            </w:r>
            <w:r>
              <w:rPr>
                <w:rFonts w:hint="default" w:ascii="Times New Roman" w:hAnsi="Times New Roman" w:cs="Times New Roman" w:eastAsiaTheme="minorEastAsia"/>
                <w:b w:val="0"/>
                <w:bCs w:val="0"/>
                <w:color w:val="auto"/>
                <w:sz w:val="24"/>
                <w:highlight w:val="none"/>
                <w:lang w:eastAsia="zh-CN"/>
              </w:rPr>
              <w:t>NH</w:t>
            </w:r>
            <w:r>
              <w:rPr>
                <w:rFonts w:hint="default" w:ascii="Times New Roman" w:hAnsi="Times New Roman" w:cs="Times New Roman" w:eastAsiaTheme="minorEastAsia"/>
                <w:b w:val="0"/>
                <w:bCs w:val="0"/>
                <w:color w:val="auto"/>
                <w:sz w:val="24"/>
                <w:highlight w:val="none"/>
                <w:vertAlign w:val="subscript"/>
                <w:lang w:eastAsia="zh-CN"/>
              </w:rPr>
              <w:t>3</w:t>
            </w:r>
            <w:r>
              <w:rPr>
                <w:rFonts w:hint="default" w:ascii="Times New Roman" w:hAnsi="Times New Roman" w:cs="Times New Roman" w:eastAsiaTheme="minorEastAsia"/>
                <w:b w:val="0"/>
                <w:bCs w:val="0"/>
                <w:color w:val="auto"/>
                <w:sz w:val="24"/>
                <w:highlight w:val="none"/>
                <w:vertAlign w:val="baseline"/>
                <w:lang w:val="en-US" w:eastAsia="zh-CN"/>
              </w:rPr>
              <w:t>的排放量为0.679t/a，</w:t>
            </w:r>
            <w:r>
              <w:rPr>
                <w:rFonts w:hint="default" w:ascii="Times New Roman" w:hAnsi="Times New Roman" w:cs="Times New Roman" w:eastAsiaTheme="minorEastAsia"/>
                <w:b w:val="0"/>
                <w:bCs w:val="0"/>
                <w:color w:val="auto"/>
                <w:sz w:val="24"/>
                <w:highlight w:val="none"/>
                <w:lang w:eastAsia="zh-CN"/>
              </w:rPr>
              <w:t>H</w:t>
            </w:r>
            <w:r>
              <w:rPr>
                <w:rFonts w:hint="default" w:ascii="Times New Roman" w:hAnsi="Times New Roman" w:cs="Times New Roman" w:eastAsiaTheme="minorEastAsia"/>
                <w:b w:val="0"/>
                <w:bCs w:val="0"/>
                <w:color w:val="auto"/>
                <w:sz w:val="24"/>
                <w:highlight w:val="none"/>
                <w:vertAlign w:val="subscript"/>
                <w:lang w:eastAsia="zh-CN"/>
              </w:rPr>
              <w:t>2</w:t>
            </w:r>
            <w:r>
              <w:rPr>
                <w:rFonts w:hint="default" w:ascii="Times New Roman" w:hAnsi="Times New Roman" w:cs="Times New Roman" w:eastAsiaTheme="minorEastAsia"/>
                <w:b w:val="0"/>
                <w:bCs w:val="0"/>
                <w:color w:val="auto"/>
                <w:sz w:val="24"/>
                <w:highlight w:val="none"/>
                <w:lang w:eastAsia="zh-CN"/>
              </w:rPr>
              <w:t>S</w:t>
            </w:r>
            <w:r>
              <w:rPr>
                <w:rFonts w:hint="default" w:ascii="Times New Roman" w:hAnsi="Times New Roman" w:cs="Times New Roman" w:eastAsiaTheme="minorEastAsia"/>
                <w:b w:val="0"/>
                <w:bCs w:val="0"/>
                <w:color w:val="auto"/>
                <w:sz w:val="24"/>
                <w:highlight w:val="none"/>
                <w:vertAlign w:val="baseline"/>
                <w:lang w:val="en-US" w:eastAsia="zh-CN"/>
              </w:rPr>
              <w:t>的排放量为0.068t/a</w:t>
            </w:r>
            <w:r>
              <w:rPr>
                <w:rFonts w:hint="default" w:ascii="Times New Roman" w:hAnsi="Times New Roman" w:cs="Times New Roman" w:eastAsiaTheme="minorEastAsia"/>
                <w:b w:val="0"/>
                <w:bCs w:val="0"/>
                <w:color w:val="auto"/>
                <w:sz w:val="24"/>
                <w:highlight w:val="none"/>
                <w:lang w:eastAsia="zh-CN"/>
              </w:rPr>
              <w:t>；</w:t>
            </w:r>
            <w:r>
              <w:rPr>
                <w:rFonts w:hint="default" w:ascii="Times New Roman" w:hAnsi="Times New Roman" w:cs="Times New Roman" w:eastAsiaTheme="minorEastAsia"/>
                <w:b w:val="0"/>
                <w:bCs w:val="0"/>
                <w:color w:val="auto"/>
                <w:sz w:val="24"/>
                <w:highlight w:val="none"/>
                <w:lang w:val="en-US" w:eastAsia="zh-CN"/>
              </w:rPr>
              <w:t>生产废水处理系统NH</w:t>
            </w:r>
            <w:r>
              <w:rPr>
                <w:rFonts w:hint="default" w:ascii="Times New Roman" w:hAnsi="Times New Roman" w:cs="Times New Roman" w:eastAsiaTheme="minorEastAsia"/>
                <w:b w:val="0"/>
                <w:bCs w:val="0"/>
                <w:color w:val="auto"/>
                <w:sz w:val="24"/>
                <w:highlight w:val="none"/>
                <w:vertAlign w:val="subscript"/>
                <w:lang w:val="en-US" w:eastAsia="zh-CN"/>
              </w:rPr>
              <w:t>3</w:t>
            </w:r>
            <w:r>
              <w:rPr>
                <w:rFonts w:hint="default" w:ascii="Times New Roman" w:hAnsi="Times New Roman" w:cs="Times New Roman" w:eastAsiaTheme="minorEastAsia"/>
                <w:b w:val="0"/>
                <w:bCs w:val="0"/>
                <w:color w:val="auto"/>
                <w:sz w:val="24"/>
                <w:highlight w:val="none"/>
                <w:lang w:val="en-US" w:eastAsia="zh-CN"/>
              </w:rPr>
              <w:t>排放量为1.06t/a，排放速率为0.121kg/h；H</w:t>
            </w:r>
            <w:r>
              <w:rPr>
                <w:rFonts w:hint="default" w:ascii="Times New Roman" w:hAnsi="Times New Roman" w:cs="Times New Roman" w:eastAsiaTheme="minorEastAsia"/>
                <w:b w:val="0"/>
                <w:bCs w:val="0"/>
                <w:color w:val="auto"/>
                <w:sz w:val="24"/>
                <w:highlight w:val="none"/>
                <w:vertAlign w:val="subscript"/>
                <w:lang w:val="en-US" w:eastAsia="zh-CN"/>
              </w:rPr>
              <w:t>2</w:t>
            </w:r>
            <w:r>
              <w:rPr>
                <w:rFonts w:hint="default" w:ascii="Times New Roman" w:hAnsi="Times New Roman" w:cs="Times New Roman" w:eastAsiaTheme="minorEastAsia"/>
                <w:b w:val="0"/>
                <w:bCs w:val="0"/>
                <w:color w:val="auto"/>
                <w:sz w:val="24"/>
                <w:highlight w:val="none"/>
                <w:lang w:val="en-US" w:eastAsia="zh-CN"/>
              </w:rPr>
              <w:t>S排放量为0.041t/a，排放速率为0.0047kg/h。</w:t>
            </w:r>
          </w:p>
          <w:p w14:paraId="55FC20D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b w:val="0"/>
                <w:bCs w:val="0"/>
                <w:color w:val="auto"/>
                <w:sz w:val="24"/>
                <w:highlight w:val="none"/>
                <w:lang w:val="en-US" w:eastAsia="zh-CN"/>
              </w:rPr>
            </w:pPr>
            <w:r>
              <w:rPr>
                <w:rFonts w:hint="default" w:ascii="Times New Roman" w:hAnsi="Times New Roman" w:cs="Times New Roman" w:eastAsiaTheme="minorEastAsia"/>
                <w:b w:val="0"/>
                <w:bCs w:val="0"/>
                <w:color w:val="auto"/>
                <w:sz w:val="24"/>
                <w:highlight w:val="none"/>
                <w:lang w:val="en-US" w:eastAsia="zh-CN"/>
              </w:rPr>
              <w:t>综上，合计现有项目氨无组织排放量为1.739t/a；硫化氢排放量为0.109t/a。</w:t>
            </w:r>
          </w:p>
          <w:p w14:paraId="0CDFD70D">
            <w:pPr>
              <w:keepNext w:val="0"/>
              <w:keepLines w:val="0"/>
              <w:pageBreakBefore w:val="0"/>
              <w:kinsoku/>
              <w:wordWrap/>
              <w:overflowPunct/>
              <w:topLinePunct w:val="0"/>
              <w:bidi w:val="0"/>
              <w:adjustRightInd/>
              <w:spacing w:line="440" w:lineRule="exact"/>
              <w:ind w:firstLine="482" w:firstLineChars="200"/>
              <w:textAlignment w:val="auto"/>
              <w:rPr>
                <w:rFonts w:hint="default" w:ascii="Times New Roman" w:hAnsi="Times New Roman" w:cs="Times New Roman" w:eastAsiaTheme="minorEastAsia"/>
                <w:b/>
                <w:bCs/>
                <w:color w:val="auto"/>
                <w:sz w:val="24"/>
                <w:highlight w:val="none"/>
              </w:rPr>
            </w:pPr>
            <w:r>
              <w:rPr>
                <w:rFonts w:hint="default" w:ascii="Times New Roman" w:hAnsi="Times New Roman" w:cs="Times New Roman" w:eastAsiaTheme="minorEastAsia"/>
                <w:b/>
                <w:bCs/>
                <w:color w:val="auto"/>
                <w:sz w:val="24"/>
                <w:highlight w:val="none"/>
              </w:rPr>
              <w:t>②厨房油烟</w:t>
            </w:r>
          </w:p>
          <w:p w14:paraId="0249B8CF">
            <w:pPr>
              <w:keepNext w:val="0"/>
              <w:keepLines w:val="0"/>
              <w:pageBreakBefore w:val="0"/>
              <w:kinsoku/>
              <w:wordWrap/>
              <w:overflowPunct/>
              <w:topLinePunct w:val="0"/>
              <w:autoSpaceDE w:val="0"/>
              <w:autoSpaceDN w:val="0"/>
              <w:bidi w:val="0"/>
              <w:adjustRightInd/>
              <w:spacing w:line="440" w:lineRule="exact"/>
              <w:ind w:firstLine="480" w:firstLineChars="200"/>
              <w:textAlignment w:val="auto"/>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b w:val="0"/>
                <w:bCs w:val="0"/>
                <w:color w:val="auto"/>
                <w:sz w:val="24"/>
                <w:highlight w:val="none"/>
                <w:lang w:val="en-US" w:eastAsia="zh-CN"/>
              </w:rPr>
              <w:t>现有项目劳动定员与环评阶段一致，其根据</w:t>
            </w:r>
            <w:r>
              <w:rPr>
                <w:rFonts w:hint="default" w:ascii="Times New Roman" w:hAnsi="Times New Roman" w:cs="Times New Roman" w:eastAsiaTheme="minorEastAsia"/>
                <w:b w:val="0"/>
                <w:bCs w:val="0"/>
                <w:color w:val="auto"/>
                <w:sz w:val="24"/>
                <w:highlight w:val="none"/>
              </w:rPr>
              <w:t>《云南錦创环境科技有限公司果蔬废弃物处理项目（重新报批）环境影响报告表》</w:t>
            </w:r>
            <w:r>
              <w:rPr>
                <w:rFonts w:hint="default" w:ascii="Times New Roman" w:hAnsi="Times New Roman" w:cs="Times New Roman" w:eastAsiaTheme="minorEastAsia"/>
                <w:b w:val="0"/>
                <w:bCs w:val="0"/>
                <w:color w:val="auto"/>
                <w:sz w:val="24"/>
                <w:highlight w:val="none"/>
                <w:lang w:eastAsia="zh-CN"/>
              </w:rPr>
              <w:t>，</w:t>
            </w:r>
            <w:r>
              <w:rPr>
                <w:rFonts w:hint="default" w:ascii="Times New Roman" w:hAnsi="Times New Roman" w:cs="Times New Roman" w:eastAsiaTheme="minorEastAsia"/>
                <w:color w:val="auto"/>
                <w:sz w:val="24"/>
                <w:highlight w:val="none"/>
              </w:rPr>
              <w:t>油烟经净化引至厨房油烟集中排烟管道，由员工食堂屋顶1.5m高排气筒排放，排放浓度约为1.69mg/m</w:t>
            </w:r>
            <w:r>
              <w:rPr>
                <w:rFonts w:hint="default" w:ascii="Times New Roman" w:hAnsi="Times New Roman" w:cs="Times New Roman" w:eastAsiaTheme="minorEastAsia"/>
                <w:color w:val="auto"/>
                <w:sz w:val="24"/>
                <w:highlight w:val="none"/>
                <w:vertAlign w:val="superscript"/>
              </w:rPr>
              <w:t>3</w:t>
            </w:r>
            <w:r>
              <w:rPr>
                <w:rFonts w:hint="default" w:ascii="Times New Roman" w:hAnsi="Times New Roman" w:cs="Times New Roman" w:eastAsiaTheme="minorEastAsia"/>
                <w:color w:val="auto"/>
                <w:sz w:val="24"/>
                <w:highlight w:val="none"/>
              </w:rPr>
              <w:t>，达到《饮食业油烟排放标准（试行）》（GB18483-2001）中的有关规定即排放浓度≤2mg/m</w:t>
            </w:r>
            <w:r>
              <w:rPr>
                <w:rFonts w:hint="default" w:ascii="Times New Roman" w:hAnsi="Times New Roman" w:cs="Times New Roman" w:eastAsiaTheme="minorEastAsia"/>
                <w:color w:val="auto"/>
                <w:sz w:val="24"/>
                <w:highlight w:val="none"/>
                <w:vertAlign w:val="superscript"/>
              </w:rPr>
              <w:t>3</w:t>
            </w:r>
            <w:r>
              <w:rPr>
                <w:rFonts w:hint="default" w:ascii="Times New Roman" w:hAnsi="Times New Roman" w:cs="Times New Roman" w:eastAsiaTheme="minorEastAsia"/>
                <w:color w:val="auto"/>
                <w:sz w:val="24"/>
                <w:highlight w:val="none"/>
              </w:rPr>
              <w:t>。排放量约0.0054kg/d，1.8kg/a。</w:t>
            </w:r>
          </w:p>
          <w:p w14:paraId="6DF0A20F">
            <w:pPr>
              <w:keepNext w:val="0"/>
              <w:keepLines w:val="0"/>
              <w:pageBreakBefore w:val="0"/>
              <w:kinsoku/>
              <w:wordWrap/>
              <w:overflowPunct/>
              <w:topLinePunct w:val="0"/>
              <w:bidi w:val="0"/>
              <w:adjustRightInd w:val="0"/>
              <w:snapToGrid w:val="0"/>
              <w:spacing w:line="440" w:lineRule="exact"/>
              <w:ind w:firstLine="482" w:firstLineChars="200"/>
              <w:textAlignment w:val="baseline"/>
              <w:outlineLvl w:val="1"/>
              <w:rPr>
                <w:rFonts w:hint="default" w:ascii="Times New Roman" w:hAnsi="Times New Roman" w:cs="Times New Roman" w:eastAsiaTheme="minorEastAsia"/>
                <w:b/>
                <w:bCs/>
                <w:color w:val="auto"/>
                <w:sz w:val="24"/>
                <w:highlight w:val="none"/>
              </w:rPr>
            </w:pPr>
            <w:bookmarkStart w:id="32" w:name="_Toc16244"/>
            <w:bookmarkStart w:id="33" w:name="_Toc8782"/>
            <w:bookmarkStart w:id="34" w:name="_Toc14883"/>
            <w:bookmarkStart w:id="35" w:name="_Toc21178"/>
            <w:bookmarkStart w:id="36" w:name="_Toc21902"/>
            <w:r>
              <w:rPr>
                <w:rFonts w:hint="default" w:ascii="Times New Roman" w:hAnsi="Times New Roman" w:cs="Times New Roman" w:eastAsiaTheme="minorEastAsia"/>
                <w:b/>
                <w:bCs/>
                <w:color w:val="auto"/>
                <w:sz w:val="24"/>
                <w:highlight w:val="none"/>
              </w:rPr>
              <w:t>③尿素喷淋脱硝逃逸NH</w:t>
            </w:r>
            <w:r>
              <w:rPr>
                <w:rFonts w:hint="default" w:ascii="Times New Roman" w:hAnsi="Times New Roman" w:cs="Times New Roman" w:eastAsiaTheme="minorEastAsia"/>
                <w:b/>
                <w:bCs/>
                <w:color w:val="auto"/>
                <w:sz w:val="24"/>
                <w:highlight w:val="none"/>
                <w:vertAlign w:val="subscript"/>
              </w:rPr>
              <w:t>3</w:t>
            </w:r>
          </w:p>
          <w:p w14:paraId="3D748FBF">
            <w:pPr>
              <w:keepNext w:val="0"/>
              <w:keepLines w:val="0"/>
              <w:pageBreakBefore w:val="0"/>
              <w:kinsoku/>
              <w:wordWrap/>
              <w:overflowPunct/>
              <w:topLinePunct w:val="0"/>
              <w:bidi w:val="0"/>
              <w:adjustRightInd w:val="0"/>
              <w:snapToGrid w:val="0"/>
              <w:spacing w:line="440" w:lineRule="exact"/>
              <w:ind w:firstLine="480" w:firstLineChars="200"/>
              <w:textAlignment w:val="baseline"/>
              <w:outlineLvl w:val="1"/>
              <w:rPr>
                <w:rFonts w:hint="default" w:ascii="Times New Roman" w:hAnsi="Times New Roman" w:cs="Times New Roman" w:eastAsiaTheme="minorEastAsia"/>
                <w:b w:val="0"/>
                <w:bCs w:val="0"/>
                <w:color w:val="auto"/>
                <w:sz w:val="24"/>
                <w:highlight w:val="none"/>
              </w:rPr>
            </w:pPr>
            <w:r>
              <w:rPr>
                <w:rFonts w:hint="default" w:ascii="Times New Roman" w:hAnsi="Times New Roman" w:cs="Times New Roman" w:eastAsiaTheme="minorEastAsia"/>
                <w:b w:val="0"/>
                <w:bCs w:val="0"/>
                <w:color w:val="auto"/>
                <w:sz w:val="24"/>
                <w:highlight w:val="none"/>
              </w:rPr>
              <w:t>尿素喷淋脱硝是利用还原剂与烟气中的氮氧化物发生化学反应，生成氮气和水的一种脱硝工艺，本项目利用尿素作为还原剂，因逃逸NH</w:t>
            </w:r>
            <w:r>
              <w:rPr>
                <w:rFonts w:hint="default" w:ascii="Times New Roman" w:hAnsi="Times New Roman" w:cs="Times New Roman" w:eastAsiaTheme="minorEastAsia"/>
                <w:b w:val="0"/>
                <w:bCs w:val="0"/>
                <w:color w:val="auto"/>
                <w:sz w:val="24"/>
                <w:highlight w:val="none"/>
                <w:vertAlign w:val="subscript"/>
              </w:rPr>
              <w:t>3</w:t>
            </w:r>
            <w:r>
              <w:rPr>
                <w:rFonts w:hint="default" w:ascii="Times New Roman" w:hAnsi="Times New Roman" w:cs="Times New Roman" w:eastAsiaTheme="minorEastAsia"/>
                <w:b w:val="0"/>
                <w:bCs w:val="0"/>
                <w:color w:val="auto"/>
                <w:sz w:val="24"/>
                <w:highlight w:val="none"/>
              </w:rPr>
              <w:t>产生机理比较复杂，本次评价做定性分析，不进行定量核算。</w:t>
            </w:r>
          </w:p>
          <w:p w14:paraId="4C2EA602">
            <w:pPr>
              <w:keepNext w:val="0"/>
              <w:keepLines w:val="0"/>
              <w:pageBreakBefore w:val="0"/>
              <w:widowControl w:val="0"/>
              <w:kinsoku/>
              <w:wordWrap/>
              <w:overflowPunct/>
              <w:topLinePunct w:val="0"/>
              <w:autoSpaceDE/>
              <w:autoSpaceDN/>
              <w:bidi w:val="0"/>
              <w:adjustRightInd w:val="0"/>
              <w:snapToGrid w:val="0"/>
              <w:spacing w:line="320" w:lineRule="exact"/>
              <w:ind w:firstLine="422" w:firstLineChars="200"/>
              <w:jc w:val="center"/>
              <w:textAlignment w:val="baseline"/>
              <w:outlineLvl w:val="1"/>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表2-18  现有项目废气排放量核算</w:t>
            </w:r>
          </w:p>
          <w:tbl>
            <w:tblPr>
              <w:tblStyle w:val="26"/>
              <w:tblW w:w="49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1701"/>
              <w:gridCol w:w="1980"/>
              <w:gridCol w:w="2170"/>
              <w:gridCol w:w="1953"/>
            </w:tblGrid>
            <w:tr w14:paraId="5E04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vAlign w:val="center"/>
                </w:tcPr>
                <w:p w14:paraId="0987C523">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b/>
                      <w:bCs/>
                      <w:color w:val="auto"/>
                      <w:szCs w:val="21"/>
                      <w:highlight w:val="none"/>
                    </w:rPr>
                  </w:pPr>
                  <w:r>
                    <w:rPr>
                      <w:b/>
                      <w:bCs/>
                      <w:color w:val="auto"/>
                      <w:szCs w:val="21"/>
                      <w:highlight w:val="none"/>
                    </w:rPr>
                    <w:t>编号</w:t>
                  </w:r>
                </w:p>
              </w:tc>
              <w:tc>
                <w:tcPr>
                  <w:tcW w:w="1000" w:type="pct"/>
                  <w:vAlign w:val="center"/>
                </w:tcPr>
                <w:p w14:paraId="03D7F4A3">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b/>
                      <w:bCs/>
                      <w:color w:val="auto"/>
                      <w:szCs w:val="21"/>
                      <w:highlight w:val="none"/>
                      <w:lang w:val="en-US" w:eastAsia="zh-CN"/>
                    </w:rPr>
                  </w:pPr>
                  <w:r>
                    <w:rPr>
                      <w:rFonts w:hint="eastAsia"/>
                      <w:b/>
                      <w:bCs/>
                      <w:color w:val="auto"/>
                      <w:szCs w:val="21"/>
                      <w:highlight w:val="none"/>
                      <w:lang w:val="en-US" w:eastAsia="zh-CN"/>
                    </w:rPr>
                    <w:t>污染物</w:t>
                  </w:r>
                </w:p>
              </w:tc>
              <w:tc>
                <w:tcPr>
                  <w:tcW w:w="1164" w:type="pct"/>
                  <w:vAlign w:val="center"/>
                </w:tcPr>
                <w:p w14:paraId="41ECA96B">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b/>
                      <w:bCs/>
                      <w:color w:val="auto"/>
                      <w:szCs w:val="21"/>
                      <w:highlight w:val="none"/>
                      <w:lang w:val="en-US" w:eastAsia="zh-CN"/>
                    </w:rPr>
                  </w:pPr>
                  <w:r>
                    <w:rPr>
                      <w:rFonts w:hint="eastAsia"/>
                      <w:b/>
                      <w:bCs/>
                      <w:color w:val="auto"/>
                      <w:szCs w:val="21"/>
                      <w:highlight w:val="none"/>
                      <w:lang w:val="en-US" w:eastAsia="zh-CN"/>
                    </w:rPr>
                    <w:t>无组织</w:t>
                  </w:r>
                </w:p>
              </w:tc>
              <w:tc>
                <w:tcPr>
                  <w:tcW w:w="1276" w:type="pct"/>
                  <w:vAlign w:val="center"/>
                </w:tcPr>
                <w:p w14:paraId="341F4892">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b/>
                      <w:bCs/>
                      <w:color w:val="auto"/>
                      <w:szCs w:val="21"/>
                      <w:highlight w:val="none"/>
                      <w:lang w:val="en-US" w:eastAsia="zh-CN"/>
                    </w:rPr>
                  </w:pPr>
                  <w:r>
                    <w:rPr>
                      <w:rFonts w:hint="eastAsia"/>
                      <w:b/>
                      <w:bCs/>
                      <w:color w:val="auto"/>
                      <w:szCs w:val="21"/>
                      <w:highlight w:val="none"/>
                      <w:lang w:val="en-US" w:eastAsia="zh-CN"/>
                    </w:rPr>
                    <w:t>有组织</w:t>
                  </w:r>
                </w:p>
              </w:tc>
              <w:tc>
                <w:tcPr>
                  <w:tcW w:w="1148" w:type="pct"/>
                  <w:vAlign w:val="center"/>
                </w:tcPr>
                <w:p w14:paraId="22CE7685">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b/>
                      <w:bCs/>
                      <w:color w:val="auto"/>
                      <w:szCs w:val="21"/>
                      <w:highlight w:val="none"/>
                      <w:lang w:val="en-US" w:eastAsia="zh-CN"/>
                    </w:rPr>
                  </w:pPr>
                  <w:r>
                    <w:rPr>
                      <w:rFonts w:hint="eastAsia"/>
                      <w:b/>
                      <w:bCs/>
                      <w:color w:val="auto"/>
                      <w:szCs w:val="21"/>
                      <w:highlight w:val="none"/>
                      <w:lang w:val="en-US" w:eastAsia="zh-CN"/>
                    </w:rPr>
                    <w:t>合计</w:t>
                  </w:r>
                </w:p>
              </w:tc>
            </w:tr>
            <w:tr w14:paraId="4F601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vAlign w:val="center"/>
                </w:tcPr>
                <w:p w14:paraId="319CEFDB">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color w:val="auto"/>
                      <w:szCs w:val="21"/>
                      <w:highlight w:val="none"/>
                    </w:rPr>
                  </w:pPr>
                  <w:r>
                    <w:rPr>
                      <w:color w:val="auto"/>
                      <w:szCs w:val="21"/>
                      <w:highlight w:val="none"/>
                    </w:rPr>
                    <w:t>1</w:t>
                  </w:r>
                </w:p>
              </w:tc>
              <w:tc>
                <w:tcPr>
                  <w:tcW w:w="1000" w:type="pct"/>
                  <w:vAlign w:val="center"/>
                </w:tcPr>
                <w:p w14:paraId="2BA7AF37">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氨</w:t>
                  </w:r>
                </w:p>
              </w:tc>
              <w:tc>
                <w:tcPr>
                  <w:tcW w:w="1164" w:type="pct"/>
                  <w:vAlign w:val="center"/>
                </w:tcPr>
                <w:p w14:paraId="36E92CC6">
                  <w:pPr>
                    <w:keepNext w:val="0"/>
                    <w:keepLines w:val="0"/>
                    <w:pageBreakBefore w:val="0"/>
                    <w:widowControl w:val="0"/>
                    <w:kinsoku/>
                    <w:wordWrap/>
                    <w:overflowPunct/>
                    <w:topLinePunct w:val="0"/>
                    <w:autoSpaceDE/>
                    <w:autoSpaceDN/>
                    <w:bidi w:val="0"/>
                    <w:adjustRightIn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1.739</w:t>
                  </w:r>
                </w:p>
              </w:tc>
              <w:tc>
                <w:tcPr>
                  <w:tcW w:w="1276" w:type="pct"/>
                  <w:vAlign w:val="center"/>
                </w:tcPr>
                <w:p w14:paraId="62665C8B">
                  <w:pPr>
                    <w:keepNext w:val="0"/>
                    <w:keepLines w:val="0"/>
                    <w:pageBreakBefore w:val="0"/>
                    <w:widowControl w:val="0"/>
                    <w:kinsoku/>
                    <w:wordWrap/>
                    <w:overflowPunct/>
                    <w:topLinePunct w:val="0"/>
                    <w:autoSpaceDE/>
                    <w:autoSpaceDN/>
                    <w:bidi w:val="0"/>
                    <w:adjustRightIn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0.368</w:t>
                  </w:r>
                </w:p>
              </w:tc>
              <w:tc>
                <w:tcPr>
                  <w:tcW w:w="1148" w:type="pct"/>
                  <w:vAlign w:val="center"/>
                </w:tcPr>
                <w:p w14:paraId="7565562D">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2.107</w:t>
                  </w:r>
                </w:p>
              </w:tc>
            </w:tr>
            <w:tr w14:paraId="7EFA8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vAlign w:val="center"/>
                </w:tcPr>
                <w:p w14:paraId="0D288DFA">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color w:val="auto"/>
                      <w:szCs w:val="21"/>
                      <w:highlight w:val="none"/>
                    </w:rPr>
                  </w:pPr>
                  <w:r>
                    <w:rPr>
                      <w:color w:val="auto"/>
                      <w:szCs w:val="21"/>
                      <w:highlight w:val="none"/>
                    </w:rPr>
                    <w:t>2</w:t>
                  </w:r>
                </w:p>
              </w:tc>
              <w:tc>
                <w:tcPr>
                  <w:tcW w:w="1000" w:type="pct"/>
                  <w:vAlign w:val="center"/>
                </w:tcPr>
                <w:p w14:paraId="59CA7270">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color w:val="auto"/>
                      <w:szCs w:val="21"/>
                      <w:highlight w:val="none"/>
                    </w:rPr>
                  </w:pPr>
                  <w:r>
                    <w:rPr>
                      <w:rFonts w:hint="eastAsia"/>
                      <w:color w:val="auto"/>
                      <w:szCs w:val="21"/>
                      <w:highlight w:val="none"/>
                      <w:lang w:val="en-US" w:eastAsia="zh-CN"/>
                    </w:rPr>
                    <w:t>硫化氢</w:t>
                  </w:r>
                </w:p>
              </w:tc>
              <w:tc>
                <w:tcPr>
                  <w:tcW w:w="1164" w:type="pct"/>
                  <w:vAlign w:val="center"/>
                </w:tcPr>
                <w:p w14:paraId="2281606F">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0.070</w:t>
                  </w:r>
                </w:p>
              </w:tc>
              <w:tc>
                <w:tcPr>
                  <w:tcW w:w="1276" w:type="pct"/>
                  <w:vAlign w:val="center"/>
                </w:tcPr>
                <w:p w14:paraId="73106F87">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0.109</w:t>
                  </w:r>
                </w:p>
              </w:tc>
              <w:tc>
                <w:tcPr>
                  <w:tcW w:w="1148" w:type="pct"/>
                  <w:vAlign w:val="center"/>
                </w:tcPr>
                <w:p w14:paraId="508E1EC3">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0.179</w:t>
                  </w:r>
                </w:p>
              </w:tc>
            </w:tr>
            <w:tr w14:paraId="6553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vAlign w:val="center"/>
                </w:tcPr>
                <w:p w14:paraId="22303D6A">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color w:val="auto"/>
                      <w:szCs w:val="21"/>
                      <w:highlight w:val="none"/>
                    </w:rPr>
                  </w:pPr>
                  <w:r>
                    <w:rPr>
                      <w:color w:val="auto"/>
                      <w:szCs w:val="21"/>
                      <w:highlight w:val="none"/>
                    </w:rPr>
                    <w:t>3</w:t>
                  </w:r>
                </w:p>
              </w:tc>
              <w:tc>
                <w:tcPr>
                  <w:tcW w:w="1000" w:type="pct"/>
                  <w:vAlign w:val="center"/>
                </w:tcPr>
                <w:p w14:paraId="2F95C1D1">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二氧化硫</w:t>
                  </w:r>
                </w:p>
              </w:tc>
              <w:tc>
                <w:tcPr>
                  <w:tcW w:w="1164" w:type="pct"/>
                  <w:vAlign w:val="center"/>
                </w:tcPr>
                <w:p w14:paraId="2FBF7C98">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w:t>
                  </w:r>
                </w:p>
              </w:tc>
              <w:tc>
                <w:tcPr>
                  <w:tcW w:w="1276" w:type="pct"/>
                  <w:vAlign w:val="center"/>
                </w:tcPr>
                <w:p w14:paraId="4DB8EE9D">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14.311</w:t>
                  </w:r>
                </w:p>
              </w:tc>
              <w:tc>
                <w:tcPr>
                  <w:tcW w:w="1148" w:type="pct"/>
                  <w:vAlign w:val="center"/>
                </w:tcPr>
                <w:p w14:paraId="05141DB2">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14.311</w:t>
                  </w:r>
                </w:p>
              </w:tc>
            </w:tr>
            <w:tr w14:paraId="248F6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vAlign w:val="center"/>
                </w:tcPr>
                <w:p w14:paraId="661A8583">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4</w:t>
                  </w:r>
                </w:p>
              </w:tc>
              <w:tc>
                <w:tcPr>
                  <w:tcW w:w="1000" w:type="pct"/>
                  <w:vAlign w:val="center"/>
                </w:tcPr>
                <w:p w14:paraId="1879913B">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氮氧化物</w:t>
                  </w:r>
                </w:p>
              </w:tc>
              <w:tc>
                <w:tcPr>
                  <w:tcW w:w="1164" w:type="pct"/>
                  <w:vAlign w:val="center"/>
                </w:tcPr>
                <w:p w14:paraId="4B889AC1">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w:t>
                  </w:r>
                </w:p>
              </w:tc>
              <w:tc>
                <w:tcPr>
                  <w:tcW w:w="1276" w:type="pct"/>
                  <w:vAlign w:val="center"/>
                </w:tcPr>
                <w:p w14:paraId="2018FBDA">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6.843</w:t>
                  </w:r>
                </w:p>
              </w:tc>
              <w:tc>
                <w:tcPr>
                  <w:tcW w:w="1148" w:type="pct"/>
                  <w:vAlign w:val="center"/>
                </w:tcPr>
                <w:p w14:paraId="5293F55D">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6.843</w:t>
                  </w:r>
                </w:p>
              </w:tc>
            </w:tr>
            <w:tr w14:paraId="5FB3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vAlign w:val="center"/>
                </w:tcPr>
                <w:p w14:paraId="3E802634">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5</w:t>
                  </w:r>
                </w:p>
              </w:tc>
              <w:tc>
                <w:tcPr>
                  <w:tcW w:w="1000" w:type="pct"/>
                  <w:vAlign w:val="center"/>
                </w:tcPr>
                <w:p w14:paraId="6C997DA9">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颗粒物</w:t>
                  </w:r>
                </w:p>
              </w:tc>
              <w:tc>
                <w:tcPr>
                  <w:tcW w:w="1164" w:type="pct"/>
                  <w:vAlign w:val="center"/>
                </w:tcPr>
                <w:p w14:paraId="61B95CC6">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w:t>
                  </w:r>
                </w:p>
              </w:tc>
              <w:tc>
                <w:tcPr>
                  <w:tcW w:w="1276" w:type="pct"/>
                  <w:vAlign w:val="center"/>
                </w:tcPr>
                <w:p w14:paraId="103D0768">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2.1317</w:t>
                  </w:r>
                </w:p>
              </w:tc>
              <w:tc>
                <w:tcPr>
                  <w:tcW w:w="1148" w:type="pct"/>
                  <w:vAlign w:val="center"/>
                </w:tcPr>
                <w:p w14:paraId="147A91D9">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2.1317</w:t>
                  </w:r>
                </w:p>
              </w:tc>
            </w:tr>
          </w:tbl>
          <w:p w14:paraId="0498A0AD">
            <w:pPr>
              <w:keepNext w:val="0"/>
              <w:keepLines w:val="0"/>
              <w:pageBreakBefore w:val="0"/>
              <w:kinsoku/>
              <w:wordWrap/>
              <w:overflowPunct/>
              <w:topLinePunct w:val="0"/>
              <w:bidi w:val="0"/>
              <w:adjustRightInd w:val="0"/>
              <w:snapToGrid w:val="0"/>
              <w:spacing w:line="440" w:lineRule="exact"/>
              <w:ind w:firstLine="482" w:firstLineChars="200"/>
              <w:textAlignment w:val="baseline"/>
              <w:outlineLvl w:val="1"/>
              <w:rPr>
                <w:b/>
                <w:bCs/>
                <w:color w:val="auto"/>
                <w:sz w:val="24"/>
                <w:highlight w:val="none"/>
              </w:rPr>
            </w:pPr>
            <w:r>
              <w:rPr>
                <w:rFonts w:hint="eastAsia"/>
                <w:b/>
                <w:bCs/>
                <w:color w:val="auto"/>
                <w:sz w:val="24"/>
                <w:highlight w:val="none"/>
              </w:rPr>
              <w:t>（3）</w:t>
            </w:r>
            <w:r>
              <w:rPr>
                <w:b/>
                <w:bCs/>
                <w:color w:val="auto"/>
                <w:sz w:val="24"/>
                <w:highlight w:val="none"/>
              </w:rPr>
              <w:t>噪声</w:t>
            </w:r>
            <w:bookmarkEnd w:id="32"/>
            <w:bookmarkEnd w:id="33"/>
            <w:bookmarkEnd w:id="34"/>
            <w:bookmarkEnd w:id="35"/>
            <w:bookmarkEnd w:id="36"/>
          </w:p>
          <w:p w14:paraId="4A3E09A0">
            <w:pPr>
              <w:keepNext w:val="0"/>
              <w:keepLines w:val="0"/>
              <w:pageBreakBefore w:val="0"/>
              <w:kinsoku/>
              <w:wordWrap/>
              <w:overflowPunct/>
              <w:topLinePunct w:val="0"/>
              <w:autoSpaceDE w:val="0"/>
              <w:autoSpaceDN w:val="0"/>
              <w:bidi w:val="0"/>
              <w:adjustRightInd w:val="0"/>
              <w:spacing w:line="440" w:lineRule="exact"/>
              <w:ind w:firstLine="480" w:firstLineChars="200"/>
              <w:rPr>
                <w:color w:val="auto"/>
                <w:sz w:val="24"/>
                <w:highlight w:val="none"/>
              </w:rPr>
            </w:pPr>
            <w:r>
              <w:rPr>
                <w:rFonts w:hint="eastAsia"/>
                <w:color w:val="auto"/>
                <w:sz w:val="24"/>
                <w:highlight w:val="none"/>
              </w:rPr>
              <w:t>现有工程</w:t>
            </w:r>
            <w:r>
              <w:rPr>
                <w:color w:val="auto"/>
                <w:sz w:val="24"/>
                <w:highlight w:val="none"/>
              </w:rPr>
              <w:t>项目运营期间产生的噪声主要来源于机械设备工作时产生的噪声，主要为</w:t>
            </w:r>
            <w:r>
              <w:rPr>
                <w:bCs/>
                <w:color w:val="auto"/>
                <w:kern w:val="0"/>
                <w:sz w:val="24"/>
                <w:highlight w:val="none"/>
                <w:lang w:bidi="ar"/>
              </w:rPr>
              <w:t>破碎分选机</w:t>
            </w:r>
            <w:r>
              <w:rPr>
                <w:color w:val="auto"/>
                <w:sz w:val="24"/>
                <w:highlight w:val="none"/>
              </w:rPr>
              <w:t>、压榨机、烘干机、引风机、冷却风机、粉碎机、打包机、固液分离机、潜水搅拌机、气浮一体机、鼓风机、板框压滤机等机械噪声，其噪声源类型为固定噪声源。根据建设方提供设备说明书，设备噪声强度在65~95dB（A）。</w:t>
            </w:r>
          </w:p>
          <w:p w14:paraId="6E58B994">
            <w:pPr>
              <w:keepNext w:val="0"/>
              <w:keepLines w:val="0"/>
              <w:pageBreakBefore w:val="0"/>
              <w:kinsoku/>
              <w:wordWrap/>
              <w:overflowPunct/>
              <w:topLinePunct w:val="0"/>
              <w:autoSpaceDE w:val="0"/>
              <w:autoSpaceDN w:val="0"/>
              <w:bidi w:val="0"/>
              <w:adjustRightInd w:val="0"/>
              <w:spacing w:line="440" w:lineRule="exact"/>
              <w:ind w:firstLine="480" w:firstLineChars="200"/>
              <w:rPr>
                <w:color w:val="auto"/>
                <w:highlight w:val="none"/>
              </w:rPr>
            </w:pPr>
            <w:r>
              <w:rPr>
                <w:color w:val="auto"/>
                <w:sz w:val="24"/>
                <w:highlight w:val="none"/>
              </w:rPr>
              <w:t>根据监测数据，项目建成后东、南、西、北面厂界昼间、夜间噪声贡献值均能满足《工业企业厂界环境噪声排放标准》（GB12348-2008）2类标准要求（即：昼间等效声级≤60dB（A）、夜间等效声级≤50dB（A））。</w:t>
            </w:r>
          </w:p>
          <w:p w14:paraId="5CD44D76">
            <w:pPr>
              <w:pStyle w:val="15"/>
              <w:keepNext w:val="0"/>
              <w:keepLines w:val="0"/>
              <w:pageBreakBefore w:val="0"/>
              <w:kinsoku/>
              <w:wordWrap/>
              <w:overflowPunct/>
              <w:topLinePunct w:val="0"/>
              <w:bidi w:val="0"/>
              <w:snapToGrid w:val="0"/>
              <w:spacing w:line="440" w:lineRule="exact"/>
              <w:ind w:firstLine="482" w:firstLineChars="200"/>
              <w:rPr>
                <w:rFonts w:ascii="Times New Roman"/>
                <w:b/>
                <w:bCs/>
                <w:color w:val="auto"/>
                <w:highlight w:val="none"/>
              </w:rPr>
            </w:pPr>
            <w:r>
              <w:rPr>
                <w:rFonts w:hint="eastAsia" w:ascii="Times New Roman"/>
                <w:b/>
                <w:bCs/>
                <w:color w:val="auto"/>
                <w:highlight w:val="none"/>
              </w:rPr>
              <w:t>（4）</w:t>
            </w:r>
            <w:r>
              <w:rPr>
                <w:rFonts w:ascii="Times New Roman"/>
                <w:b/>
                <w:bCs/>
                <w:color w:val="auto"/>
                <w:highlight w:val="none"/>
              </w:rPr>
              <w:t>固体废弃物</w:t>
            </w:r>
          </w:p>
          <w:p w14:paraId="57AC9AE2">
            <w:pPr>
              <w:keepNext w:val="0"/>
              <w:keepLines w:val="0"/>
              <w:pageBreakBefore w:val="0"/>
              <w:kinsoku/>
              <w:wordWrap/>
              <w:overflowPunct/>
              <w:topLinePunct w:val="0"/>
              <w:bidi w:val="0"/>
              <w:snapToGrid w:val="0"/>
              <w:spacing w:line="440" w:lineRule="exact"/>
              <w:ind w:firstLine="480" w:firstLineChars="200"/>
              <w:jc w:val="left"/>
              <w:rPr>
                <w:color w:val="auto"/>
                <w:sz w:val="24"/>
                <w:highlight w:val="none"/>
              </w:rPr>
            </w:pPr>
            <w:r>
              <w:rPr>
                <w:rFonts w:hint="eastAsia"/>
                <w:color w:val="auto"/>
                <w:kern w:val="0"/>
                <w:sz w:val="24"/>
                <w:highlight w:val="none"/>
                <w:lang w:bidi="ar"/>
              </w:rPr>
              <w:t>现有工程</w:t>
            </w:r>
            <w:r>
              <w:rPr>
                <w:color w:val="auto"/>
                <w:kern w:val="0"/>
                <w:sz w:val="24"/>
                <w:highlight w:val="none"/>
                <w:lang w:bidi="ar"/>
              </w:rPr>
              <w:t>项目运营期间产生的固体废物主要为生活垃圾、厨房废水隔油器废油、化粪池污泥、生产废水处理系统污泥和热风炉生物质燃烧灰渣、收尘渣、废矿物油等</w:t>
            </w:r>
            <w:r>
              <w:rPr>
                <w:rFonts w:hint="eastAsia"/>
                <w:color w:val="auto"/>
                <w:kern w:val="0"/>
                <w:sz w:val="24"/>
                <w:highlight w:val="none"/>
                <w:lang w:eastAsia="zh-CN" w:bidi="ar"/>
              </w:rPr>
              <w:t>，</w:t>
            </w:r>
            <w:r>
              <w:rPr>
                <w:rFonts w:hint="eastAsia"/>
                <w:color w:val="auto"/>
                <w:kern w:val="0"/>
                <w:sz w:val="24"/>
                <w:highlight w:val="none"/>
                <w:lang w:val="en-US" w:eastAsia="zh-CN" w:bidi="ar"/>
              </w:rPr>
              <w:t>其产生及处置情况如下</w:t>
            </w:r>
            <w:r>
              <w:rPr>
                <w:color w:val="auto"/>
                <w:kern w:val="0"/>
                <w:sz w:val="24"/>
                <w:highlight w:val="none"/>
                <w:lang w:bidi="ar"/>
              </w:rPr>
              <w:t>。</w:t>
            </w:r>
          </w:p>
          <w:p w14:paraId="13BEA2FA">
            <w:pPr>
              <w:keepNext w:val="0"/>
              <w:keepLines w:val="0"/>
              <w:pageBreakBefore w:val="0"/>
              <w:widowControl/>
              <w:kinsoku/>
              <w:wordWrap/>
              <w:overflowPunct/>
              <w:topLinePunct w:val="0"/>
              <w:bidi w:val="0"/>
              <w:spacing w:line="440" w:lineRule="exact"/>
              <w:ind w:firstLine="482" w:firstLineChars="200"/>
              <w:rPr>
                <w:b/>
                <w:bCs/>
                <w:color w:val="auto"/>
                <w:kern w:val="0"/>
                <w:sz w:val="24"/>
                <w:highlight w:val="none"/>
                <w:lang w:bidi="ar"/>
              </w:rPr>
            </w:pPr>
            <w:r>
              <w:rPr>
                <w:rFonts w:hint="eastAsia"/>
                <w:b/>
                <w:bCs/>
                <w:color w:val="auto"/>
                <w:kern w:val="0"/>
                <w:sz w:val="24"/>
                <w:highlight w:val="none"/>
                <w:lang w:bidi="ar"/>
              </w:rPr>
              <w:t>①</w:t>
            </w:r>
            <w:r>
              <w:rPr>
                <w:b/>
                <w:bCs/>
                <w:color w:val="auto"/>
                <w:kern w:val="0"/>
                <w:sz w:val="24"/>
                <w:highlight w:val="none"/>
                <w:lang w:bidi="ar"/>
              </w:rPr>
              <w:t>生活垃圾</w:t>
            </w:r>
          </w:p>
          <w:p w14:paraId="137F0041">
            <w:pPr>
              <w:keepNext w:val="0"/>
              <w:keepLines w:val="0"/>
              <w:pageBreakBefore w:val="0"/>
              <w:widowControl/>
              <w:kinsoku/>
              <w:wordWrap/>
              <w:overflowPunct/>
              <w:topLinePunct w:val="0"/>
              <w:bidi w:val="0"/>
              <w:spacing w:line="440" w:lineRule="exact"/>
              <w:ind w:firstLine="480" w:firstLineChars="200"/>
              <w:rPr>
                <w:color w:val="auto"/>
                <w:kern w:val="0"/>
                <w:sz w:val="24"/>
                <w:highlight w:val="none"/>
                <w:lang w:bidi="ar"/>
              </w:rPr>
            </w:pPr>
            <w:r>
              <w:rPr>
                <w:color w:val="auto"/>
                <w:kern w:val="0"/>
                <w:sz w:val="24"/>
                <w:highlight w:val="none"/>
                <w:lang w:bidi="ar"/>
              </w:rPr>
              <w:t>根据实际运行情况，生活垃圾产生量约20kg/d，6.67t/a；收集于垃圾桶内，定期委托环卫部门清运处置。</w:t>
            </w:r>
          </w:p>
          <w:p w14:paraId="0A397045">
            <w:pPr>
              <w:keepNext w:val="0"/>
              <w:keepLines w:val="0"/>
              <w:pageBreakBefore w:val="0"/>
              <w:widowControl/>
              <w:kinsoku/>
              <w:wordWrap/>
              <w:overflowPunct/>
              <w:topLinePunct w:val="0"/>
              <w:bidi w:val="0"/>
              <w:spacing w:line="440" w:lineRule="exact"/>
              <w:ind w:firstLine="482" w:firstLineChars="200"/>
              <w:rPr>
                <w:b/>
                <w:bCs/>
                <w:color w:val="auto"/>
                <w:kern w:val="0"/>
                <w:sz w:val="24"/>
                <w:highlight w:val="none"/>
                <w:lang w:bidi="ar"/>
              </w:rPr>
            </w:pPr>
            <w:r>
              <w:rPr>
                <w:rFonts w:hint="eastAsia"/>
                <w:b/>
                <w:bCs/>
                <w:color w:val="auto"/>
                <w:kern w:val="0"/>
                <w:sz w:val="24"/>
                <w:highlight w:val="none"/>
                <w:lang w:bidi="ar"/>
              </w:rPr>
              <w:t>②</w:t>
            </w:r>
            <w:r>
              <w:rPr>
                <w:b/>
                <w:bCs/>
                <w:color w:val="auto"/>
                <w:kern w:val="0"/>
                <w:sz w:val="24"/>
                <w:highlight w:val="none"/>
                <w:lang w:bidi="ar"/>
              </w:rPr>
              <w:t>厨房废水隔油器废油</w:t>
            </w:r>
          </w:p>
          <w:p w14:paraId="5894B273">
            <w:pPr>
              <w:pStyle w:val="15"/>
              <w:keepNext w:val="0"/>
              <w:keepLines w:val="0"/>
              <w:pageBreakBefore w:val="0"/>
              <w:kinsoku/>
              <w:wordWrap/>
              <w:overflowPunct/>
              <w:topLinePunct w:val="0"/>
              <w:bidi w:val="0"/>
              <w:spacing w:line="440" w:lineRule="exact"/>
              <w:ind w:firstLine="464" w:firstLineChars="200"/>
              <w:rPr>
                <w:rFonts w:ascii="Times New Roman"/>
                <w:color w:val="auto"/>
                <w:kern w:val="0"/>
                <w:highlight w:val="none"/>
                <w:lang w:bidi="ar"/>
              </w:rPr>
            </w:pPr>
            <w:r>
              <w:rPr>
                <w:rFonts w:ascii="Times New Roman"/>
                <w:color w:val="auto"/>
                <w:spacing w:val="-4"/>
                <w:highlight w:val="none"/>
              </w:rPr>
              <w:t>根据实际运行情况，隔油箱</w:t>
            </w:r>
            <w:r>
              <w:rPr>
                <w:rFonts w:ascii="Times New Roman"/>
                <w:color w:val="auto"/>
                <w:spacing w:val="-5"/>
                <w:highlight w:val="none"/>
              </w:rPr>
              <w:t>预处理废油</w:t>
            </w:r>
            <w:r>
              <w:rPr>
                <w:rFonts w:ascii="Times New Roman"/>
                <w:color w:val="auto"/>
                <w:spacing w:val="-4"/>
                <w:highlight w:val="none"/>
              </w:rPr>
              <w:t>为0.10</w:t>
            </w:r>
            <w:r>
              <w:rPr>
                <w:rFonts w:ascii="Times New Roman" w:eastAsia="Times New Roman"/>
                <w:color w:val="auto"/>
                <w:spacing w:val="-4"/>
                <w:highlight w:val="none"/>
              </w:rPr>
              <w:t>kg/</w:t>
            </w:r>
            <w:r>
              <w:rPr>
                <w:rFonts w:ascii="Times New Roman" w:eastAsia="Times New Roman"/>
                <w:color w:val="auto"/>
                <w:spacing w:val="-5"/>
                <w:highlight w:val="none"/>
              </w:rPr>
              <w:t>d</w:t>
            </w:r>
            <w:r>
              <w:rPr>
                <w:rFonts w:ascii="Times New Roman"/>
                <w:color w:val="auto"/>
                <w:spacing w:val="-32"/>
                <w:highlight w:val="none"/>
              </w:rPr>
              <w:t>，</w:t>
            </w:r>
            <w:r>
              <w:rPr>
                <w:rFonts w:ascii="Times New Roman"/>
                <w:color w:val="auto"/>
                <w:spacing w:val="-5"/>
                <w:highlight w:val="none"/>
              </w:rPr>
              <w:t>0.03</w:t>
            </w:r>
            <w:r>
              <w:rPr>
                <w:rFonts w:ascii="Times New Roman" w:eastAsia="Times New Roman"/>
                <w:color w:val="auto"/>
                <w:spacing w:val="-5"/>
                <w:highlight w:val="none"/>
              </w:rPr>
              <w:t>t/a</w:t>
            </w:r>
            <w:r>
              <w:rPr>
                <w:rFonts w:ascii="Times New Roman"/>
                <w:color w:val="auto"/>
                <w:spacing w:val="3"/>
                <w:highlight w:val="none"/>
              </w:rPr>
              <w:t>。</w:t>
            </w:r>
            <w:r>
              <w:rPr>
                <w:rFonts w:ascii="Times New Roman"/>
                <w:color w:val="auto"/>
                <w:kern w:val="0"/>
                <w:highlight w:val="none"/>
                <w:lang w:bidi="ar"/>
              </w:rPr>
              <w:t>收集于专用带盖塑料桶内，定期</w:t>
            </w:r>
            <w:r>
              <w:rPr>
                <w:rFonts w:ascii="Times New Roman"/>
                <w:color w:val="auto"/>
                <w:highlight w:val="none"/>
              </w:rPr>
              <w:t>委托有资质单位</w:t>
            </w:r>
            <w:r>
              <w:rPr>
                <w:rFonts w:ascii="Times New Roman"/>
                <w:color w:val="auto"/>
                <w:kern w:val="0"/>
                <w:highlight w:val="none"/>
                <w:lang w:bidi="ar"/>
              </w:rPr>
              <w:t>清运处置。</w:t>
            </w:r>
          </w:p>
          <w:p w14:paraId="5B8EC622">
            <w:pPr>
              <w:keepNext w:val="0"/>
              <w:keepLines w:val="0"/>
              <w:pageBreakBefore w:val="0"/>
              <w:widowControl/>
              <w:kinsoku/>
              <w:wordWrap/>
              <w:overflowPunct/>
              <w:topLinePunct w:val="0"/>
              <w:bidi w:val="0"/>
              <w:spacing w:line="440" w:lineRule="exact"/>
              <w:ind w:firstLine="482" w:firstLineChars="200"/>
              <w:rPr>
                <w:b/>
                <w:bCs/>
                <w:color w:val="auto"/>
                <w:kern w:val="0"/>
                <w:sz w:val="24"/>
                <w:highlight w:val="none"/>
                <w:lang w:bidi="ar"/>
              </w:rPr>
            </w:pPr>
            <w:r>
              <w:rPr>
                <w:rFonts w:hint="eastAsia"/>
                <w:b/>
                <w:bCs/>
                <w:color w:val="auto"/>
                <w:kern w:val="0"/>
                <w:sz w:val="24"/>
                <w:highlight w:val="none"/>
                <w:lang w:bidi="ar"/>
              </w:rPr>
              <w:t>③</w:t>
            </w:r>
            <w:r>
              <w:rPr>
                <w:b/>
                <w:bCs/>
                <w:color w:val="auto"/>
                <w:kern w:val="0"/>
                <w:sz w:val="24"/>
                <w:highlight w:val="none"/>
                <w:lang w:bidi="ar"/>
              </w:rPr>
              <w:t>厨余垃圾</w:t>
            </w:r>
          </w:p>
          <w:p w14:paraId="0F53F6D2">
            <w:pPr>
              <w:keepNext w:val="0"/>
              <w:keepLines w:val="0"/>
              <w:pageBreakBefore w:val="0"/>
              <w:kinsoku/>
              <w:wordWrap/>
              <w:overflowPunct/>
              <w:topLinePunct w:val="0"/>
              <w:bidi w:val="0"/>
              <w:spacing w:line="440" w:lineRule="exact"/>
              <w:ind w:firstLine="480" w:firstLineChars="200"/>
              <w:rPr>
                <w:color w:val="auto"/>
                <w:sz w:val="24"/>
                <w:highlight w:val="none"/>
              </w:rPr>
            </w:pPr>
            <w:r>
              <w:rPr>
                <w:color w:val="auto"/>
                <w:sz w:val="24"/>
                <w:highlight w:val="none"/>
              </w:rPr>
              <w:t>厨余垃圾主要为厨房泔水及剩菜剩饭等，根据实际运行情况，厨余垃圾产生量约5kg/d，1.67t/a。使用泔水桶收集厨余垃圾，之后委托有资质单位清运处置。</w:t>
            </w:r>
          </w:p>
          <w:p w14:paraId="2330A26B">
            <w:pPr>
              <w:keepNext w:val="0"/>
              <w:keepLines w:val="0"/>
              <w:pageBreakBefore w:val="0"/>
              <w:widowControl/>
              <w:kinsoku/>
              <w:wordWrap/>
              <w:overflowPunct/>
              <w:topLinePunct w:val="0"/>
              <w:bidi w:val="0"/>
              <w:spacing w:line="440" w:lineRule="exact"/>
              <w:ind w:firstLine="482" w:firstLineChars="200"/>
              <w:rPr>
                <w:b/>
                <w:bCs/>
                <w:color w:val="auto"/>
                <w:kern w:val="0"/>
                <w:sz w:val="24"/>
                <w:highlight w:val="none"/>
                <w:lang w:bidi="ar"/>
              </w:rPr>
            </w:pPr>
            <w:r>
              <w:rPr>
                <w:rFonts w:hint="eastAsia"/>
                <w:b/>
                <w:bCs/>
                <w:color w:val="auto"/>
                <w:kern w:val="0"/>
                <w:sz w:val="24"/>
                <w:highlight w:val="none"/>
                <w:lang w:bidi="ar"/>
              </w:rPr>
              <w:t>④</w:t>
            </w:r>
            <w:r>
              <w:rPr>
                <w:b/>
                <w:bCs/>
                <w:color w:val="auto"/>
                <w:kern w:val="0"/>
                <w:sz w:val="24"/>
                <w:highlight w:val="none"/>
                <w:lang w:bidi="ar"/>
              </w:rPr>
              <w:t>化粪池污泥</w:t>
            </w:r>
          </w:p>
          <w:p w14:paraId="1BD3AB54">
            <w:pPr>
              <w:keepNext w:val="0"/>
              <w:keepLines w:val="0"/>
              <w:pageBreakBefore w:val="0"/>
              <w:widowControl/>
              <w:kinsoku/>
              <w:wordWrap/>
              <w:overflowPunct/>
              <w:topLinePunct w:val="0"/>
              <w:bidi w:val="0"/>
              <w:spacing w:line="440" w:lineRule="exact"/>
              <w:ind w:firstLine="480" w:firstLineChars="200"/>
              <w:rPr>
                <w:color w:val="auto"/>
                <w:kern w:val="0"/>
                <w:sz w:val="24"/>
                <w:highlight w:val="none"/>
                <w:lang w:bidi="ar"/>
              </w:rPr>
            </w:pPr>
            <w:r>
              <w:rPr>
                <w:rFonts w:hint="eastAsia"/>
                <w:color w:val="auto"/>
                <w:kern w:val="0"/>
                <w:sz w:val="24"/>
                <w:highlight w:val="none"/>
                <w:lang w:val="en-US" w:eastAsia="zh-CN" w:bidi="ar"/>
              </w:rPr>
              <w:t>现有</w:t>
            </w:r>
            <w:r>
              <w:rPr>
                <w:color w:val="auto"/>
                <w:kern w:val="0"/>
                <w:sz w:val="24"/>
                <w:highlight w:val="none"/>
                <w:lang w:bidi="ar"/>
              </w:rPr>
              <w:t>项目化粪池污泥产生量约2.72kg/d，0.9058t/a，定期委托环卫部门清掏处置。</w:t>
            </w:r>
          </w:p>
          <w:p w14:paraId="226081CB">
            <w:pPr>
              <w:keepNext w:val="0"/>
              <w:keepLines w:val="0"/>
              <w:pageBreakBefore w:val="0"/>
              <w:widowControl/>
              <w:kinsoku/>
              <w:wordWrap/>
              <w:overflowPunct/>
              <w:topLinePunct w:val="0"/>
              <w:bidi w:val="0"/>
              <w:spacing w:line="440" w:lineRule="exact"/>
              <w:ind w:firstLine="482" w:firstLineChars="200"/>
              <w:rPr>
                <w:b/>
                <w:bCs/>
                <w:color w:val="auto"/>
                <w:kern w:val="0"/>
                <w:sz w:val="24"/>
                <w:highlight w:val="none"/>
                <w:lang w:bidi="ar"/>
              </w:rPr>
            </w:pPr>
            <w:r>
              <w:rPr>
                <w:rFonts w:hint="eastAsia"/>
                <w:b/>
                <w:bCs/>
                <w:color w:val="auto"/>
                <w:kern w:val="0"/>
                <w:sz w:val="24"/>
                <w:highlight w:val="none"/>
                <w:lang w:bidi="ar"/>
              </w:rPr>
              <w:t>⑤</w:t>
            </w:r>
            <w:r>
              <w:rPr>
                <w:b/>
                <w:bCs/>
                <w:color w:val="auto"/>
                <w:kern w:val="0"/>
                <w:sz w:val="24"/>
                <w:highlight w:val="none"/>
                <w:lang w:bidi="ar"/>
              </w:rPr>
              <w:t>生产废水处理系统污泥</w:t>
            </w:r>
          </w:p>
          <w:p w14:paraId="6B601F23">
            <w:pPr>
              <w:keepNext w:val="0"/>
              <w:keepLines w:val="0"/>
              <w:pageBreakBefore w:val="0"/>
              <w:widowControl/>
              <w:kinsoku/>
              <w:wordWrap/>
              <w:overflowPunct/>
              <w:topLinePunct w:val="0"/>
              <w:bidi w:val="0"/>
              <w:spacing w:line="440" w:lineRule="exact"/>
              <w:ind w:firstLine="480" w:firstLineChars="200"/>
              <w:rPr>
                <w:color w:val="auto"/>
                <w:kern w:val="0"/>
                <w:sz w:val="24"/>
                <w:highlight w:val="none"/>
                <w:lang w:bidi="ar"/>
              </w:rPr>
            </w:pPr>
            <w:r>
              <w:rPr>
                <w:color w:val="auto"/>
                <w:kern w:val="0"/>
                <w:sz w:val="24"/>
                <w:highlight w:val="none"/>
                <w:lang w:bidi="ar"/>
              </w:rPr>
              <w:t>根据设计资料，生产废水处理系统污泥池产生的污泥约</w:t>
            </w:r>
            <w:r>
              <w:rPr>
                <w:color w:val="auto"/>
                <w:sz w:val="24"/>
                <w:highlight w:val="none"/>
              </w:rPr>
              <w:t>2t/a，送至叠螺机进行脱水处理后，检查已达《城镇污水处理厂污染物排放标准》GB18918-2002中表6污泥农用时污染物控制标准限值后，运往</w:t>
            </w:r>
            <w:bookmarkStart w:id="37" w:name="_Hlk177223121"/>
            <w:r>
              <w:rPr>
                <w:color w:val="auto"/>
                <w:sz w:val="24"/>
                <w:highlight w:val="none"/>
              </w:rPr>
              <w:t>云南龙氏肥业有限公司</w:t>
            </w:r>
            <w:bookmarkEnd w:id="37"/>
            <w:r>
              <w:rPr>
                <w:color w:val="auto"/>
                <w:sz w:val="24"/>
                <w:highlight w:val="none"/>
              </w:rPr>
              <w:t>处置，已签订相关协议</w:t>
            </w:r>
            <w:r>
              <w:rPr>
                <w:color w:val="auto"/>
                <w:kern w:val="0"/>
                <w:sz w:val="24"/>
                <w:highlight w:val="none"/>
                <w:lang w:bidi="ar"/>
              </w:rPr>
              <w:t>。云南龙氏肥业有限公司已取得《云南龙氏有机固废无害化及资源化利用项目竣工环境保护验收意见》</w:t>
            </w:r>
            <w:r>
              <w:rPr>
                <w:rFonts w:hint="eastAsia"/>
                <w:color w:val="auto"/>
                <w:kern w:val="0"/>
                <w:sz w:val="24"/>
                <w:highlight w:val="none"/>
                <w:lang w:bidi="ar"/>
              </w:rPr>
              <w:t>。</w:t>
            </w:r>
          </w:p>
          <w:p w14:paraId="61976C1C">
            <w:pPr>
              <w:keepNext w:val="0"/>
              <w:keepLines w:val="0"/>
              <w:pageBreakBefore w:val="0"/>
              <w:widowControl/>
              <w:kinsoku/>
              <w:wordWrap/>
              <w:overflowPunct/>
              <w:topLinePunct w:val="0"/>
              <w:bidi w:val="0"/>
              <w:spacing w:line="440" w:lineRule="exact"/>
              <w:ind w:firstLine="482" w:firstLineChars="200"/>
              <w:rPr>
                <w:b/>
                <w:bCs/>
                <w:color w:val="auto"/>
                <w:kern w:val="0"/>
                <w:sz w:val="24"/>
                <w:highlight w:val="none"/>
                <w:lang w:bidi="ar"/>
              </w:rPr>
            </w:pPr>
            <w:r>
              <w:rPr>
                <w:rFonts w:hint="eastAsia"/>
                <w:b/>
                <w:bCs/>
                <w:color w:val="auto"/>
                <w:kern w:val="0"/>
                <w:sz w:val="24"/>
                <w:highlight w:val="none"/>
                <w:lang w:bidi="ar"/>
              </w:rPr>
              <w:t>⑥</w:t>
            </w:r>
            <w:r>
              <w:rPr>
                <w:b/>
                <w:bCs/>
                <w:color w:val="auto"/>
                <w:kern w:val="0"/>
                <w:sz w:val="24"/>
                <w:highlight w:val="none"/>
                <w:lang w:bidi="ar"/>
              </w:rPr>
              <w:t>热风炉生物质燃烧灰渣</w:t>
            </w:r>
          </w:p>
          <w:p w14:paraId="091B6BAE">
            <w:pPr>
              <w:keepNext w:val="0"/>
              <w:keepLines w:val="0"/>
              <w:pageBreakBefore w:val="0"/>
              <w:widowControl/>
              <w:kinsoku/>
              <w:wordWrap/>
              <w:overflowPunct/>
              <w:topLinePunct w:val="0"/>
              <w:bidi w:val="0"/>
              <w:spacing w:line="440" w:lineRule="exact"/>
              <w:ind w:firstLine="480" w:firstLineChars="200"/>
              <w:rPr>
                <w:color w:val="auto"/>
                <w:kern w:val="0"/>
                <w:sz w:val="24"/>
                <w:highlight w:val="none"/>
                <w:lang w:bidi="ar"/>
              </w:rPr>
            </w:pPr>
            <w:r>
              <w:rPr>
                <w:color w:val="auto"/>
                <w:kern w:val="0"/>
                <w:sz w:val="24"/>
                <w:highlight w:val="none"/>
                <w:lang w:bidi="ar"/>
              </w:rPr>
              <w:t>根据设计资料，项目生物质燃烧产生的灰渣约180t/a，由于锅炉燃料为生物质颗粒等，不含重金属、有毒有害有机物，属于草木灰系列，钾含量较高，同时还含有丰富的营养成分如、磷和钙等，可用作高效农业肥料，</w:t>
            </w:r>
            <w:r>
              <w:rPr>
                <w:color w:val="auto"/>
                <w:sz w:val="24"/>
                <w:highlight w:val="none"/>
              </w:rPr>
              <w:t>运往云南龙氏肥业有限公司处置，已签订相关协议</w:t>
            </w:r>
            <w:r>
              <w:rPr>
                <w:color w:val="auto"/>
                <w:kern w:val="0"/>
                <w:sz w:val="24"/>
                <w:highlight w:val="none"/>
                <w:lang w:bidi="ar"/>
              </w:rPr>
              <w:t>。</w:t>
            </w:r>
          </w:p>
          <w:p w14:paraId="7BFEAF33">
            <w:pPr>
              <w:keepNext w:val="0"/>
              <w:keepLines w:val="0"/>
              <w:pageBreakBefore w:val="0"/>
              <w:widowControl/>
              <w:kinsoku/>
              <w:wordWrap/>
              <w:overflowPunct/>
              <w:topLinePunct w:val="0"/>
              <w:bidi w:val="0"/>
              <w:spacing w:line="440" w:lineRule="exact"/>
              <w:ind w:firstLine="482" w:firstLineChars="200"/>
              <w:rPr>
                <w:b/>
                <w:bCs/>
                <w:color w:val="auto"/>
                <w:kern w:val="0"/>
                <w:sz w:val="24"/>
                <w:highlight w:val="none"/>
                <w:lang w:bidi="ar"/>
              </w:rPr>
            </w:pPr>
            <w:r>
              <w:rPr>
                <w:rFonts w:hint="eastAsia"/>
                <w:b/>
                <w:bCs/>
                <w:color w:val="auto"/>
                <w:kern w:val="0"/>
                <w:sz w:val="24"/>
                <w:highlight w:val="none"/>
                <w:lang w:bidi="ar"/>
              </w:rPr>
              <w:t>⑦</w:t>
            </w:r>
            <w:r>
              <w:rPr>
                <w:b/>
                <w:bCs/>
                <w:color w:val="auto"/>
                <w:kern w:val="0"/>
                <w:sz w:val="24"/>
                <w:highlight w:val="none"/>
                <w:lang w:bidi="ar"/>
              </w:rPr>
              <w:t>收尘渣</w:t>
            </w:r>
          </w:p>
          <w:p w14:paraId="7494322F">
            <w:pPr>
              <w:keepNext w:val="0"/>
              <w:keepLines w:val="0"/>
              <w:pageBreakBefore w:val="0"/>
              <w:widowControl/>
              <w:kinsoku/>
              <w:wordWrap/>
              <w:overflowPunct/>
              <w:topLinePunct w:val="0"/>
              <w:bidi w:val="0"/>
              <w:spacing w:line="440" w:lineRule="exact"/>
              <w:ind w:firstLine="480" w:firstLineChars="200"/>
              <w:rPr>
                <w:color w:val="auto"/>
                <w:kern w:val="0"/>
                <w:sz w:val="24"/>
                <w:highlight w:val="none"/>
                <w:lang w:bidi="ar"/>
              </w:rPr>
            </w:pPr>
            <w:r>
              <w:rPr>
                <w:color w:val="auto"/>
                <w:kern w:val="0"/>
                <w:sz w:val="24"/>
                <w:highlight w:val="none"/>
                <w:lang w:bidi="ar"/>
              </w:rPr>
              <w:t>根据实际运行情况，</w:t>
            </w:r>
            <w:r>
              <w:rPr>
                <w:rFonts w:hint="eastAsia"/>
                <w:color w:val="auto"/>
                <w:kern w:val="0"/>
                <w:sz w:val="24"/>
                <w:highlight w:val="none"/>
                <w:lang w:val="en-US" w:eastAsia="zh-CN" w:bidi="ar"/>
              </w:rPr>
              <w:t>现有项目</w:t>
            </w:r>
            <w:r>
              <w:rPr>
                <w:color w:val="auto"/>
                <w:kern w:val="0"/>
                <w:sz w:val="24"/>
                <w:highlight w:val="none"/>
                <w:lang w:bidi="ar"/>
              </w:rPr>
              <w:t>尘渣</w:t>
            </w:r>
            <w:r>
              <w:rPr>
                <w:rFonts w:hint="eastAsia"/>
                <w:color w:val="auto"/>
                <w:kern w:val="0"/>
                <w:sz w:val="24"/>
                <w:highlight w:val="none"/>
                <w:lang w:val="en-US" w:eastAsia="zh-CN" w:bidi="ar"/>
              </w:rPr>
              <w:t>收集</w:t>
            </w:r>
            <w:r>
              <w:rPr>
                <w:color w:val="auto"/>
                <w:kern w:val="0"/>
                <w:sz w:val="24"/>
                <w:highlight w:val="none"/>
                <w:lang w:bidi="ar"/>
              </w:rPr>
              <w:t>量约为7t/a，由于锅炉燃料为生物质颗粒等，不含重金属、有毒有害有机物，属于草木灰系列，钾含量较高，同时还含有丰富的营养成分如、磷和钙等，可用作高效农业肥料；粉碎机粉尘不含重金属、有毒有害物质，含有大量的有机物质，这些有机物质可在微生物的作用下被分解成简单的有机物质，如碳水化合物、氨基酸、脂肪酸等。这些物质通过微生物的分解作用逐渐腐熟可转化为稳定的有机肥料‌。</w:t>
            </w:r>
            <w:r>
              <w:rPr>
                <w:color w:val="auto"/>
                <w:sz w:val="24"/>
                <w:highlight w:val="none"/>
              </w:rPr>
              <w:t>运往云南龙氏肥业有限公司处置，已签订相关协议</w:t>
            </w:r>
            <w:r>
              <w:rPr>
                <w:color w:val="auto"/>
                <w:kern w:val="0"/>
                <w:sz w:val="24"/>
                <w:highlight w:val="none"/>
                <w:lang w:bidi="ar"/>
              </w:rPr>
              <w:t>。</w:t>
            </w:r>
          </w:p>
          <w:p w14:paraId="74561C3F">
            <w:pPr>
              <w:keepNext w:val="0"/>
              <w:keepLines w:val="0"/>
              <w:pageBreakBefore w:val="0"/>
              <w:widowControl/>
              <w:kinsoku/>
              <w:wordWrap/>
              <w:overflowPunct/>
              <w:topLinePunct w:val="0"/>
              <w:bidi w:val="0"/>
              <w:spacing w:line="440" w:lineRule="exact"/>
              <w:ind w:firstLine="482" w:firstLineChars="200"/>
              <w:rPr>
                <w:b/>
                <w:bCs/>
                <w:color w:val="auto"/>
                <w:kern w:val="0"/>
                <w:sz w:val="24"/>
                <w:highlight w:val="none"/>
                <w:lang w:bidi="ar"/>
              </w:rPr>
            </w:pPr>
            <w:r>
              <w:rPr>
                <w:rFonts w:hint="eastAsia"/>
                <w:b/>
                <w:bCs/>
                <w:color w:val="auto"/>
                <w:kern w:val="0"/>
                <w:sz w:val="24"/>
                <w:highlight w:val="none"/>
                <w:lang w:bidi="ar"/>
              </w:rPr>
              <w:t>⑧</w:t>
            </w:r>
            <w:r>
              <w:rPr>
                <w:b/>
                <w:bCs/>
                <w:color w:val="auto"/>
                <w:kern w:val="0"/>
                <w:sz w:val="24"/>
                <w:highlight w:val="none"/>
                <w:lang w:bidi="ar"/>
              </w:rPr>
              <w:t>废活性炭</w:t>
            </w:r>
          </w:p>
          <w:p w14:paraId="2686A1BD">
            <w:pPr>
              <w:keepNext w:val="0"/>
              <w:keepLines w:val="0"/>
              <w:pageBreakBefore w:val="0"/>
              <w:widowControl/>
              <w:kinsoku/>
              <w:wordWrap/>
              <w:overflowPunct/>
              <w:topLinePunct w:val="0"/>
              <w:bidi w:val="0"/>
              <w:spacing w:line="440" w:lineRule="exact"/>
              <w:ind w:firstLine="480" w:firstLineChars="200"/>
              <w:rPr>
                <w:color w:val="auto"/>
                <w:kern w:val="0"/>
                <w:sz w:val="24"/>
                <w:highlight w:val="none"/>
                <w:lang w:bidi="ar"/>
              </w:rPr>
            </w:pPr>
            <w:r>
              <w:rPr>
                <w:rFonts w:hint="eastAsia"/>
                <w:color w:val="auto"/>
                <w:kern w:val="0"/>
                <w:sz w:val="24"/>
                <w:highlight w:val="none"/>
                <w:lang w:bidi="ar"/>
              </w:rPr>
              <w:t>现有</w:t>
            </w:r>
            <w:r>
              <w:rPr>
                <w:color w:val="auto"/>
                <w:kern w:val="0"/>
                <w:sz w:val="24"/>
                <w:highlight w:val="none"/>
                <w:lang w:bidi="ar"/>
              </w:rPr>
              <w:t>项目生产废水处理系统中投加粉末活性炭净化水质，会产生废活性炭，产生量约为12t/a，经对照《国家危险废物名录》（2025年）水质净化过程中产生的废活性炭未列入其中，废活性炭和污泥一起处置。</w:t>
            </w:r>
          </w:p>
          <w:p w14:paraId="15F78516">
            <w:pPr>
              <w:keepNext w:val="0"/>
              <w:keepLines w:val="0"/>
              <w:pageBreakBefore w:val="0"/>
              <w:widowControl/>
              <w:kinsoku/>
              <w:wordWrap/>
              <w:overflowPunct/>
              <w:topLinePunct w:val="0"/>
              <w:bidi w:val="0"/>
              <w:spacing w:line="440" w:lineRule="exact"/>
              <w:ind w:firstLine="482" w:firstLineChars="200"/>
              <w:rPr>
                <w:b/>
                <w:bCs/>
                <w:color w:val="auto"/>
                <w:kern w:val="0"/>
                <w:sz w:val="24"/>
                <w:highlight w:val="none"/>
                <w:lang w:bidi="ar"/>
              </w:rPr>
            </w:pPr>
            <w:r>
              <w:rPr>
                <w:rFonts w:hint="eastAsia"/>
                <w:b/>
                <w:bCs/>
                <w:color w:val="auto"/>
                <w:kern w:val="0"/>
                <w:sz w:val="24"/>
                <w:highlight w:val="none"/>
                <w:lang w:bidi="ar"/>
              </w:rPr>
              <w:t>⑨</w:t>
            </w:r>
            <w:r>
              <w:rPr>
                <w:b/>
                <w:bCs/>
                <w:color w:val="auto"/>
                <w:kern w:val="0"/>
                <w:sz w:val="24"/>
                <w:highlight w:val="none"/>
                <w:lang w:bidi="ar"/>
              </w:rPr>
              <w:t>废矿物油</w:t>
            </w:r>
          </w:p>
          <w:p w14:paraId="53B96406">
            <w:pPr>
              <w:keepNext w:val="0"/>
              <w:keepLines w:val="0"/>
              <w:pageBreakBefore w:val="0"/>
              <w:widowControl/>
              <w:kinsoku/>
              <w:wordWrap/>
              <w:overflowPunct/>
              <w:topLinePunct w:val="0"/>
              <w:bidi w:val="0"/>
              <w:spacing w:line="440" w:lineRule="exact"/>
              <w:ind w:firstLine="480" w:firstLineChars="200"/>
              <w:rPr>
                <w:b/>
                <w:color w:val="auto"/>
                <w:kern w:val="1"/>
                <w:szCs w:val="21"/>
                <w:highlight w:val="none"/>
              </w:rPr>
            </w:pPr>
            <w:r>
              <w:rPr>
                <w:rFonts w:hint="eastAsia"/>
                <w:color w:val="auto"/>
                <w:kern w:val="0"/>
                <w:sz w:val="24"/>
                <w:highlight w:val="none"/>
                <w:lang w:bidi="ar"/>
              </w:rPr>
              <w:t>现有</w:t>
            </w:r>
            <w:r>
              <w:rPr>
                <w:color w:val="auto"/>
                <w:kern w:val="0"/>
                <w:sz w:val="24"/>
                <w:highlight w:val="none"/>
                <w:lang w:bidi="ar"/>
              </w:rPr>
              <w:t>项目机械设备维护、修理过程中产生的含油废物属《国家危险废物名录》</w:t>
            </w:r>
            <w:r>
              <w:rPr>
                <w:color w:val="auto"/>
                <w:sz w:val="24"/>
                <w:highlight w:val="none"/>
              </w:rPr>
              <w:t>（2021年）</w:t>
            </w:r>
            <w:r>
              <w:rPr>
                <w:color w:val="auto"/>
                <w:kern w:val="0"/>
                <w:sz w:val="24"/>
                <w:highlight w:val="none"/>
                <w:lang w:bidi="ar"/>
              </w:rPr>
              <w:t>中废矿物油及含矿物油废物（HW08）类别中900-214-08所规定的危险废物。根据同行业类比分析，项目运营期间废矿物油产生量约0.05t/a，已建设有一间建筑面积不小于6m</w:t>
            </w:r>
            <w:r>
              <w:rPr>
                <w:color w:val="auto"/>
                <w:kern w:val="0"/>
                <w:sz w:val="24"/>
                <w:highlight w:val="none"/>
                <w:vertAlign w:val="superscript"/>
                <w:lang w:bidi="ar"/>
              </w:rPr>
              <w:t>2</w:t>
            </w:r>
            <w:r>
              <w:rPr>
                <w:color w:val="auto"/>
                <w:kern w:val="0"/>
                <w:sz w:val="24"/>
                <w:highlight w:val="none"/>
                <w:lang w:bidi="ar"/>
              </w:rPr>
              <w:t>的危险废物贮存库并配有1个危废临时储存容器用于收集机械设备维护、修理过程中产生的含油废物等危险废物，定期交由云南泽森环保科技有限公司进行处理，</w:t>
            </w:r>
            <w:r>
              <w:rPr>
                <w:color w:val="auto"/>
                <w:sz w:val="24"/>
                <w:highlight w:val="none"/>
              </w:rPr>
              <w:t>运往云南龙氏肥业有限公司处置，已签订相关协议</w:t>
            </w:r>
            <w:r>
              <w:rPr>
                <w:color w:val="auto"/>
                <w:kern w:val="0"/>
                <w:sz w:val="24"/>
                <w:highlight w:val="none"/>
                <w:lang w:bidi="ar"/>
              </w:rPr>
              <w:t>。并建立健全危险废物产生、处理、转移台账记录。</w:t>
            </w:r>
          </w:p>
          <w:p w14:paraId="0A3F1B84">
            <w:pPr>
              <w:spacing w:before="48" w:beforeLines="20"/>
              <w:jc w:val="center"/>
              <w:rPr>
                <w:b/>
                <w:color w:val="auto"/>
                <w:kern w:val="1"/>
                <w:szCs w:val="21"/>
                <w:highlight w:val="none"/>
              </w:rPr>
            </w:pPr>
            <w:r>
              <w:rPr>
                <w:b/>
                <w:color w:val="auto"/>
                <w:kern w:val="1"/>
                <w:szCs w:val="21"/>
                <w:highlight w:val="none"/>
              </w:rPr>
              <w:t>表</w:t>
            </w:r>
            <w:r>
              <w:rPr>
                <w:rFonts w:hint="eastAsia"/>
                <w:b/>
                <w:color w:val="auto"/>
                <w:kern w:val="1"/>
                <w:szCs w:val="21"/>
                <w:highlight w:val="none"/>
              </w:rPr>
              <w:t>2</w:t>
            </w:r>
            <w:r>
              <w:rPr>
                <w:b/>
                <w:color w:val="auto"/>
                <w:kern w:val="1"/>
                <w:szCs w:val="21"/>
                <w:highlight w:val="none"/>
              </w:rPr>
              <w:t>-</w:t>
            </w:r>
            <w:r>
              <w:rPr>
                <w:rFonts w:hint="eastAsia"/>
                <w:b/>
                <w:color w:val="auto"/>
                <w:kern w:val="1"/>
                <w:szCs w:val="21"/>
                <w:highlight w:val="none"/>
              </w:rPr>
              <w:t>14</w:t>
            </w:r>
            <w:r>
              <w:rPr>
                <w:b/>
                <w:color w:val="auto"/>
                <w:kern w:val="1"/>
                <w:szCs w:val="21"/>
                <w:highlight w:val="none"/>
              </w:rPr>
              <w:t xml:space="preserve">  项目主要固废产生和处置情况表</w:t>
            </w:r>
          </w:p>
          <w:tbl>
            <w:tblPr>
              <w:tblStyle w:val="26"/>
              <w:tblW w:w="4997"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795"/>
              <w:gridCol w:w="1306"/>
              <w:gridCol w:w="1533"/>
              <w:gridCol w:w="1304"/>
              <w:gridCol w:w="2663"/>
            </w:tblGrid>
            <w:tr w14:paraId="49EFA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43" w:type="pct"/>
                  <w:vAlign w:val="center"/>
                </w:tcPr>
                <w:p w14:paraId="320F48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1"/>
                      <w:szCs w:val="21"/>
                      <w:highlight w:val="none"/>
                    </w:rPr>
                  </w:pPr>
                  <w:r>
                    <w:rPr>
                      <w:b/>
                      <w:bCs/>
                      <w:color w:val="auto"/>
                      <w:kern w:val="1"/>
                      <w:szCs w:val="21"/>
                      <w:highlight w:val="none"/>
                    </w:rPr>
                    <w:t>固废种类</w:t>
                  </w:r>
                </w:p>
              </w:tc>
              <w:tc>
                <w:tcPr>
                  <w:tcW w:w="759" w:type="pct"/>
                  <w:vAlign w:val="center"/>
                </w:tcPr>
                <w:p w14:paraId="0F5F52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1"/>
                      <w:szCs w:val="21"/>
                      <w:highlight w:val="none"/>
                    </w:rPr>
                  </w:pPr>
                  <w:r>
                    <w:rPr>
                      <w:b/>
                      <w:bCs/>
                      <w:color w:val="auto"/>
                      <w:kern w:val="1"/>
                      <w:szCs w:val="21"/>
                      <w:highlight w:val="none"/>
                    </w:rPr>
                    <w:t>固废类型</w:t>
                  </w:r>
                </w:p>
              </w:tc>
              <w:tc>
                <w:tcPr>
                  <w:tcW w:w="891" w:type="pct"/>
                  <w:vAlign w:val="center"/>
                </w:tcPr>
                <w:p w14:paraId="56FADB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1"/>
                      <w:szCs w:val="21"/>
                      <w:highlight w:val="none"/>
                    </w:rPr>
                  </w:pPr>
                  <w:r>
                    <w:rPr>
                      <w:b/>
                      <w:bCs/>
                      <w:color w:val="auto"/>
                      <w:kern w:val="1"/>
                      <w:szCs w:val="21"/>
                      <w:highlight w:val="none"/>
                    </w:rPr>
                    <w:t>固废、危废</w:t>
                  </w:r>
                </w:p>
                <w:p w14:paraId="70D5CA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1"/>
                      <w:szCs w:val="21"/>
                      <w:highlight w:val="none"/>
                    </w:rPr>
                  </w:pPr>
                  <w:r>
                    <w:rPr>
                      <w:b/>
                      <w:bCs/>
                      <w:color w:val="auto"/>
                      <w:kern w:val="1"/>
                      <w:szCs w:val="21"/>
                      <w:highlight w:val="none"/>
                    </w:rPr>
                    <w:t>代码</w:t>
                  </w:r>
                </w:p>
              </w:tc>
              <w:tc>
                <w:tcPr>
                  <w:tcW w:w="758" w:type="pct"/>
                  <w:vAlign w:val="center"/>
                </w:tcPr>
                <w:p w14:paraId="54CD4C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1"/>
                      <w:szCs w:val="21"/>
                      <w:highlight w:val="none"/>
                    </w:rPr>
                  </w:pPr>
                  <w:r>
                    <w:rPr>
                      <w:b/>
                      <w:bCs/>
                      <w:color w:val="auto"/>
                      <w:kern w:val="1"/>
                      <w:szCs w:val="21"/>
                      <w:highlight w:val="none"/>
                    </w:rPr>
                    <w:t>产生量</w:t>
                  </w:r>
                </w:p>
              </w:tc>
              <w:tc>
                <w:tcPr>
                  <w:tcW w:w="1547" w:type="pct"/>
                  <w:vAlign w:val="center"/>
                </w:tcPr>
                <w:p w14:paraId="62F41C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1"/>
                      <w:szCs w:val="21"/>
                      <w:highlight w:val="none"/>
                    </w:rPr>
                  </w:pPr>
                  <w:r>
                    <w:rPr>
                      <w:b/>
                      <w:bCs/>
                      <w:color w:val="auto"/>
                      <w:kern w:val="1"/>
                      <w:szCs w:val="21"/>
                      <w:highlight w:val="none"/>
                    </w:rPr>
                    <w:t>备注</w:t>
                  </w:r>
                </w:p>
              </w:tc>
            </w:tr>
            <w:tr w14:paraId="1D139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43" w:type="pct"/>
                  <w:vAlign w:val="center"/>
                </w:tcPr>
                <w:p w14:paraId="0A2E2B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生活垃圾</w:t>
                  </w:r>
                </w:p>
              </w:tc>
              <w:tc>
                <w:tcPr>
                  <w:tcW w:w="759" w:type="pct"/>
                  <w:vAlign w:val="center"/>
                </w:tcPr>
                <w:p w14:paraId="283993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一般固废</w:t>
                  </w:r>
                </w:p>
              </w:tc>
              <w:tc>
                <w:tcPr>
                  <w:tcW w:w="891" w:type="pct"/>
                  <w:vAlign w:val="center"/>
                </w:tcPr>
                <w:p w14:paraId="43CBB3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900-099-S64</w:t>
                  </w:r>
                </w:p>
              </w:tc>
              <w:tc>
                <w:tcPr>
                  <w:tcW w:w="758" w:type="pct"/>
                  <w:vAlign w:val="center"/>
                </w:tcPr>
                <w:p w14:paraId="78A810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0"/>
                      <w:szCs w:val="21"/>
                      <w:highlight w:val="none"/>
                      <w:lang w:bidi="ar"/>
                    </w:rPr>
                    <w:t>6.67</w:t>
                  </w:r>
                  <w:r>
                    <w:rPr>
                      <w:color w:val="auto"/>
                      <w:kern w:val="1"/>
                      <w:szCs w:val="21"/>
                      <w:highlight w:val="none"/>
                    </w:rPr>
                    <w:t>t/a</w:t>
                  </w:r>
                </w:p>
              </w:tc>
              <w:tc>
                <w:tcPr>
                  <w:tcW w:w="1547" w:type="pct"/>
                  <w:vAlign w:val="center"/>
                </w:tcPr>
                <w:p w14:paraId="62922E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收集于垃圾桶内，定期委托环卫部门</w:t>
                  </w:r>
                  <w:r>
                    <w:rPr>
                      <w:color w:val="auto"/>
                      <w:kern w:val="0"/>
                      <w:szCs w:val="21"/>
                      <w:highlight w:val="none"/>
                      <w:lang w:bidi="ar"/>
                    </w:rPr>
                    <w:t>清运处置。</w:t>
                  </w:r>
                </w:p>
              </w:tc>
            </w:tr>
            <w:tr w14:paraId="0C41C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43" w:type="pct"/>
                  <w:vAlign w:val="center"/>
                </w:tcPr>
                <w:p w14:paraId="1394C3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厨房废水隔油器废油</w:t>
                  </w:r>
                </w:p>
              </w:tc>
              <w:tc>
                <w:tcPr>
                  <w:tcW w:w="759" w:type="pct"/>
                  <w:vAlign w:val="center"/>
                </w:tcPr>
                <w:p w14:paraId="4D2C33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一般固废</w:t>
                  </w:r>
                </w:p>
              </w:tc>
              <w:tc>
                <w:tcPr>
                  <w:tcW w:w="891" w:type="pct"/>
                  <w:vAlign w:val="center"/>
                </w:tcPr>
                <w:p w14:paraId="33CB68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900-099-S64</w:t>
                  </w:r>
                </w:p>
              </w:tc>
              <w:tc>
                <w:tcPr>
                  <w:tcW w:w="758" w:type="pct"/>
                  <w:vAlign w:val="center"/>
                </w:tcPr>
                <w:p w14:paraId="1D7CB4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0.03t/a</w:t>
                  </w:r>
                </w:p>
              </w:tc>
              <w:tc>
                <w:tcPr>
                  <w:tcW w:w="1547" w:type="pct"/>
                  <w:vAlign w:val="center"/>
                </w:tcPr>
                <w:p w14:paraId="54278C64">
                  <w:pPr>
                    <w:keepNext w:val="0"/>
                    <w:keepLines w:val="0"/>
                    <w:pageBreakBefore w:val="0"/>
                    <w:widowControl w:val="0"/>
                    <w:kinsoku/>
                    <w:wordWrap/>
                    <w:overflowPunct/>
                    <w:topLinePunct w:val="0"/>
                    <w:autoSpaceDE/>
                    <w:autoSpaceDN/>
                    <w:bidi w:val="0"/>
                    <w:adjustRightInd/>
                    <w:snapToGrid/>
                    <w:spacing w:line="320" w:lineRule="exact"/>
                    <w:jc w:val="left"/>
                    <w:textAlignment w:val="auto"/>
                    <w:rPr>
                      <w:color w:val="auto"/>
                      <w:kern w:val="1"/>
                      <w:szCs w:val="21"/>
                      <w:highlight w:val="none"/>
                    </w:rPr>
                  </w:pPr>
                  <w:r>
                    <w:rPr>
                      <w:color w:val="auto"/>
                      <w:kern w:val="1"/>
                      <w:szCs w:val="21"/>
                      <w:highlight w:val="none"/>
                    </w:rPr>
                    <w:t>自行清掏，收集于专用带盖塑料桶内，定期</w:t>
                  </w:r>
                  <w:r>
                    <w:rPr>
                      <w:color w:val="auto"/>
                      <w:szCs w:val="21"/>
                      <w:highlight w:val="none"/>
                    </w:rPr>
                    <w:t>委托资质单位</w:t>
                  </w:r>
                  <w:r>
                    <w:rPr>
                      <w:color w:val="auto"/>
                      <w:kern w:val="1"/>
                      <w:szCs w:val="21"/>
                      <w:highlight w:val="none"/>
                    </w:rPr>
                    <w:t>清运处置。</w:t>
                  </w:r>
                </w:p>
              </w:tc>
            </w:tr>
            <w:tr w14:paraId="638C9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43" w:type="pct"/>
                  <w:vAlign w:val="center"/>
                </w:tcPr>
                <w:p w14:paraId="534540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厨余垃圾</w:t>
                  </w:r>
                </w:p>
              </w:tc>
              <w:tc>
                <w:tcPr>
                  <w:tcW w:w="759" w:type="pct"/>
                  <w:vAlign w:val="center"/>
                </w:tcPr>
                <w:p w14:paraId="22C021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一般固废</w:t>
                  </w:r>
                </w:p>
              </w:tc>
              <w:tc>
                <w:tcPr>
                  <w:tcW w:w="891" w:type="pct"/>
                  <w:vAlign w:val="center"/>
                </w:tcPr>
                <w:p w14:paraId="3FD555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900-002-S61</w:t>
                  </w:r>
                </w:p>
              </w:tc>
              <w:tc>
                <w:tcPr>
                  <w:tcW w:w="758" w:type="pct"/>
                  <w:vAlign w:val="center"/>
                </w:tcPr>
                <w:p w14:paraId="762AD5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szCs w:val="21"/>
                      <w:highlight w:val="none"/>
                    </w:rPr>
                    <w:t>1.67t/a</w:t>
                  </w:r>
                </w:p>
              </w:tc>
              <w:tc>
                <w:tcPr>
                  <w:tcW w:w="1547" w:type="pct"/>
                  <w:vAlign w:val="center"/>
                </w:tcPr>
                <w:p w14:paraId="64426E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szCs w:val="21"/>
                      <w:highlight w:val="none"/>
                    </w:rPr>
                    <w:t>委托有资质单位清运处置。</w:t>
                  </w:r>
                </w:p>
              </w:tc>
            </w:tr>
            <w:tr w14:paraId="40342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43" w:type="pct"/>
                  <w:vAlign w:val="center"/>
                </w:tcPr>
                <w:p w14:paraId="2323E0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化粪池污泥</w:t>
                  </w:r>
                </w:p>
              </w:tc>
              <w:tc>
                <w:tcPr>
                  <w:tcW w:w="759" w:type="pct"/>
                  <w:vAlign w:val="center"/>
                </w:tcPr>
                <w:p w14:paraId="32784EE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一般固废</w:t>
                  </w:r>
                </w:p>
              </w:tc>
              <w:tc>
                <w:tcPr>
                  <w:tcW w:w="891" w:type="pct"/>
                  <w:vAlign w:val="center"/>
                </w:tcPr>
                <w:p w14:paraId="4C7771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900-002-S64</w:t>
                  </w:r>
                </w:p>
              </w:tc>
              <w:tc>
                <w:tcPr>
                  <w:tcW w:w="758" w:type="pct"/>
                  <w:vAlign w:val="center"/>
                </w:tcPr>
                <w:p w14:paraId="1D4ADC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0"/>
                      <w:szCs w:val="21"/>
                      <w:highlight w:val="none"/>
                      <w:lang w:bidi="ar"/>
                    </w:rPr>
                    <w:t>2.72</w:t>
                  </w:r>
                  <w:r>
                    <w:rPr>
                      <w:color w:val="auto"/>
                      <w:kern w:val="1"/>
                      <w:szCs w:val="21"/>
                      <w:highlight w:val="none"/>
                    </w:rPr>
                    <w:t>t/a</w:t>
                  </w:r>
                </w:p>
              </w:tc>
              <w:tc>
                <w:tcPr>
                  <w:tcW w:w="1547" w:type="pct"/>
                  <w:vAlign w:val="center"/>
                </w:tcPr>
                <w:p w14:paraId="5BF424C9">
                  <w:pPr>
                    <w:keepNext w:val="0"/>
                    <w:keepLines w:val="0"/>
                    <w:pageBreakBefore w:val="0"/>
                    <w:widowControl w:val="0"/>
                    <w:kinsoku/>
                    <w:wordWrap/>
                    <w:overflowPunct/>
                    <w:topLinePunct w:val="0"/>
                    <w:autoSpaceDE/>
                    <w:autoSpaceDN/>
                    <w:bidi w:val="0"/>
                    <w:adjustRightInd/>
                    <w:snapToGrid/>
                    <w:spacing w:line="320" w:lineRule="exact"/>
                    <w:jc w:val="left"/>
                    <w:textAlignment w:val="auto"/>
                    <w:rPr>
                      <w:color w:val="auto"/>
                      <w:kern w:val="1"/>
                      <w:szCs w:val="21"/>
                      <w:highlight w:val="none"/>
                    </w:rPr>
                  </w:pPr>
                  <w:r>
                    <w:rPr>
                      <w:color w:val="auto"/>
                      <w:kern w:val="1"/>
                      <w:szCs w:val="21"/>
                      <w:highlight w:val="none"/>
                    </w:rPr>
                    <w:t>定期委托环卫部门清掏处置。</w:t>
                  </w:r>
                </w:p>
              </w:tc>
            </w:tr>
            <w:tr w14:paraId="13B2B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43" w:type="pct"/>
                  <w:vAlign w:val="center"/>
                </w:tcPr>
                <w:p w14:paraId="643D8E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lang w:bidi="ar"/>
                    </w:rPr>
                  </w:pPr>
                  <w:r>
                    <w:rPr>
                      <w:color w:val="auto"/>
                      <w:kern w:val="0"/>
                      <w:szCs w:val="21"/>
                      <w:highlight w:val="none"/>
                      <w:lang w:bidi="ar"/>
                    </w:rPr>
                    <w:t>生产废水</w:t>
                  </w:r>
                </w:p>
                <w:p w14:paraId="2BC0B8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0"/>
                      <w:szCs w:val="21"/>
                      <w:highlight w:val="none"/>
                      <w:lang w:bidi="ar"/>
                    </w:rPr>
                    <w:t>处理系统污泥</w:t>
                  </w:r>
                </w:p>
              </w:tc>
              <w:tc>
                <w:tcPr>
                  <w:tcW w:w="759" w:type="pct"/>
                  <w:vAlign w:val="center"/>
                </w:tcPr>
                <w:p w14:paraId="1B802F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一般固废</w:t>
                  </w:r>
                </w:p>
              </w:tc>
              <w:tc>
                <w:tcPr>
                  <w:tcW w:w="891" w:type="pct"/>
                  <w:vAlign w:val="center"/>
                </w:tcPr>
                <w:p w14:paraId="1FB5C2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900-099-S07</w:t>
                  </w:r>
                </w:p>
              </w:tc>
              <w:tc>
                <w:tcPr>
                  <w:tcW w:w="758" w:type="pct"/>
                  <w:vAlign w:val="center"/>
                </w:tcPr>
                <w:p w14:paraId="1AE267F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2t/a</w:t>
                  </w:r>
                </w:p>
              </w:tc>
              <w:tc>
                <w:tcPr>
                  <w:tcW w:w="1547" w:type="pct"/>
                  <w:vAlign w:val="center"/>
                </w:tcPr>
                <w:p w14:paraId="7ABBDA4D">
                  <w:pPr>
                    <w:keepNext w:val="0"/>
                    <w:keepLines w:val="0"/>
                    <w:pageBreakBefore w:val="0"/>
                    <w:widowControl w:val="0"/>
                    <w:kinsoku/>
                    <w:wordWrap/>
                    <w:overflowPunct/>
                    <w:topLinePunct w:val="0"/>
                    <w:autoSpaceDE/>
                    <w:autoSpaceDN/>
                    <w:bidi w:val="0"/>
                    <w:adjustRightInd/>
                    <w:snapToGrid/>
                    <w:spacing w:line="320" w:lineRule="exact"/>
                    <w:jc w:val="left"/>
                    <w:textAlignment w:val="auto"/>
                    <w:rPr>
                      <w:color w:val="auto"/>
                      <w:kern w:val="1"/>
                      <w:szCs w:val="21"/>
                      <w:highlight w:val="none"/>
                    </w:rPr>
                  </w:pPr>
                  <w:r>
                    <w:rPr>
                      <w:color w:val="auto"/>
                      <w:szCs w:val="21"/>
                      <w:highlight w:val="none"/>
                    </w:rPr>
                    <w:t>定期运往</w:t>
                  </w:r>
                  <w:r>
                    <w:rPr>
                      <w:color w:val="auto"/>
                      <w:highlight w:val="none"/>
                    </w:rPr>
                    <w:t>云南龙氏肥业有限公司</w:t>
                  </w:r>
                  <w:r>
                    <w:rPr>
                      <w:color w:val="auto"/>
                      <w:szCs w:val="21"/>
                      <w:highlight w:val="none"/>
                    </w:rPr>
                    <w:t>处置。</w:t>
                  </w:r>
                </w:p>
              </w:tc>
            </w:tr>
            <w:tr w14:paraId="74315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43" w:type="pct"/>
                  <w:vAlign w:val="center"/>
                </w:tcPr>
                <w:p w14:paraId="4B5CD6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生物质燃烧灰渣</w:t>
                  </w:r>
                </w:p>
              </w:tc>
              <w:tc>
                <w:tcPr>
                  <w:tcW w:w="759" w:type="pct"/>
                  <w:vAlign w:val="center"/>
                </w:tcPr>
                <w:p w14:paraId="43ADF0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一般固废</w:t>
                  </w:r>
                </w:p>
              </w:tc>
              <w:tc>
                <w:tcPr>
                  <w:tcW w:w="891" w:type="pct"/>
                  <w:vAlign w:val="center"/>
                </w:tcPr>
                <w:p w14:paraId="02F802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900-099-S03</w:t>
                  </w:r>
                </w:p>
              </w:tc>
              <w:tc>
                <w:tcPr>
                  <w:tcW w:w="758" w:type="pct"/>
                  <w:vAlign w:val="center"/>
                </w:tcPr>
                <w:p w14:paraId="7F8401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180t/a</w:t>
                  </w:r>
                </w:p>
              </w:tc>
              <w:tc>
                <w:tcPr>
                  <w:tcW w:w="1547" w:type="pct"/>
                  <w:vMerge w:val="restart"/>
                  <w:vAlign w:val="center"/>
                </w:tcPr>
                <w:p w14:paraId="0636824C">
                  <w:pPr>
                    <w:keepNext w:val="0"/>
                    <w:keepLines w:val="0"/>
                    <w:pageBreakBefore w:val="0"/>
                    <w:widowControl w:val="0"/>
                    <w:kinsoku/>
                    <w:wordWrap/>
                    <w:overflowPunct/>
                    <w:topLinePunct w:val="0"/>
                    <w:autoSpaceDE/>
                    <w:autoSpaceDN/>
                    <w:bidi w:val="0"/>
                    <w:adjustRightInd/>
                    <w:snapToGrid/>
                    <w:spacing w:line="320" w:lineRule="exact"/>
                    <w:jc w:val="left"/>
                    <w:textAlignment w:val="auto"/>
                    <w:rPr>
                      <w:color w:val="auto"/>
                      <w:kern w:val="1"/>
                      <w:szCs w:val="21"/>
                      <w:highlight w:val="none"/>
                    </w:rPr>
                  </w:pPr>
                  <w:r>
                    <w:rPr>
                      <w:color w:val="auto"/>
                      <w:szCs w:val="21"/>
                      <w:highlight w:val="none"/>
                    </w:rPr>
                    <w:t>定期运往</w:t>
                  </w:r>
                  <w:r>
                    <w:rPr>
                      <w:color w:val="auto"/>
                      <w:highlight w:val="none"/>
                    </w:rPr>
                    <w:t>云南龙氏肥业有限公司</w:t>
                  </w:r>
                  <w:r>
                    <w:rPr>
                      <w:color w:val="auto"/>
                      <w:szCs w:val="21"/>
                      <w:highlight w:val="none"/>
                    </w:rPr>
                    <w:t>处置。</w:t>
                  </w:r>
                </w:p>
              </w:tc>
            </w:tr>
            <w:tr w14:paraId="49386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43" w:type="pct"/>
                  <w:vAlign w:val="center"/>
                </w:tcPr>
                <w:p w14:paraId="2425BD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收尘渣</w:t>
                  </w:r>
                </w:p>
              </w:tc>
              <w:tc>
                <w:tcPr>
                  <w:tcW w:w="759" w:type="pct"/>
                  <w:vAlign w:val="center"/>
                </w:tcPr>
                <w:p w14:paraId="56E2A5F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一般固废</w:t>
                  </w:r>
                </w:p>
              </w:tc>
              <w:tc>
                <w:tcPr>
                  <w:tcW w:w="891" w:type="pct"/>
                  <w:vAlign w:val="center"/>
                </w:tcPr>
                <w:p w14:paraId="5006F5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900-099-S06</w:t>
                  </w:r>
                </w:p>
              </w:tc>
              <w:tc>
                <w:tcPr>
                  <w:tcW w:w="758" w:type="pct"/>
                  <w:vAlign w:val="center"/>
                </w:tcPr>
                <w:p w14:paraId="360D2B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0"/>
                      <w:szCs w:val="21"/>
                      <w:highlight w:val="none"/>
                      <w:lang w:bidi="ar"/>
                    </w:rPr>
                    <w:t>7</w:t>
                  </w:r>
                  <w:r>
                    <w:rPr>
                      <w:color w:val="auto"/>
                      <w:kern w:val="1"/>
                      <w:szCs w:val="21"/>
                      <w:highlight w:val="none"/>
                    </w:rPr>
                    <w:t>t/a</w:t>
                  </w:r>
                </w:p>
              </w:tc>
              <w:tc>
                <w:tcPr>
                  <w:tcW w:w="1547" w:type="pct"/>
                  <w:vMerge w:val="continue"/>
                  <w:vAlign w:val="center"/>
                </w:tcPr>
                <w:p w14:paraId="3242D6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p>
              </w:tc>
            </w:tr>
            <w:tr w14:paraId="425C1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43" w:type="pct"/>
                  <w:vAlign w:val="center"/>
                </w:tcPr>
                <w:p w14:paraId="134084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废活性炭</w:t>
                  </w:r>
                </w:p>
              </w:tc>
              <w:tc>
                <w:tcPr>
                  <w:tcW w:w="759" w:type="pct"/>
                  <w:vAlign w:val="center"/>
                </w:tcPr>
                <w:p w14:paraId="2D22E2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一般固废</w:t>
                  </w:r>
                </w:p>
              </w:tc>
              <w:tc>
                <w:tcPr>
                  <w:tcW w:w="891" w:type="pct"/>
                  <w:vAlign w:val="center"/>
                </w:tcPr>
                <w:p w14:paraId="2E5D74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900-008-S59</w:t>
                  </w:r>
                </w:p>
              </w:tc>
              <w:tc>
                <w:tcPr>
                  <w:tcW w:w="758" w:type="pct"/>
                  <w:vAlign w:val="center"/>
                </w:tcPr>
                <w:p w14:paraId="525AE5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lang w:bidi="ar"/>
                    </w:rPr>
                  </w:pPr>
                  <w:r>
                    <w:rPr>
                      <w:color w:val="auto"/>
                      <w:szCs w:val="21"/>
                      <w:highlight w:val="none"/>
                    </w:rPr>
                    <w:t>12t/a</w:t>
                  </w:r>
                </w:p>
              </w:tc>
              <w:tc>
                <w:tcPr>
                  <w:tcW w:w="1547" w:type="pct"/>
                  <w:vAlign w:val="center"/>
                </w:tcPr>
                <w:p w14:paraId="0422B3E5">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kern w:val="0"/>
                      <w:szCs w:val="21"/>
                      <w:highlight w:val="none"/>
                      <w:lang w:bidi="ar"/>
                    </w:rPr>
                  </w:pPr>
                  <w:r>
                    <w:rPr>
                      <w:color w:val="auto"/>
                      <w:highlight w:val="none"/>
                    </w:rPr>
                    <w:t>废活性炭和污水处理站污泥</w:t>
                  </w:r>
                  <w:r>
                    <w:rPr>
                      <w:color w:val="auto"/>
                      <w:szCs w:val="21"/>
                      <w:highlight w:val="none"/>
                    </w:rPr>
                    <w:t>定期运往</w:t>
                  </w:r>
                  <w:r>
                    <w:rPr>
                      <w:color w:val="auto"/>
                      <w:highlight w:val="none"/>
                    </w:rPr>
                    <w:t>云南龙氏肥业有限公司</w:t>
                  </w:r>
                  <w:r>
                    <w:rPr>
                      <w:color w:val="auto"/>
                      <w:szCs w:val="21"/>
                      <w:highlight w:val="none"/>
                    </w:rPr>
                    <w:t>处置。</w:t>
                  </w:r>
                </w:p>
              </w:tc>
            </w:tr>
            <w:tr w14:paraId="75F7B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43" w:type="pct"/>
                  <w:vAlign w:val="center"/>
                </w:tcPr>
                <w:p w14:paraId="61DC1D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废矿物油</w:t>
                  </w:r>
                </w:p>
              </w:tc>
              <w:tc>
                <w:tcPr>
                  <w:tcW w:w="759" w:type="pct"/>
                  <w:vAlign w:val="center"/>
                </w:tcPr>
                <w:p w14:paraId="547459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危险固废</w:t>
                  </w:r>
                </w:p>
              </w:tc>
              <w:tc>
                <w:tcPr>
                  <w:tcW w:w="891" w:type="pct"/>
                  <w:vAlign w:val="center"/>
                </w:tcPr>
                <w:p w14:paraId="0E8DCB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900-214-08</w:t>
                  </w:r>
                </w:p>
              </w:tc>
              <w:tc>
                <w:tcPr>
                  <w:tcW w:w="758" w:type="pct"/>
                  <w:vAlign w:val="center"/>
                </w:tcPr>
                <w:p w14:paraId="70C676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1"/>
                      <w:szCs w:val="21"/>
                      <w:highlight w:val="none"/>
                    </w:rPr>
                  </w:pPr>
                  <w:r>
                    <w:rPr>
                      <w:color w:val="auto"/>
                      <w:kern w:val="1"/>
                      <w:szCs w:val="21"/>
                      <w:highlight w:val="none"/>
                    </w:rPr>
                    <w:t>0.05t/a</w:t>
                  </w:r>
                </w:p>
              </w:tc>
              <w:tc>
                <w:tcPr>
                  <w:tcW w:w="1547" w:type="pct"/>
                  <w:vAlign w:val="center"/>
                </w:tcPr>
                <w:p w14:paraId="08B07EA8">
                  <w:pPr>
                    <w:keepNext w:val="0"/>
                    <w:keepLines w:val="0"/>
                    <w:pageBreakBefore w:val="0"/>
                    <w:widowControl w:val="0"/>
                    <w:kinsoku/>
                    <w:wordWrap/>
                    <w:overflowPunct/>
                    <w:topLinePunct w:val="0"/>
                    <w:autoSpaceDE/>
                    <w:autoSpaceDN/>
                    <w:bidi w:val="0"/>
                    <w:adjustRightInd/>
                    <w:snapToGrid/>
                    <w:spacing w:line="320" w:lineRule="exact"/>
                    <w:jc w:val="left"/>
                    <w:textAlignment w:val="auto"/>
                    <w:rPr>
                      <w:color w:val="auto"/>
                      <w:kern w:val="1"/>
                      <w:szCs w:val="21"/>
                      <w:highlight w:val="none"/>
                    </w:rPr>
                  </w:pPr>
                  <w:r>
                    <w:rPr>
                      <w:color w:val="auto"/>
                      <w:kern w:val="0"/>
                      <w:szCs w:val="21"/>
                      <w:highlight w:val="none"/>
                      <w:lang w:bidi="ar"/>
                    </w:rPr>
                    <w:t>暂存于已建6m</w:t>
                  </w:r>
                  <w:r>
                    <w:rPr>
                      <w:color w:val="auto"/>
                      <w:kern w:val="0"/>
                      <w:szCs w:val="21"/>
                      <w:highlight w:val="none"/>
                      <w:vertAlign w:val="superscript"/>
                      <w:lang w:bidi="ar"/>
                    </w:rPr>
                    <w:t>2</w:t>
                  </w:r>
                  <w:r>
                    <w:rPr>
                      <w:color w:val="auto"/>
                      <w:kern w:val="0"/>
                      <w:szCs w:val="21"/>
                      <w:highlight w:val="none"/>
                      <w:lang w:bidi="ar"/>
                    </w:rPr>
                    <w:t>的</w:t>
                  </w:r>
                  <w:r>
                    <w:rPr>
                      <w:color w:val="auto"/>
                      <w:highlight w:val="none"/>
                    </w:rPr>
                    <w:t>危险废物贮存库</w:t>
                  </w:r>
                  <w:r>
                    <w:rPr>
                      <w:color w:val="auto"/>
                      <w:kern w:val="0"/>
                      <w:szCs w:val="21"/>
                      <w:highlight w:val="none"/>
                      <w:lang w:bidi="ar"/>
                    </w:rPr>
                    <w:t>，定期交由云南泽森环保科技有限公司进行处理，并建立健全危险废物产生、处理、转移台账记录。</w:t>
                  </w:r>
                </w:p>
              </w:tc>
            </w:tr>
          </w:tbl>
          <w:p w14:paraId="1AF98F07">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b/>
                <w:bCs/>
                <w:color w:val="auto"/>
                <w:sz w:val="24"/>
                <w:szCs w:val="24"/>
                <w:highlight w:val="none"/>
                <w:lang w:val="en-US"/>
              </w:rPr>
            </w:pPr>
            <w:r>
              <w:rPr>
                <w:rFonts w:hint="eastAsia"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w:t>
            </w:r>
            <w:r>
              <w:rPr>
                <w:rFonts w:hint="eastAsia" w:cs="Times New Roman"/>
                <w:b/>
                <w:bCs/>
                <w:color w:val="auto"/>
                <w:sz w:val="24"/>
                <w:szCs w:val="24"/>
                <w:highlight w:val="none"/>
                <w:lang w:val="en-US" w:eastAsia="zh-CN"/>
              </w:rPr>
              <w:t>现有工程环保督促整改情况</w:t>
            </w:r>
          </w:p>
          <w:p w14:paraId="74644A5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根据调查，2025年5月13日，昆明市生态环境局对现有项目检查发现，现有项目存在管道破损导致废水泄露事故；根据《昆明市生态环境局行政处罚决定书》（见附件19）文号：昆生环罚[2025]11-04号，，现有项目已于2025年5月14日完成对围栏外污水收集PVC管道漏点段更换，对冲洗水进行导流收集，修复PVC管道末端金属罐体内浮球阀及污水提升泵，并及时抽取金属罐污水至污水处理系统。于2025年5月20日向寻甸分局提交书面整改报告。</w:t>
            </w:r>
          </w:p>
          <w:p w14:paraId="7538192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目前项目已完成整改和缴纳罚款。</w:t>
            </w:r>
          </w:p>
          <w:p w14:paraId="3A878635">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b/>
                <w:bCs/>
                <w:color w:val="auto"/>
                <w:sz w:val="24"/>
                <w:szCs w:val="24"/>
                <w:highlight w:val="none"/>
              </w:rPr>
            </w:pPr>
            <w:r>
              <w:rPr>
                <w:rFonts w:hint="eastAsia"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现有工程主要存在的环境问题</w:t>
            </w:r>
          </w:p>
          <w:p w14:paraId="368C3BE6">
            <w:pPr>
              <w:pStyle w:val="14"/>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事故应急池中存有积水，尚未排空。该积水占用了应急池的有效应急容积，一旦发生生产废水泄漏、处理设施故障溢流等突发环境事件，应急池将无法及时接纳事故废水，可能导致废水外溢至厂区外环境，引发土壤、地下水或地表水的污染风险。</w:t>
            </w:r>
          </w:p>
          <w:p w14:paraId="55D4FBCD">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sz w:val="24"/>
                <w:szCs w:val="24"/>
                <w:highlight w:val="none"/>
              </w:rPr>
            </w:pPr>
            <w:r>
              <w:rPr>
                <w:rFonts w:hint="eastAsia"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rPr>
              <w:t>、以新带老整改措施</w:t>
            </w:r>
          </w:p>
          <w:p w14:paraId="6A26343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1</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针对事故应急池积水问题，采取以下整改措施：</w:t>
            </w:r>
          </w:p>
          <w:p w14:paraId="724E3EB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是立即排空池内积水，将积水纳入厂区现有废水处理系统处理达标后排放，严禁未经处理直接外排；</w:t>
            </w:r>
          </w:p>
          <w:p w14:paraId="28DFA7C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是积水排空后，对池体防渗层进行全面检查，若发现破损及时修复，确保池体防渗性能符合规范要求；</w:t>
            </w:r>
          </w:p>
          <w:p w14:paraId="2A27DE4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是建立事故应急池日常巡查维护机制，每周至少开展1次巡查，记录池内状态，发现积水及时清理，保证应急池始终处于空置备用状态；</w:t>
            </w:r>
          </w:p>
          <w:p w14:paraId="589C9D2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是完善应急池管理台账，详细记录巡查、维护、检测及处理情况，强化环境风险防控责任落实。</w:t>
            </w:r>
          </w:p>
          <w:p w14:paraId="47A6D9B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szCs w:val="24"/>
                <w:highlight w:val="none"/>
                <w:lang w:bidi="ar"/>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2</w:t>
            </w:r>
            <w:r>
              <w:rPr>
                <w:rFonts w:hint="eastAsia" w:cs="Times New Roman"/>
                <w:color w:val="auto"/>
                <w:sz w:val="24"/>
                <w:szCs w:val="24"/>
                <w:highlight w:val="none"/>
                <w:lang w:eastAsia="zh-CN"/>
              </w:rPr>
              <w:t>）</w:t>
            </w:r>
            <w:r>
              <w:rPr>
                <w:rFonts w:hint="eastAsia" w:cs="Times New Roman" w:eastAsiaTheme="minorEastAsia"/>
                <w:color w:val="auto"/>
                <w:kern w:val="0"/>
                <w:sz w:val="24"/>
                <w:highlight w:val="none"/>
                <w:lang w:val="en-US" w:eastAsia="zh-CN" w:bidi="ar"/>
              </w:rPr>
              <w:t>将现有果蔬废弃物粉碎压榨脱水生产线产生果蔬渣调整利用，其中270t/d果蔬渣添加辅料（玉米秸秆、甘蔗叶子、菊花渣、椰糠、菌群）通过翻堆发酵生产工艺生产固体复合微生物肥料，调整后</w:t>
            </w:r>
            <w:r>
              <w:rPr>
                <w:rFonts w:hint="default" w:ascii="Times New Roman" w:hAnsi="Times New Roman" w:eastAsia="宋体" w:cs="Times New Roman"/>
                <w:color w:val="auto"/>
                <w:kern w:val="0"/>
                <w:sz w:val="24"/>
                <w:szCs w:val="24"/>
                <w:highlight w:val="none"/>
                <w:lang w:bidi="ar"/>
              </w:rPr>
              <w:t>大幅减少需要烘干的果蔬渣量</w:t>
            </w:r>
            <w:r>
              <w:rPr>
                <w:rFonts w:hint="eastAsia" w:cs="Times New Roman"/>
                <w:color w:val="auto"/>
                <w:kern w:val="0"/>
                <w:sz w:val="24"/>
                <w:szCs w:val="24"/>
                <w:highlight w:val="none"/>
                <w:lang w:eastAsia="zh-CN" w:bidi="ar"/>
              </w:rPr>
              <w:t>，</w:t>
            </w:r>
            <w:r>
              <w:rPr>
                <w:rFonts w:hint="default" w:ascii="Times New Roman" w:hAnsi="Times New Roman" w:eastAsia="宋体" w:cs="Times New Roman"/>
                <w:color w:val="auto"/>
                <w:kern w:val="0"/>
                <w:sz w:val="24"/>
                <w:szCs w:val="24"/>
                <w:highlight w:val="none"/>
                <w:lang w:bidi="ar"/>
              </w:rPr>
              <w:t>这一改造不仅显著降低了烘干工序的能源消耗，也使得烘干过程中产生的废气排放量相应减少，有效减轻了对大气环境的影响。</w:t>
            </w:r>
          </w:p>
          <w:p w14:paraId="503158EE">
            <w:pPr>
              <w:pStyle w:val="25"/>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eastAsia"/>
                <w:color w:val="auto"/>
                <w:highlight w:val="none"/>
                <w:lang w:eastAsia="zh-CN"/>
              </w:rPr>
            </w:pPr>
            <w:r>
              <w:rPr>
                <w:rFonts w:hint="eastAsia" w:cs="Times New Roman" w:eastAsiaTheme="minorEastAsia"/>
                <w:color w:val="auto"/>
                <w:kern w:val="0"/>
                <w:sz w:val="24"/>
                <w:highlight w:val="none"/>
                <w:lang w:val="en-US" w:eastAsia="zh-CN" w:bidi="ar"/>
              </w:rPr>
              <w:t>（3）将现有果蔬废弃物粉碎压榨脱水生产线产生的部分尾菜废水（42.9m</w:t>
            </w:r>
            <w:r>
              <w:rPr>
                <w:rFonts w:hint="eastAsia" w:cs="Times New Roman" w:eastAsiaTheme="minorEastAsia"/>
                <w:color w:val="auto"/>
                <w:kern w:val="0"/>
                <w:sz w:val="24"/>
                <w:highlight w:val="none"/>
                <w:vertAlign w:val="superscript"/>
                <w:lang w:val="en-US" w:eastAsia="zh-CN" w:bidi="ar"/>
              </w:rPr>
              <w:t>3</w:t>
            </w:r>
            <w:r>
              <w:rPr>
                <w:rFonts w:hint="eastAsia" w:cs="Times New Roman" w:eastAsiaTheme="minorEastAsia"/>
                <w:color w:val="auto"/>
                <w:kern w:val="0"/>
                <w:sz w:val="24"/>
                <w:highlight w:val="none"/>
                <w:lang w:val="en-US" w:eastAsia="zh-CN" w:bidi="ar"/>
              </w:rPr>
              <w:t>/d）调整利用，其加入辅料（糖蜜、元素型营养盐、聚谷氨酸），使用冰醋酸调节pH，接种乳酸菌等菌群后采取封闭发酵罐发酵生产液体复合微生物肥，</w:t>
            </w:r>
            <w:r>
              <w:rPr>
                <w:rFonts w:hint="default" w:ascii="Times New Roman" w:hAnsi="Times New Roman" w:eastAsia="宋体" w:cs="Times New Roman"/>
                <w:color w:val="auto"/>
                <w:kern w:val="0"/>
                <w:sz w:val="24"/>
                <w:szCs w:val="24"/>
                <w:highlight w:val="none"/>
                <w:lang w:bidi="ar"/>
              </w:rPr>
              <w:t>这一举措实现了对废弃资源的深度与综合利用，将原本可能成为污染源的废水转化为具有农业应用价值的产品，从而显著降低了高浓度有机污水的排放量。因此，从提升资源利用效率、发展循环经济的层面进行评估，该方案的依托利用同样具有显著的</w:t>
            </w:r>
            <w:r>
              <w:rPr>
                <w:rFonts w:hint="default" w:ascii="Times New Roman" w:hAnsi="Times New Roman" w:eastAsia="宋体" w:cs="Times New Roman"/>
                <w:color w:val="auto"/>
                <w:kern w:val="0"/>
                <w:sz w:val="24"/>
                <w:szCs w:val="24"/>
                <w:highlight w:val="none"/>
              </w:rPr>
              <w:t>可行性与积极意义。</w:t>
            </w:r>
          </w:p>
        </w:tc>
      </w:tr>
    </w:tbl>
    <w:p w14:paraId="3065F751">
      <w:pPr>
        <w:pStyle w:val="44"/>
        <w:widowControl w:val="0"/>
        <w:spacing w:before="0" w:beforeAutospacing="0" w:after="0" w:afterAutospacing="0"/>
        <w:jc w:val="center"/>
        <w:rPr>
          <w:rFonts w:hint="eastAsia" w:ascii="黑体" w:hAnsi="黑体" w:eastAsia="黑体"/>
          <w:color w:val="auto"/>
          <w:kern w:val="0"/>
          <w:sz w:val="21"/>
          <w:szCs w:val="21"/>
          <w:highlight w:val="none"/>
        </w:rPr>
        <w:sectPr>
          <w:pgSz w:w="11906" w:h="16838"/>
          <w:pgMar w:top="1701" w:right="1417" w:bottom="1417" w:left="1417" w:header="851" w:footer="851" w:gutter="0"/>
          <w:pgBorders>
            <w:top w:val="none" w:sz="0" w:space="0"/>
            <w:left w:val="none" w:sz="0" w:space="0"/>
            <w:bottom w:val="none" w:sz="0" w:space="0"/>
            <w:right w:val="none" w:sz="0" w:space="0"/>
          </w:pgBorders>
          <w:pgNumType w:start="1"/>
          <w:cols w:space="720" w:num="1"/>
          <w:docGrid w:linePitch="312" w:charSpace="0"/>
        </w:sectPr>
      </w:pPr>
    </w:p>
    <w:p w14:paraId="52CDAC20">
      <w:pPr>
        <w:pStyle w:val="44"/>
        <w:widowControl w:val="0"/>
        <w:spacing w:before="0" w:beforeAutospacing="0" w:after="0" w:afterAutospacing="0" w:line="360" w:lineRule="auto"/>
        <w:jc w:val="center"/>
        <w:outlineLvl w:val="0"/>
        <w:rPr>
          <w:rFonts w:hint="eastAsia" w:ascii="黑体" w:hAnsi="黑体" w:eastAsia="黑体"/>
          <w:color w:val="auto"/>
          <w:kern w:val="0"/>
          <w:sz w:val="30"/>
          <w:szCs w:val="30"/>
          <w:highlight w:val="none"/>
        </w:rPr>
      </w:pPr>
      <w:bookmarkStart w:id="38" w:name="_Toc3557"/>
      <w:bookmarkStart w:id="39" w:name="_Toc19397"/>
      <w:bookmarkStart w:id="40" w:name="_Toc16299"/>
      <w:bookmarkStart w:id="41" w:name="_Toc30799"/>
      <w:r>
        <w:rPr>
          <w:rFonts w:hint="eastAsia" w:ascii="黑体" w:hAnsi="黑体" w:eastAsia="黑体"/>
          <w:color w:val="auto"/>
          <w:kern w:val="0"/>
          <w:sz w:val="30"/>
          <w:szCs w:val="30"/>
          <w:highlight w:val="none"/>
        </w:rPr>
        <w:t>三、区域环境质量现状、环境保护目标及评价标准</w:t>
      </w:r>
      <w:bookmarkEnd w:id="38"/>
      <w:bookmarkEnd w:id="39"/>
      <w:bookmarkEnd w:id="40"/>
      <w:bookmarkEnd w:id="41"/>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1"/>
        <w:gridCol w:w="8537"/>
      </w:tblGrid>
      <w:tr w14:paraId="5F2FB9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52" w:hRule="atLeast"/>
          <w:jc w:val="center"/>
        </w:trPr>
        <w:tc>
          <w:tcPr>
            <w:tcW w:w="751" w:type="dxa"/>
            <w:vAlign w:val="center"/>
          </w:tcPr>
          <w:p w14:paraId="37512F54">
            <w:pPr>
              <w:jc w:val="center"/>
              <w:rPr>
                <w:color w:val="auto"/>
                <w:kern w:val="0"/>
                <w:sz w:val="24"/>
                <w:highlight w:val="none"/>
              </w:rPr>
            </w:pPr>
            <w:r>
              <w:rPr>
                <w:color w:val="auto"/>
                <w:kern w:val="0"/>
                <w:sz w:val="24"/>
                <w:highlight w:val="none"/>
              </w:rPr>
              <w:t>区域</w:t>
            </w:r>
          </w:p>
          <w:p w14:paraId="40916BFA">
            <w:pPr>
              <w:jc w:val="center"/>
              <w:rPr>
                <w:color w:val="auto"/>
                <w:kern w:val="0"/>
                <w:sz w:val="24"/>
                <w:highlight w:val="none"/>
              </w:rPr>
            </w:pPr>
            <w:r>
              <w:rPr>
                <w:color w:val="auto"/>
                <w:kern w:val="0"/>
                <w:sz w:val="24"/>
                <w:highlight w:val="none"/>
              </w:rPr>
              <w:t>环境</w:t>
            </w:r>
          </w:p>
          <w:p w14:paraId="25E83415">
            <w:pPr>
              <w:jc w:val="center"/>
              <w:rPr>
                <w:color w:val="auto"/>
                <w:kern w:val="0"/>
                <w:sz w:val="24"/>
                <w:highlight w:val="none"/>
              </w:rPr>
            </w:pPr>
            <w:r>
              <w:rPr>
                <w:color w:val="auto"/>
                <w:kern w:val="0"/>
                <w:sz w:val="24"/>
                <w:highlight w:val="none"/>
              </w:rPr>
              <w:t>质量</w:t>
            </w:r>
          </w:p>
          <w:p w14:paraId="5822D06F">
            <w:pPr>
              <w:jc w:val="center"/>
              <w:rPr>
                <w:color w:val="auto"/>
                <w:kern w:val="0"/>
                <w:szCs w:val="21"/>
                <w:highlight w:val="none"/>
              </w:rPr>
            </w:pPr>
            <w:r>
              <w:rPr>
                <w:color w:val="auto"/>
                <w:kern w:val="0"/>
                <w:sz w:val="24"/>
                <w:highlight w:val="none"/>
              </w:rPr>
              <w:t>现状</w:t>
            </w:r>
          </w:p>
        </w:tc>
        <w:tc>
          <w:tcPr>
            <w:tcW w:w="8537" w:type="dxa"/>
            <w:vAlign w:val="center"/>
          </w:tcPr>
          <w:p w14:paraId="4AA3251D">
            <w:pPr>
              <w:keepNext w:val="0"/>
              <w:keepLines w:val="0"/>
              <w:pageBreakBefore w:val="0"/>
              <w:widowControl w:val="0"/>
              <w:kinsoku/>
              <w:wordWrap/>
              <w:overflowPunct/>
              <w:topLinePunct w:val="0"/>
              <w:autoSpaceDE/>
              <w:autoSpaceDN/>
              <w:bidi w:val="0"/>
              <w:spacing w:line="440" w:lineRule="exact"/>
              <w:textAlignment w:val="auto"/>
              <w:rPr>
                <w:b/>
                <w:color w:val="auto"/>
                <w:kern w:val="0"/>
                <w:sz w:val="24"/>
                <w:highlight w:val="none"/>
              </w:rPr>
            </w:pPr>
            <w:r>
              <w:rPr>
                <w:b/>
                <w:color w:val="auto"/>
                <w:kern w:val="0"/>
                <w:sz w:val="24"/>
                <w:highlight w:val="none"/>
              </w:rPr>
              <w:t>1、环境空气质量现状</w:t>
            </w:r>
          </w:p>
          <w:p w14:paraId="6FD3ADDD">
            <w:pPr>
              <w:keepNext w:val="0"/>
              <w:keepLines w:val="0"/>
              <w:pageBreakBefore w:val="0"/>
              <w:widowControl w:val="0"/>
              <w:kinsoku/>
              <w:wordWrap/>
              <w:overflowPunct/>
              <w:topLinePunct w:val="0"/>
              <w:autoSpaceDE/>
              <w:autoSpaceDN/>
              <w:bidi w:val="0"/>
              <w:spacing w:line="440" w:lineRule="exact"/>
              <w:ind w:firstLine="482" w:firstLineChars="200"/>
              <w:textAlignment w:val="auto"/>
              <w:rPr>
                <w:b/>
                <w:bCs/>
                <w:color w:val="auto"/>
                <w:kern w:val="0"/>
                <w:sz w:val="24"/>
                <w:highlight w:val="none"/>
              </w:rPr>
            </w:pPr>
            <w:r>
              <w:rPr>
                <w:rFonts w:hint="eastAsia"/>
                <w:b/>
                <w:bCs/>
                <w:color w:val="auto"/>
                <w:kern w:val="0"/>
                <w:sz w:val="24"/>
                <w:highlight w:val="none"/>
              </w:rPr>
              <w:t>（1）</w:t>
            </w:r>
            <w:r>
              <w:rPr>
                <w:b/>
                <w:bCs/>
                <w:color w:val="auto"/>
                <w:kern w:val="0"/>
                <w:sz w:val="24"/>
                <w:highlight w:val="none"/>
              </w:rPr>
              <w:t>环境空气质量标准</w:t>
            </w:r>
          </w:p>
          <w:p w14:paraId="7E0E295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auto"/>
                <w:sz w:val="24"/>
                <w:highlight w:val="none"/>
              </w:rPr>
            </w:pPr>
            <w:r>
              <w:rPr>
                <w:color w:val="auto"/>
                <w:kern w:val="0"/>
                <w:sz w:val="24"/>
                <w:highlight w:val="none"/>
              </w:rPr>
              <w:t>项目位于云南省昆明市寻甸县仁德街道，</w:t>
            </w:r>
            <w:r>
              <w:rPr>
                <w:color w:val="auto"/>
                <w:sz w:val="24"/>
                <w:highlight w:val="none"/>
              </w:rPr>
              <w:t>属于</w:t>
            </w:r>
            <w:r>
              <w:rPr>
                <w:rFonts w:hint="eastAsia"/>
                <w:color w:val="auto"/>
                <w:sz w:val="24"/>
                <w:highlight w:val="none"/>
              </w:rPr>
              <w:t>乡镇地</w:t>
            </w:r>
            <w:r>
              <w:rPr>
                <w:color w:val="auto"/>
                <w:sz w:val="24"/>
                <w:highlight w:val="none"/>
              </w:rPr>
              <w:t>区，</w:t>
            </w:r>
            <w:r>
              <w:rPr>
                <w:rFonts w:hint="eastAsia"/>
                <w:color w:val="auto"/>
                <w:sz w:val="24"/>
                <w:highlight w:val="none"/>
              </w:rPr>
              <w:t>根据《环境空气质量标准》（GB 3095—2026）中环境空气功能区划分，</w:t>
            </w:r>
            <w:r>
              <w:rPr>
                <w:color w:val="auto"/>
                <w:sz w:val="24"/>
                <w:highlight w:val="none"/>
              </w:rPr>
              <w:t>项目所在地属于环境空气质量二类区</w:t>
            </w:r>
            <w:r>
              <w:rPr>
                <w:rFonts w:hint="eastAsia"/>
                <w:color w:val="auto"/>
                <w:sz w:val="24"/>
                <w:highlight w:val="none"/>
              </w:rPr>
              <w:t xml:space="preserve"> </w:t>
            </w:r>
            <w:r>
              <w:rPr>
                <w:color w:val="auto"/>
                <w:sz w:val="24"/>
                <w:highlight w:val="none"/>
              </w:rPr>
              <w:t>。</w:t>
            </w:r>
            <w:r>
              <w:rPr>
                <w:rFonts w:hint="eastAsia"/>
                <w:color w:val="auto"/>
                <w:sz w:val="24"/>
                <w:highlight w:val="none"/>
              </w:rPr>
              <w:t>根据文件要求，自标准实施之日起至2030年12月31日止，环境空气污染物基本项目（表1）实施过渡阶段浓度限值。2031执行浓度限值要求。</w:t>
            </w:r>
          </w:p>
          <w:p w14:paraId="26C1D97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auto"/>
                <w:kern w:val="0"/>
                <w:sz w:val="24"/>
                <w:highlight w:val="none"/>
              </w:rPr>
            </w:pPr>
            <w:r>
              <w:rPr>
                <w:rFonts w:hint="eastAsia"/>
                <w:color w:val="auto"/>
                <w:sz w:val="24"/>
                <w:highlight w:val="none"/>
              </w:rPr>
              <w:t>因此</w:t>
            </w:r>
            <w:r>
              <w:rPr>
                <w:rFonts w:hint="eastAsia"/>
                <w:color w:val="auto"/>
                <w:sz w:val="24"/>
                <w:highlight w:val="none"/>
                <w:lang w:val="en-US" w:eastAsia="zh-CN"/>
              </w:rPr>
              <w:t>,</w:t>
            </w:r>
            <w:r>
              <w:rPr>
                <w:rFonts w:hint="eastAsia"/>
                <w:color w:val="auto"/>
                <w:sz w:val="24"/>
                <w:highlight w:val="none"/>
              </w:rPr>
              <w:t>本项目</w:t>
            </w:r>
            <w:r>
              <w:rPr>
                <w:color w:val="auto"/>
                <w:sz w:val="24"/>
                <w:highlight w:val="none"/>
              </w:rPr>
              <w:t>所在地属于环境空气质量二类区</w:t>
            </w:r>
            <w:r>
              <w:rPr>
                <w:rFonts w:hint="eastAsia"/>
                <w:color w:val="auto"/>
                <w:sz w:val="24"/>
                <w:highlight w:val="none"/>
              </w:rPr>
              <w:t>，执行</w:t>
            </w:r>
            <w:r>
              <w:rPr>
                <w:color w:val="auto"/>
                <w:sz w:val="24"/>
                <w:highlight w:val="none"/>
              </w:rPr>
              <w:t>《环境空气质量标准》（GB3095-20</w:t>
            </w:r>
            <w:r>
              <w:rPr>
                <w:rFonts w:hint="eastAsia"/>
                <w:color w:val="auto"/>
                <w:sz w:val="24"/>
                <w:highlight w:val="none"/>
              </w:rPr>
              <w:t>26</w:t>
            </w:r>
            <w:r>
              <w:rPr>
                <w:color w:val="auto"/>
                <w:sz w:val="24"/>
                <w:highlight w:val="none"/>
              </w:rPr>
              <w:t>）</w:t>
            </w:r>
            <w:r>
              <w:rPr>
                <w:rFonts w:hint="eastAsia"/>
                <w:color w:val="auto"/>
                <w:sz w:val="24"/>
                <w:highlight w:val="none"/>
              </w:rPr>
              <w:t>过渡阶段浓度限值</w:t>
            </w:r>
            <w:r>
              <w:rPr>
                <w:color w:val="auto"/>
                <w:sz w:val="24"/>
                <w:highlight w:val="none"/>
              </w:rPr>
              <w:t>二级标准。</w:t>
            </w:r>
            <w:r>
              <w:rPr>
                <w:rFonts w:hint="eastAsia"/>
                <w:color w:val="auto"/>
                <w:kern w:val="0"/>
                <w:sz w:val="24"/>
                <w:highlight w:val="none"/>
              </w:rPr>
              <w:t>标准值见表3-1。</w:t>
            </w:r>
          </w:p>
          <w:p w14:paraId="75BF9C17">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b/>
                <w:color w:val="auto"/>
                <w:kern w:val="0"/>
                <w:szCs w:val="20"/>
                <w:highlight w:val="none"/>
                <w:vertAlign w:val="superscript"/>
              </w:rPr>
            </w:pPr>
            <w:r>
              <w:rPr>
                <w:b/>
                <w:color w:val="auto"/>
                <w:kern w:val="0"/>
                <w:szCs w:val="20"/>
                <w:highlight w:val="none"/>
              </w:rPr>
              <w:t>表3-1  环境空气质量标准 单位：μg/m</w:t>
            </w:r>
            <w:r>
              <w:rPr>
                <w:b/>
                <w:color w:val="auto"/>
                <w:kern w:val="0"/>
                <w:szCs w:val="20"/>
                <w:highlight w:val="none"/>
                <w:vertAlign w:val="superscript"/>
              </w:rPr>
              <w:t>3</w:t>
            </w:r>
          </w:p>
          <w:tbl>
            <w:tblPr>
              <w:tblStyle w:val="26"/>
              <w:tblW w:w="5052"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53"/>
              <w:gridCol w:w="1908"/>
              <w:gridCol w:w="1714"/>
              <w:gridCol w:w="1211"/>
              <w:gridCol w:w="2007"/>
            </w:tblGrid>
            <w:tr w14:paraId="567D6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Align w:val="center"/>
                </w:tcPr>
                <w:p w14:paraId="52D4089A">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污染物名称</w:t>
                  </w:r>
                </w:p>
              </w:tc>
              <w:tc>
                <w:tcPr>
                  <w:tcW w:w="1136" w:type="pct"/>
                  <w:vAlign w:val="center"/>
                </w:tcPr>
                <w:p w14:paraId="2B5AEBAA">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取值时间</w:t>
                  </w:r>
                </w:p>
              </w:tc>
              <w:tc>
                <w:tcPr>
                  <w:tcW w:w="1021" w:type="pct"/>
                  <w:tcBorders>
                    <w:right w:val="single" w:color="auto" w:sz="4" w:space="0"/>
                  </w:tcBorders>
                  <w:vAlign w:val="center"/>
                </w:tcPr>
                <w:p w14:paraId="5A0FABED">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过渡阶段浓度二级标准浓度限值</w:t>
                  </w:r>
                </w:p>
                <w:p w14:paraId="264394C4">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（二级）</w:t>
                  </w:r>
                </w:p>
              </w:tc>
              <w:tc>
                <w:tcPr>
                  <w:tcW w:w="721" w:type="pct"/>
                  <w:tcBorders>
                    <w:left w:val="single" w:color="auto" w:sz="4" w:space="0"/>
                  </w:tcBorders>
                  <w:vAlign w:val="center"/>
                </w:tcPr>
                <w:p w14:paraId="09AEEBBD">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浓度限值</w:t>
                  </w:r>
                </w:p>
                <w:p w14:paraId="16965E8C">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（二级）</w:t>
                  </w:r>
                </w:p>
              </w:tc>
              <w:tc>
                <w:tcPr>
                  <w:tcW w:w="1195" w:type="pct"/>
                  <w:tcBorders>
                    <w:left w:val="single" w:color="auto" w:sz="4" w:space="0"/>
                  </w:tcBorders>
                  <w:vAlign w:val="center"/>
                </w:tcPr>
                <w:p w14:paraId="21B5CCC5">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标准来源</w:t>
                  </w:r>
                </w:p>
              </w:tc>
            </w:tr>
            <w:tr w14:paraId="1A139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restart"/>
                  <w:vAlign w:val="center"/>
                </w:tcPr>
                <w:p w14:paraId="4A63ECCD">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SO</w:t>
                  </w:r>
                  <w:r>
                    <w:rPr>
                      <w:rFonts w:hint="default" w:ascii="Times New Roman" w:hAnsi="Times New Roman" w:cs="Times New Roman" w:eastAsiaTheme="minorEastAsia"/>
                      <w:color w:val="auto"/>
                      <w:sz w:val="21"/>
                      <w:szCs w:val="21"/>
                      <w:highlight w:val="none"/>
                      <w:vertAlign w:val="subscript"/>
                    </w:rPr>
                    <w:t>2</w:t>
                  </w:r>
                </w:p>
              </w:tc>
              <w:tc>
                <w:tcPr>
                  <w:tcW w:w="1136" w:type="pct"/>
                  <w:vAlign w:val="center"/>
                </w:tcPr>
                <w:p w14:paraId="76804AA3">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年平均</w:t>
                  </w:r>
                </w:p>
              </w:tc>
              <w:tc>
                <w:tcPr>
                  <w:tcW w:w="1021" w:type="pct"/>
                  <w:tcBorders>
                    <w:right w:val="single" w:color="auto" w:sz="4" w:space="0"/>
                  </w:tcBorders>
                  <w:vAlign w:val="center"/>
                </w:tcPr>
                <w:p w14:paraId="32BC4B13">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60</w:t>
                  </w:r>
                </w:p>
              </w:tc>
              <w:tc>
                <w:tcPr>
                  <w:tcW w:w="721" w:type="pct"/>
                  <w:tcBorders>
                    <w:left w:val="single" w:color="auto" w:sz="4" w:space="0"/>
                  </w:tcBorders>
                  <w:vAlign w:val="center"/>
                </w:tcPr>
                <w:p w14:paraId="7C98D51E">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r>
                    <w:rPr>
                      <w:rFonts w:hint="default" w:ascii="Times New Roman" w:hAnsi="Times New Roman" w:cs="Times New Roman" w:eastAsiaTheme="minorEastAsia"/>
                      <w:b w:val="0"/>
                      <w:bCs w:val="0"/>
                      <w:color w:val="auto"/>
                      <w:sz w:val="21"/>
                      <w:szCs w:val="21"/>
                      <w:highlight w:val="none"/>
                    </w:rPr>
                    <w:t>20</w:t>
                  </w:r>
                </w:p>
              </w:tc>
              <w:tc>
                <w:tcPr>
                  <w:tcW w:w="1195" w:type="pct"/>
                  <w:vMerge w:val="restart"/>
                  <w:tcBorders>
                    <w:left w:val="single" w:color="auto" w:sz="4" w:space="0"/>
                  </w:tcBorders>
                  <w:vAlign w:val="center"/>
                </w:tcPr>
                <w:p w14:paraId="62EA8B9E">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bCs w:val="0"/>
                      <w:color w:val="auto"/>
                      <w:sz w:val="21"/>
                      <w:szCs w:val="21"/>
                      <w:highlight w:val="none"/>
                    </w:rPr>
                  </w:pPr>
                  <w:r>
                    <w:rPr>
                      <w:rFonts w:hint="default" w:ascii="Times New Roman" w:hAnsi="Times New Roman" w:cs="Times New Roman" w:eastAsiaTheme="minorEastAsia"/>
                      <w:b w:val="0"/>
                      <w:bCs w:val="0"/>
                      <w:color w:val="auto"/>
                      <w:sz w:val="21"/>
                      <w:szCs w:val="21"/>
                      <w:highlight w:val="none"/>
                    </w:rPr>
                    <w:t>《环境空气质量标准》</w:t>
                  </w:r>
                </w:p>
                <w:p w14:paraId="0E34C91A">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bCs w:val="0"/>
                      <w:color w:val="auto"/>
                      <w:sz w:val="21"/>
                      <w:szCs w:val="21"/>
                      <w:highlight w:val="none"/>
                    </w:rPr>
                  </w:pPr>
                  <w:r>
                    <w:rPr>
                      <w:rFonts w:hint="default" w:ascii="Times New Roman" w:hAnsi="Times New Roman" w:cs="Times New Roman" w:eastAsiaTheme="minorEastAsia"/>
                      <w:b w:val="0"/>
                      <w:bCs w:val="0"/>
                      <w:color w:val="auto"/>
                      <w:sz w:val="21"/>
                      <w:szCs w:val="21"/>
                      <w:highlight w:val="none"/>
                    </w:rPr>
                    <w:t>（GB3095-2026）</w:t>
                  </w:r>
                </w:p>
              </w:tc>
            </w:tr>
            <w:tr w14:paraId="0BEE8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continue"/>
                  <w:vAlign w:val="center"/>
                </w:tcPr>
                <w:p w14:paraId="7DC0B6DA">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color w:val="auto"/>
                      <w:sz w:val="21"/>
                      <w:szCs w:val="21"/>
                      <w:highlight w:val="none"/>
                    </w:rPr>
                  </w:pPr>
                </w:p>
              </w:tc>
              <w:tc>
                <w:tcPr>
                  <w:tcW w:w="1136" w:type="pct"/>
                  <w:vAlign w:val="center"/>
                </w:tcPr>
                <w:p w14:paraId="6533BDDB">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日平均</w:t>
                  </w:r>
                </w:p>
              </w:tc>
              <w:tc>
                <w:tcPr>
                  <w:tcW w:w="1021" w:type="pct"/>
                  <w:tcBorders>
                    <w:right w:val="single" w:color="auto" w:sz="4" w:space="0"/>
                  </w:tcBorders>
                  <w:vAlign w:val="center"/>
                </w:tcPr>
                <w:p w14:paraId="0D0773B9">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150</w:t>
                  </w:r>
                </w:p>
              </w:tc>
              <w:tc>
                <w:tcPr>
                  <w:tcW w:w="721" w:type="pct"/>
                  <w:tcBorders>
                    <w:left w:val="single" w:color="auto" w:sz="4" w:space="0"/>
                  </w:tcBorders>
                  <w:vAlign w:val="center"/>
                </w:tcPr>
                <w:p w14:paraId="71EF28AA">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r>
                    <w:rPr>
                      <w:rFonts w:hint="default" w:ascii="Times New Roman" w:hAnsi="Times New Roman" w:cs="Times New Roman" w:eastAsiaTheme="minorEastAsia"/>
                      <w:b w:val="0"/>
                      <w:bCs w:val="0"/>
                      <w:color w:val="auto"/>
                      <w:sz w:val="21"/>
                      <w:szCs w:val="21"/>
                      <w:highlight w:val="none"/>
                    </w:rPr>
                    <w:t>50</w:t>
                  </w:r>
                </w:p>
              </w:tc>
              <w:tc>
                <w:tcPr>
                  <w:tcW w:w="1195" w:type="pct"/>
                  <w:vMerge w:val="continue"/>
                  <w:tcBorders>
                    <w:left w:val="single" w:color="auto" w:sz="4" w:space="0"/>
                  </w:tcBorders>
                  <w:vAlign w:val="center"/>
                </w:tcPr>
                <w:p w14:paraId="7EF80541">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bCs w:val="0"/>
                      <w:color w:val="auto"/>
                      <w:sz w:val="21"/>
                      <w:szCs w:val="21"/>
                      <w:highlight w:val="none"/>
                    </w:rPr>
                  </w:pPr>
                </w:p>
              </w:tc>
            </w:tr>
            <w:tr w14:paraId="580FF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continue"/>
                  <w:vAlign w:val="center"/>
                </w:tcPr>
                <w:p w14:paraId="58A7C828">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color w:val="auto"/>
                      <w:sz w:val="21"/>
                      <w:szCs w:val="21"/>
                      <w:highlight w:val="none"/>
                    </w:rPr>
                  </w:pPr>
                </w:p>
              </w:tc>
              <w:tc>
                <w:tcPr>
                  <w:tcW w:w="1136" w:type="pct"/>
                  <w:vAlign w:val="center"/>
                </w:tcPr>
                <w:p w14:paraId="37B68817">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1小时平均</w:t>
                  </w:r>
                </w:p>
              </w:tc>
              <w:tc>
                <w:tcPr>
                  <w:tcW w:w="1021" w:type="pct"/>
                  <w:tcBorders>
                    <w:right w:val="single" w:color="auto" w:sz="4" w:space="0"/>
                  </w:tcBorders>
                  <w:vAlign w:val="center"/>
                </w:tcPr>
                <w:p w14:paraId="708FA0DC">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500</w:t>
                  </w:r>
                </w:p>
              </w:tc>
              <w:tc>
                <w:tcPr>
                  <w:tcW w:w="721" w:type="pct"/>
                  <w:tcBorders>
                    <w:left w:val="single" w:color="auto" w:sz="4" w:space="0"/>
                  </w:tcBorders>
                  <w:vAlign w:val="center"/>
                </w:tcPr>
                <w:p w14:paraId="511B1534">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r>
                    <w:rPr>
                      <w:rFonts w:hint="default" w:ascii="Times New Roman" w:hAnsi="Times New Roman" w:cs="Times New Roman" w:eastAsiaTheme="minorEastAsia"/>
                      <w:b w:val="0"/>
                      <w:bCs w:val="0"/>
                      <w:color w:val="auto"/>
                      <w:sz w:val="21"/>
                      <w:szCs w:val="21"/>
                      <w:highlight w:val="none"/>
                    </w:rPr>
                    <w:t>150</w:t>
                  </w:r>
                </w:p>
              </w:tc>
              <w:tc>
                <w:tcPr>
                  <w:tcW w:w="1195" w:type="pct"/>
                  <w:vMerge w:val="continue"/>
                  <w:tcBorders>
                    <w:left w:val="single" w:color="auto" w:sz="4" w:space="0"/>
                  </w:tcBorders>
                  <w:vAlign w:val="center"/>
                </w:tcPr>
                <w:p w14:paraId="17093A58">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bCs w:val="0"/>
                      <w:color w:val="auto"/>
                      <w:sz w:val="21"/>
                      <w:szCs w:val="21"/>
                      <w:highlight w:val="none"/>
                    </w:rPr>
                  </w:pPr>
                </w:p>
              </w:tc>
            </w:tr>
            <w:tr w14:paraId="298FF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restart"/>
                  <w:vAlign w:val="center"/>
                </w:tcPr>
                <w:p w14:paraId="784D7C50">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二氧化氮</w:t>
                  </w:r>
                </w:p>
                <w:p w14:paraId="4FA7116E">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（NO</w:t>
                  </w:r>
                  <w:r>
                    <w:rPr>
                      <w:rFonts w:hint="default" w:ascii="Times New Roman" w:hAnsi="Times New Roman" w:cs="Times New Roman" w:eastAsiaTheme="minorEastAsia"/>
                      <w:color w:val="auto"/>
                      <w:sz w:val="21"/>
                      <w:szCs w:val="21"/>
                      <w:highlight w:val="none"/>
                      <w:vertAlign w:val="subscript"/>
                    </w:rPr>
                    <w:t>2</w:t>
                  </w:r>
                  <w:r>
                    <w:rPr>
                      <w:rFonts w:hint="default" w:ascii="Times New Roman" w:hAnsi="Times New Roman" w:cs="Times New Roman" w:eastAsiaTheme="minorEastAsia"/>
                      <w:color w:val="auto"/>
                      <w:sz w:val="21"/>
                      <w:szCs w:val="21"/>
                      <w:highlight w:val="none"/>
                    </w:rPr>
                    <w:t>）</w:t>
                  </w:r>
                </w:p>
              </w:tc>
              <w:tc>
                <w:tcPr>
                  <w:tcW w:w="1136" w:type="pct"/>
                  <w:vAlign w:val="center"/>
                </w:tcPr>
                <w:p w14:paraId="57549947">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年平均</w:t>
                  </w:r>
                </w:p>
              </w:tc>
              <w:tc>
                <w:tcPr>
                  <w:tcW w:w="1021" w:type="pct"/>
                  <w:tcBorders>
                    <w:right w:val="single" w:color="auto" w:sz="4" w:space="0"/>
                  </w:tcBorders>
                  <w:vAlign w:val="center"/>
                </w:tcPr>
                <w:p w14:paraId="63891D58">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40</w:t>
                  </w:r>
                </w:p>
              </w:tc>
              <w:tc>
                <w:tcPr>
                  <w:tcW w:w="721" w:type="pct"/>
                  <w:tcBorders>
                    <w:left w:val="single" w:color="auto" w:sz="4" w:space="0"/>
                  </w:tcBorders>
                  <w:vAlign w:val="center"/>
                </w:tcPr>
                <w:p w14:paraId="1E37B008">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r>
                    <w:rPr>
                      <w:rFonts w:hint="default" w:ascii="Times New Roman" w:hAnsi="Times New Roman" w:cs="Times New Roman" w:eastAsiaTheme="minorEastAsia"/>
                      <w:b w:val="0"/>
                      <w:bCs w:val="0"/>
                      <w:color w:val="auto"/>
                      <w:sz w:val="21"/>
                      <w:szCs w:val="21"/>
                      <w:highlight w:val="none"/>
                    </w:rPr>
                    <w:t>30</w:t>
                  </w:r>
                </w:p>
              </w:tc>
              <w:tc>
                <w:tcPr>
                  <w:tcW w:w="1195" w:type="pct"/>
                  <w:vMerge w:val="continue"/>
                  <w:tcBorders>
                    <w:left w:val="single" w:color="auto" w:sz="4" w:space="0"/>
                  </w:tcBorders>
                  <w:vAlign w:val="center"/>
                </w:tcPr>
                <w:p w14:paraId="5968EE6F">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bCs w:val="0"/>
                      <w:color w:val="auto"/>
                      <w:sz w:val="21"/>
                      <w:szCs w:val="21"/>
                      <w:highlight w:val="none"/>
                    </w:rPr>
                  </w:pPr>
                </w:p>
              </w:tc>
            </w:tr>
            <w:tr w14:paraId="0B59D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continue"/>
                  <w:vAlign w:val="center"/>
                </w:tcPr>
                <w:p w14:paraId="12D400BA">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color w:val="auto"/>
                      <w:sz w:val="21"/>
                      <w:szCs w:val="21"/>
                      <w:highlight w:val="none"/>
                    </w:rPr>
                  </w:pPr>
                </w:p>
              </w:tc>
              <w:tc>
                <w:tcPr>
                  <w:tcW w:w="1136" w:type="pct"/>
                  <w:vAlign w:val="center"/>
                </w:tcPr>
                <w:p w14:paraId="6A2C8C9A">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日平均</w:t>
                  </w:r>
                </w:p>
              </w:tc>
              <w:tc>
                <w:tcPr>
                  <w:tcW w:w="1021" w:type="pct"/>
                  <w:tcBorders>
                    <w:right w:val="single" w:color="auto" w:sz="4" w:space="0"/>
                  </w:tcBorders>
                  <w:vAlign w:val="center"/>
                </w:tcPr>
                <w:p w14:paraId="4A1AD027">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80</w:t>
                  </w:r>
                </w:p>
              </w:tc>
              <w:tc>
                <w:tcPr>
                  <w:tcW w:w="721" w:type="pct"/>
                  <w:tcBorders>
                    <w:left w:val="single" w:color="auto" w:sz="4" w:space="0"/>
                  </w:tcBorders>
                  <w:vAlign w:val="center"/>
                </w:tcPr>
                <w:p w14:paraId="01B04AB4">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r>
                    <w:rPr>
                      <w:rFonts w:hint="default" w:ascii="Times New Roman" w:hAnsi="Times New Roman" w:cs="Times New Roman" w:eastAsiaTheme="minorEastAsia"/>
                      <w:b w:val="0"/>
                      <w:bCs w:val="0"/>
                      <w:color w:val="auto"/>
                      <w:sz w:val="21"/>
                      <w:szCs w:val="21"/>
                      <w:highlight w:val="none"/>
                    </w:rPr>
                    <w:t>50</w:t>
                  </w:r>
                </w:p>
              </w:tc>
              <w:tc>
                <w:tcPr>
                  <w:tcW w:w="1195" w:type="pct"/>
                  <w:vMerge w:val="continue"/>
                  <w:tcBorders>
                    <w:left w:val="single" w:color="auto" w:sz="4" w:space="0"/>
                  </w:tcBorders>
                  <w:vAlign w:val="center"/>
                </w:tcPr>
                <w:p w14:paraId="632E8965">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bCs w:val="0"/>
                      <w:color w:val="auto"/>
                      <w:sz w:val="21"/>
                      <w:szCs w:val="21"/>
                      <w:highlight w:val="none"/>
                    </w:rPr>
                  </w:pPr>
                </w:p>
              </w:tc>
            </w:tr>
            <w:tr w14:paraId="43025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continue"/>
                  <w:vAlign w:val="center"/>
                </w:tcPr>
                <w:p w14:paraId="106A842B">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color w:val="auto"/>
                      <w:sz w:val="21"/>
                      <w:szCs w:val="21"/>
                      <w:highlight w:val="none"/>
                    </w:rPr>
                  </w:pPr>
                </w:p>
              </w:tc>
              <w:tc>
                <w:tcPr>
                  <w:tcW w:w="1136" w:type="pct"/>
                  <w:vAlign w:val="center"/>
                </w:tcPr>
                <w:p w14:paraId="615D0F6E">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1小时平均</w:t>
                  </w:r>
                </w:p>
              </w:tc>
              <w:tc>
                <w:tcPr>
                  <w:tcW w:w="1021" w:type="pct"/>
                  <w:tcBorders>
                    <w:right w:val="single" w:color="auto" w:sz="4" w:space="0"/>
                  </w:tcBorders>
                  <w:vAlign w:val="center"/>
                </w:tcPr>
                <w:p w14:paraId="4A25D670">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200</w:t>
                  </w:r>
                </w:p>
              </w:tc>
              <w:tc>
                <w:tcPr>
                  <w:tcW w:w="721" w:type="pct"/>
                  <w:tcBorders>
                    <w:left w:val="single" w:color="auto" w:sz="4" w:space="0"/>
                  </w:tcBorders>
                  <w:vAlign w:val="center"/>
                </w:tcPr>
                <w:p w14:paraId="28A05A9C">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r>
                    <w:rPr>
                      <w:rFonts w:hint="default" w:ascii="Times New Roman" w:hAnsi="Times New Roman" w:cs="Times New Roman" w:eastAsiaTheme="minorEastAsia"/>
                      <w:b w:val="0"/>
                      <w:bCs w:val="0"/>
                      <w:color w:val="auto"/>
                      <w:sz w:val="21"/>
                      <w:szCs w:val="21"/>
                      <w:highlight w:val="none"/>
                    </w:rPr>
                    <w:t>200</w:t>
                  </w:r>
                </w:p>
              </w:tc>
              <w:tc>
                <w:tcPr>
                  <w:tcW w:w="1195" w:type="pct"/>
                  <w:vMerge w:val="continue"/>
                  <w:tcBorders>
                    <w:left w:val="single" w:color="auto" w:sz="4" w:space="0"/>
                  </w:tcBorders>
                  <w:vAlign w:val="center"/>
                </w:tcPr>
                <w:p w14:paraId="2AC0D6EF">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bCs w:val="0"/>
                      <w:color w:val="auto"/>
                      <w:sz w:val="21"/>
                      <w:szCs w:val="21"/>
                      <w:highlight w:val="none"/>
                    </w:rPr>
                  </w:pPr>
                </w:p>
              </w:tc>
            </w:tr>
            <w:tr w14:paraId="2F9D7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restart"/>
                  <w:vAlign w:val="center"/>
                </w:tcPr>
                <w:p w14:paraId="4B70D638">
                  <w:pPr>
                    <w:keepNext w:val="0"/>
                    <w:keepLines w:val="0"/>
                    <w:pageBreakBefore w:val="0"/>
                    <w:widowControl w:val="0"/>
                    <w:kinsoku/>
                    <w:wordWrap/>
                    <w:overflowPunct/>
                    <w:topLinePunct w:val="0"/>
                    <w:autoSpaceDE/>
                    <w:autoSpaceDN/>
                    <w:bidi w:val="0"/>
                    <w:snapToGrid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CO</w:t>
                  </w:r>
                </w:p>
              </w:tc>
              <w:tc>
                <w:tcPr>
                  <w:tcW w:w="1136" w:type="pct"/>
                  <w:vAlign w:val="center"/>
                </w:tcPr>
                <w:p w14:paraId="42D6F7C3">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日平均</w:t>
                  </w:r>
                </w:p>
              </w:tc>
              <w:tc>
                <w:tcPr>
                  <w:tcW w:w="1021" w:type="pct"/>
                  <w:tcBorders>
                    <w:right w:val="single" w:color="auto" w:sz="4" w:space="0"/>
                  </w:tcBorders>
                  <w:vAlign w:val="center"/>
                </w:tcPr>
                <w:p w14:paraId="4BEBD060">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4000</w:t>
                  </w:r>
                </w:p>
              </w:tc>
              <w:tc>
                <w:tcPr>
                  <w:tcW w:w="721" w:type="pct"/>
                  <w:tcBorders>
                    <w:left w:val="single" w:color="auto" w:sz="4" w:space="0"/>
                  </w:tcBorders>
                  <w:vAlign w:val="center"/>
                </w:tcPr>
                <w:p w14:paraId="30A5D93A">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r>
                    <w:rPr>
                      <w:rFonts w:hint="default" w:ascii="Times New Roman" w:hAnsi="Times New Roman" w:cs="Times New Roman" w:eastAsiaTheme="minorEastAsia"/>
                      <w:b w:val="0"/>
                      <w:bCs w:val="0"/>
                      <w:color w:val="auto"/>
                      <w:sz w:val="21"/>
                      <w:szCs w:val="21"/>
                      <w:highlight w:val="none"/>
                    </w:rPr>
                    <w:t>4</w:t>
                  </w:r>
                </w:p>
              </w:tc>
              <w:tc>
                <w:tcPr>
                  <w:tcW w:w="1195" w:type="pct"/>
                  <w:vMerge w:val="continue"/>
                  <w:tcBorders>
                    <w:left w:val="single" w:color="auto" w:sz="4" w:space="0"/>
                  </w:tcBorders>
                  <w:vAlign w:val="center"/>
                </w:tcPr>
                <w:p w14:paraId="658B648E">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bCs w:val="0"/>
                      <w:color w:val="auto"/>
                      <w:sz w:val="21"/>
                      <w:szCs w:val="21"/>
                      <w:highlight w:val="none"/>
                    </w:rPr>
                  </w:pPr>
                </w:p>
              </w:tc>
            </w:tr>
            <w:tr w14:paraId="128D1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continue"/>
                  <w:vAlign w:val="center"/>
                </w:tcPr>
                <w:p w14:paraId="46F68509">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color w:val="auto"/>
                      <w:sz w:val="21"/>
                      <w:szCs w:val="21"/>
                      <w:highlight w:val="none"/>
                    </w:rPr>
                  </w:pPr>
                </w:p>
              </w:tc>
              <w:tc>
                <w:tcPr>
                  <w:tcW w:w="1136" w:type="pct"/>
                  <w:vAlign w:val="center"/>
                </w:tcPr>
                <w:p w14:paraId="7A5A8FB8">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1小时平均</w:t>
                  </w:r>
                </w:p>
              </w:tc>
              <w:tc>
                <w:tcPr>
                  <w:tcW w:w="1021" w:type="pct"/>
                  <w:tcBorders>
                    <w:right w:val="single" w:color="auto" w:sz="4" w:space="0"/>
                  </w:tcBorders>
                  <w:vAlign w:val="center"/>
                </w:tcPr>
                <w:p w14:paraId="7F4883CB">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10000</w:t>
                  </w:r>
                </w:p>
              </w:tc>
              <w:tc>
                <w:tcPr>
                  <w:tcW w:w="721" w:type="pct"/>
                  <w:tcBorders>
                    <w:left w:val="single" w:color="auto" w:sz="4" w:space="0"/>
                  </w:tcBorders>
                  <w:vAlign w:val="center"/>
                </w:tcPr>
                <w:p w14:paraId="1BF50FFD">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r>
                    <w:rPr>
                      <w:rFonts w:hint="default" w:ascii="Times New Roman" w:hAnsi="Times New Roman" w:cs="Times New Roman" w:eastAsiaTheme="minorEastAsia"/>
                      <w:b w:val="0"/>
                      <w:bCs w:val="0"/>
                      <w:color w:val="auto"/>
                      <w:sz w:val="21"/>
                      <w:szCs w:val="21"/>
                      <w:highlight w:val="none"/>
                    </w:rPr>
                    <w:t>10</w:t>
                  </w:r>
                </w:p>
              </w:tc>
              <w:tc>
                <w:tcPr>
                  <w:tcW w:w="1195" w:type="pct"/>
                  <w:vMerge w:val="continue"/>
                  <w:tcBorders>
                    <w:left w:val="single" w:color="auto" w:sz="4" w:space="0"/>
                  </w:tcBorders>
                  <w:vAlign w:val="center"/>
                </w:tcPr>
                <w:p w14:paraId="23731F86">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bCs w:val="0"/>
                      <w:color w:val="auto"/>
                      <w:sz w:val="21"/>
                      <w:szCs w:val="21"/>
                      <w:highlight w:val="none"/>
                    </w:rPr>
                  </w:pPr>
                </w:p>
              </w:tc>
            </w:tr>
            <w:tr w14:paraId="0B4D8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restart"/>
                  <w:vAlign w:val="center"/>
                </w:tcPr>
                <w:p w14:paraId="4AB20F85">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O</w:t>
                  </w:r>
                  <w:r>
                    <w:rPr>
                      <w:rFonts w:hint="default" w:ascii="Times New Roman" w:hAnsi="Times New Roman" w:cs="Times New Roman" w:eastAsiaTheme="minorEastAsia"/>
                      <w:color w:val="auto"/>
                      <w:sz w:val="21"/>
                      <w:szCs w:val="21"/>
                      <w:highlight w:val="none"/>
                      <w:vertAlign w:val="subscript"/>
                    </w:rPr>
                    <w:t>3</w:t>
                  </w:r>
                </w:p>
              </w:tc>
              <w:tc>
                <w:tcPr>
                  <w:tcW w:w="1136" w:type="pct"/>
                  <w:vAlign w:val="center"/>
                </w:tcPr>
                <w:p w14:paraId="2C0A2E7E">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最大日8小时平均</w:t>
                  </w:r>
                </w:p>
              </w:tc>
              <w:tc>
                <w:tcPr>
                  <w:tcW w:w="1021" w:type="pct"/>
                  <w:tcBorders>
                    <w:right w:val="single" w:color="auto" w:sz="4" w:space="0"/>
                  </w:tcBorders>
                  <w:vAlign w:val="center"/>
                </w:tcPr>
                <w:p w14:paraId="1DA67510">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160</w:t>
                  </w:r>
                </w:p>
              </w:tc>
              <w:tc>
                <w:tcPr>
                  <w:tcW w:w="721" w:type="pct"/>
                  <w:tcBorders>
                    <w:left w:val="single" w:color="auto" w:sz="4" w:space="0"/>
                  </w:tcBorders>
                  <w:vAlign w:val="center"/>
                </w:tcPr>
                <w:p w14:paraId="15E59FC3">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160</w:t>
                  </w:r>
                </w:p>
              </w:tc>
              <w:tc>
                <w:tcPr>
                  <w:tcW w:w="1195" w:type="pct"/>
                  <w:vMerge w:val="continue"/>
                  <w:tcBorders>
                    <w:left w:val="single" w:color="auto" w:sz="4" w:space="0"/>
                  </w:tcBorders>
                  <w:vAlign w:val="center"/>
                </w:tcPr>
                <w:p w14:paraId="252EB11E">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color w:val="auto"/>
                      <w:sz w:val="21"/>
                      <w:szCs w:val="21"/>
                      <w:highlight w:val="none"/>
                    </w:rPr>
                  </w:pPr>
                </w:p>
              </w:tc>
            </w:tr>
            <w:tr w14:paraId="79D6C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continue"/>
                  <w:vAlign w:val="center"/>
                </w:tcPr>
                <w:p w14:paraId="37F3EDD9">
                  <w:pPr>
                    <w:keepNext w:val="0"/>
                    <w:keepLines w:val="0"/>
                    <w:pageBreakBefore w:val="0"/>
                    <w:widowControl w:val="0"/>
                    <w:kinsoku/>
                    <w:wordWrap/>
                    <w:overflowPunct/>
                    <w:topLinePunct w:val="0"/>
                    <w:autoSpaceDE/>
                    <w:autoSpaceDN/>
                    <w:bidi w:val="0"/>
                    <w:snapToGrid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p>
              </w:tc>
              <w:tc>
                <w:tcPr>
                  <w:tcW w:w="1136" w:type="pct"/>
                  <w:vAlign w:val="center"/>
                </w:tcPr>
                <w:p w14:paraId="23F8750D">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1小时平均</w:t>
                  </w:r>
                </w:p>
              </w:tc>
              <w:tc>
                <w:tcPr>
                  <w:tcW w:w="1021" w:type="pct"/>
                  <w:tcBorders>
                    <w:right w:val="single" w:color="auto" w:sz="4" w:space="0"/>
                  </w:tcBorders>
                  <w:vAlign w:val="center"/>
                </w:tcPr>
                <w:p w14:paraId="0DAF37B0">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200</w:t>
                  </w:r>
                </w:p>
              </w:tc>
              <w:tc>
                <w:tcPr>
                  <w:tcW w:w="721" w:type="pct"/>
                  <w:tcBorders>
                    <w:left w:val="single" w:color="auto" w:sz="4" w:space="0"/>
                  </w:tcBorders>
                  <w:vAlign w:val="center"/>
                </w:tcPr>
                <w:p w14:paraId="15F804C0">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200</w:t>
                  </w:r>
                </w:p>
              </w:tc>
              <w:tc>
                <w:tcPr>
                  <w:tcW w:w="1195" w:type="pct"/>
                  <w:vMerge w:val="continue"/>
                  <w:tcBorders>
                    <w:left w:val="single" w:color="auto" w:sz="4" w:space="0"/>
                  </w:tcBorders>
                  <w:vAlign w:val="center"/>
                </w:tcPr>
                <w:p w14:paraId="66DAFADC">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p>
              </w:tc>
            </w:tr>
            <w:tr w14:paraId="006D2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restart"/>
                  <w:vAlign w:val="center"/>
                </w:tcPr>
                <w:p w14:paraId="3F31E984">
                  <w:pPr>
                    <w:keepNext w:val="0"/>
                    <w:keepLines w:val="0"/>
                    <w:pageBreakBefore w:val="0"/>
                    <w:widowControl w:val="0"/>
                    <w:kinsoku/>
                    <w:wordWrap/>
                    <w:overflowPunct/>
                    <w:topLinePunct w:val="0"/>
                    <w:autoSpaceDE/>
                    <w:autoSpaceDN/>
                    <w:bidi w:val="0"/>
                    <w:snapToGrid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颗粒物（粒径小于等于10μm,PM</w:t>
                  </w:r>
                  <w:r>
                    <w:rPr>
                      <w:rFonts w:hint="default" w:ascii="Times New Roman" w:hAnsi="Times New Roman" w:cs="Times New Roman" w:eastAsiaTheme="minorEastAsia"/>
                      <w:color w:val="auto"/>
                      <w:sz w:val="21"/>
                      <w:szCs w:val="21"/>
                      <w:highlight w:val="none"/>
                      <w:vertAlign w:val="subscript"/>
                    </w:rPr>
                    <w:t>10</w:t>
                  </w:r>
                  <w:r>
                    <w:rPr>
                      <w:rFonts w:hint="default" w:ascii="Times New Roman" w:hAnsi="Times New Roman" w:cs="Times New Roman" w:eastAsiaTheme="minorEastAsia"/>
                      <w:color w:val="auto"/>
                      <w:sz w:val="21"/>
                      <w:szCs w:val="21"/>
                      <w:highlight w:val="none"/>
                    </w:rPr>
                    <w:t>）</w:t>
                  </w:r>
                </w:p>
              </w:tc>
              <w:tc>
                <w:tcPr>
                  <w:tcW w:w="1136" w:type="pct"/>
                  <w:vAlign w:val="center"/>
                </w:tcPr>
                <w:p w14:paraId="78D832B5">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color w:val="auto"/>
                      <w:sz w:val="21"/>
                      <w:szCs w:val="21"/>
                      <w:highlight w:val="none"/>
                    </w:rPr>
                  </w:pPr>
                  <w:r>
                    <w:rPr>
                      <w:rFonts w:hint="default" w:ascii="Times New Roman" w:hAnsi="Times New Roman" w:cs="Times New Roman" w:eastAsiaTheme="minorEastAsia"/>
                      <w:b w:val="0"/>
                      <w:color w:val="auto"/>
                      <w:sz w:val="21"/>
                      <w:szCs w:val="21"/>
                      <w:highlight w:val="none"/>
                    </w:rPr>
                    <w:t>年平均</w:t>
                  </w:r>
                </w:p>
              </w:tc>
              <w:tc>
                <w:tcPr>
                  <w:tcW w:w="1021" w:type="pct"/>
                  <w:tcBorders>
                    <w:right w:val="single" w:color="auto" w:sz="4" w:space="0"/>
                  </w:tcBorders>
                  <w:vAlign w:val="center"/>
                </w:tcPr>
                <w:p w14:paraId="191E4E14">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color w:val="auto"/>
                      <w:sz w:val="21"/>
                      <w:szCs w:val="21"/>
                      <w:highlight w:val="none"/>
                    </w:rPr>
                  </w:pPr>
                  <w:r>
                    <w:rPr>
                      <w:rFonts w:hint="default" w:ascii="Times New Roman" w:hAnsi="Times New Roman" w:cs="Times New Roman" w:eastAsiaTheme="minorEastAsia"/>
                      <w:b w:val="0"/>
                      <w:color w:val="auto"/>
                      <w:sz w:val="21"/>
                      <w:szCs w:val="21"/>
                      <w:highlight w:val="none"/>
                    </w:rPr>
                    <w:t>60</w:t>
                  </w:r>
                </w:p>
              </w:tc>
              <w:tc>
                <w:tcPr>
                  <w:tcW w:w="721" w:type="pct"/>
                  <w:tcBorders>
                    <w:left w:val="single" w:color="auto" w:sz="4" w:space="0"/>
                  </w:tcBorders>
                  <w:vAlign w:val="center"/>
                </w:tcPr>
                <w:p w14:paraId="3AA626B7">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color w:val="auto"/>
                      <w:sz w:val="21"/>
                      <w:szCs w:val="21"/>
                      <w:highlight w:val="none"/>
                    </w:rPr>
                  </w:pPr>
                  <w:r>
                    <w:rPr>
                      <w:rFonts w:hint="default" w:ascii="Times New Roman" w:hAnsi="Times New Roman" w:cs="Times New Roman" w:eastAsiaTheme="minorEastAsia"/>
                      <w:b w:val="0"/>
                      <w:color w:val="auto"/>
                      <w:sz w:val="21"/>
                      <w:szCs w:val="21"/>
                      <w:highlight w:val="none"/>
                    </w:rPr>
                    <w:t>50</w:t>
                  </w:r>
                </w:p>
              </w:tc>
              <w:tc>
                <w:tcPr>
                  <w:tcW w:w="1195" w:type="pct"/>
                  <w:vMerge w:val="continue"/>
                  <w:tcBorders>
                    <w:left w:val="single" w:color="auto" w:sz="4" w:space="0"/>
                  </w:tcBorders>
                  <w:vAlign w:val="center"/>
                </w:tcPr>
                <w:p w14:paraId="1327FEF8">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color w:val="auto"/>
                      <w:sz w:val="21"/>
                      <w:szCs w:val="21"/>
                      <w:highlight w:val="none"/>
                    </w:rPr>
                  </w:pPr>
                </w:p>
              </w:tc>
            </w:tr>
            <w:tr w14:paraId="72869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continue"/>
                  <w:vAlign w:val="center"/>
                </w:tcPr>
                <w:p w14:paraId="7617286A">
                  <w:pPr>
                    <w:keepNext w:val="0"/>
                    <w:keepLines w:val="0"/>
                    <w:pageBreakBefore w:val="0"/>
                    <w:widowControl w:val="0"/>
                    <w:kinsoku/>
                    <w:wordWrap/>
                    <w:overflowPunct/>
                    <w:topLinePunct w:val="0"/>
                    <w:autoSpaceDE/>
                    <w:autoSpaceDN/>
                    <w:bidi w:val="0"/>
                    <w:snapToGrid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p>
              </w:tc>
              <w:tc>
                <w:tcPr>
                  <w:tcW w:w="1136" w:type="pct"/>
                  <w:vAlign w:val="center"/>
                </w:tcPr>
                <w:p w14:paraId="71766769">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日平均</w:t>
                  </w:r>
                </w:p>
              </w:tc>
              <w:tc>
                <w:tcPr>
                  <w:tcW w:w="1021" w:type="pct"/>
                  <w:tcBorders>
                    <w:right w:val="single" w:color="auto" w:sz="4" w:space="0"/>
                  </w:tcBorders>
                  <w:vAlign w:val="center"/>
                </w:tcPr>
                <w:p w14:paraId="666A2B17">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120</w:t>
                  </w:r>
                </w:p>
              </w:tc>
              <w:tc>
                <w:tcPr>
                  <w:tcW w:w="721" w:type="pct"/>
                  <w:tcBorders>
                    <w:left w:val="single" w:color="auto" w:sz="4" w:space="0"/>
                  </w:tcBorders>
                  <w:vAlign w:val="center"/>
                </w:tcPr>
                <w:p w14:paraId="12040C9E">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100</w:t>
                  </w:r>
                </w:p>
              </w:tc>
              <w:tc>
                <w:tcPr>
                  <w:tcW w:w="1195" w:type="pct"/>
                  <w:vMerge w:val="continue"/>
                  <w:tcBorders>
                    <w:left w:val="single" w:color="auto" w:sz="4" w:space="0"/>
                  </w:tcBorders>
                  <w:vAlign w:val="center"/>
                </w:tcPr>
                <w:p w14:paraId="4064B528">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p>
              </w:tc>
            </w:tr>
            <w:tr w14:paraId="626FE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restart"/>
                  <w:vAlign w:val="center"/>
                </w:tcPr>
                <w:p w14:paraId="31299E03">
                  <w:pPr>
                    <w:keepNext w:val="0"/>
                    <w:keepLines w:val="0"/>
                    <w:pageBreakBefore w:val="0"/>
                    <w:widowControl w:val="0"/>
                    <w:kinsoku/>
                    <w:wordWrap/>
                    <w:overflowPunct/>
                    <w:topLinePunct w:val="0"/>
                    <w:autoSpaceDE/>
                    <w:autoSpaceDN/>
                    <w:bidi w:val="0"/>
                    <w:snapToGrid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颗粒物（粒径小于等于2.5μm,PM</w:t>
                  </w:r>
                  <w:r>
                    <w:rPr>
                      <w:rFonts w:hint="default" w:ascii="Times New Roman" w:hAnsi="Times New Roman" w:cs="Times New Roman" w:eastAsiaTheme="minorEastAsia"/>
                      <w:color w:val="auto"/>
                      <w:sz w:val="21"/>
                      <w:szCs w:val="21"/>
                      <w:highlight w:val="none"/>
                      <w:vertAlign w:val="subscript"/>
                    </w:rPr>
                    <w:t>2.5</w:t>
                  </w:r>
                  <w:r>
                    <w:rPr>
                      <w:rFonts w:hint="default" w:ascii="Times New Roman" w:hAnsi="Times New Roman" w:cs="Times New Roman" w:eastAsiaTheme="minorEastAsia"/>
                      <w:color w:val="auto"/>
                      <w:sz w:val="21"/>
                      <w:szCs w:val="21"/>
                      <w:highlight w:val="none"/>
                    </w:rPr>
                    <w:t>）</w:t>
                  </w:r>
                </w:p>
              </w:tc>
              <w:tc>
                <w:tcPr>
                  <w:tcW w:w="1136" w:type="pct"/>
                  <w:vAlign w:val="center"/>
                </w:tcPr>
                <w:p w14:paraId="249FA73E">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color w:val="auto"/>
                      <w:sz w:val="21"/>
                      <w:szCs w:val="21"/>
                      <w:highlight w:val="none"/>
                    </w:rPr>
                  </w:pPr>
                  <w:r>
                    <w:rPr>
                      <w:rFonts w:hint="default" w:ascii="Times New Roman" w:hAnsi="Times New Roman" w:cs="Times New Roman" w:eastAsiaTheme="minorEastAsia"/>
                      <w:b w:val="0"/>
                      <w:color w:val="auto"/>
                      <w:sz w:val="21"/>
                      <w:szCs w:val="21"/>
                      <w:highlight w:val="none"/>
                    </w:rPr>
                    <w:t>年平均</w:t>
                  </w:r>
                </w:p>
              </w:tc>
              <w:tc>
                <w:tcPr>
                  <w:tcW w:w="1021" w:type="pct"/>
                  <w:tcBorders>
                    <w:right w:val="single" w:color="auto" w:sz="4" w:space="0"/>
                  </w:tcBorders>
                  <w:vAlign w:val="center"/>
                </w:tcPr>
                <w:p w14:paraId="1BDFBA4F">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30</w:t>
                  </w:r>
                </w:p>
              </w:tc>
              <w:tc>
                <w:tcPr>
                  <w:tcW w:w="721" w:type="pct"/>
                  <w:tcBorders>
                    <w:left w:val="single" w:color="auto" w:sz="4" w:space="0"/>
                  </w:tcBorders>
                  <w:vAlign w:val="center"/>
                </w:tcPr>
                <w:p w14:paraId="70FB38CB">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25</w:t>
                  </w:r>
                </w:p>
              </w:tc>
              <w:tc>
                <w:tcPr>
                  <w:tcW w:w="1195" w:type="pct"/>
                  <w:vMerge w:val="continue"/>
                  <w:tcBorders>
                    <w:left w:val="single" w:color="auto" w:sz="4" w:space="0"/>
                  </w:tcBorders>
                  <w:vAlign w:val="center"/>
                </w:tcPr>
                <w:p w14:paraId="70BECA9D">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p>
              </w:tc>
            </w:tr>
            <w:tr w14:paraId="44003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continue"/>
                  <w:vAlign w:val="center"/>
                </w:tcPr>
                <w:p w14:paraId="7A0E9E02">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p>
              </w:tc>
              <w:tc>
                <w:tcPr>
                  <w:tcW w:w="1136" w:type="pct"/>
                  <w:vAlign w:val="center"/>
                </w:tcPr>
                <w:p w14:paraId="1DD0A944">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日平均</w:t>
                  </w:r>
                </w:p>
              </w:tc>
              <w:tc>
                <w:tcPr>
                  <w:tcW w:w="1021" w:type="pct"/>
                  <w:tcBorders>
                    <w:right w:val="single" w:color="auto" w:sz="4" w:space="0"/>
                  </w:tcBorders>
                  <w:vAlign w:val="center"/>
                </w:tcPr>
                <w:p w14:paraId="68FA56F7">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60</w:t>
                  </w:r>
                </w:p>
              </w:tc>
              <w:tc>
                <w:tcPr>
                  <w:tcW w:w="721" w:type="pct"/>
                  <w:tcBorders>
                    <w:left w:val="single" w:color="auto" w:sz="4" w:space="0"/>
                  </w:tcBorders>
                  <w:vAlign w:val="center"/>
                </w:tcPr>
                <w:p w14:paraId="66E72396">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50</w:t>
                  </w:r>
                </w:p>
              </w:tc>
              <w:tc>
                <w:tcPr>
                  <w:tcW w:w="1195" w:type="pct"/>
                  <w:vMerge w:val="continue"/>
                  <w:tcBorders>
                    <w:left w:val="single" w:color="auto" w:sz="4" w:space="0"/>
                  </w:tcBorders>
                  <w:vAlign w:val="center"/>
                </w:tcPr>
                <w:p w14:paraId="4C4D13DF">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p>
              </w:tc>
            </w:tr>
            <w:tr w14:paraId="173C5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restart"/>
                  <w:vAlign w:val="center"/>
                </w:tcPr>
                <w:p w14:paraId="58765B26">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color w:val="auto"/>
                      <w:sz w:val="21"/>
                      <w:szCs w:val="21"/>
                      <w:highlight w:val="none"/>
                    </w:rPr>
                  </w:pPr>
                  <w:r>
                    <w:rPr>
                      <w:rFonts w:hint="default" w:ascii="Times New Roman" w:hAnsi="Times New Roman" w:cs="Times New Roman" w:eastAsiaTheme="minorEastAsia"/>
                      <w:b w:val="0"/>
                      <w:color w:val="auto"/>
                      <w:sz w:val="21"/>
                      <w:szCs w:val="21"/>
                      <w:highlight w:val="none"/>
                    </w:rPr>
                    <w:t>总悬浮颗粒物（TSP）</w:t>
                  </w:r>
                </w:p>
              </w:tc>
              <w:tc>
                <w:tcPr>
                  <w:tcW w:w="1136" w:type="pct"/>
                  <w:vAlign w:val="center"/>
                </w:tcPr>
                <w:p w14:paraId="4F939360">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color w:val="auto"/>
                      <w:sz w:val="21"/>
                      <w:szCs w:val="21"/>
                      <w:highlight w:val="none"/>
                    </w:rPr>
                  </w:pPr>
                  <w:r>
                    <w:rPr>
                      <w:rFonts w:hint="default" w:ascii="Times New Roman" w:hAnsi="Times New Roman" w:cs="Times New Roman" w:eastAsiaTheme="minorEastAsia"/>
                      <w:b w:val="0"/>
                      <w:color w:val="auto"/>
                      <w:sz w:val="21"/>
                      <w:szCs w:val="21"/>
                      <w:highlight w:val="none"/>
                    </w:rPr>
                    <w:t>年平均</w:t>
                  </w:r>
                </w:p>
              </w:tc>
              <w:tc>
                <w:tcPr>
                  <w:tcW w:w="1021" w:type="pct"/>
                  <w:tcBorders>
                    <w:right w:val="single" w:color="auto" w:sz="4" w:space="0"/>
                  </w:tcBorders>
                  <w:vAlign w:val="center"/>
                </w:tcPr>
                <w:p w14:paraId="6B89AA28">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color w:val="auto"/>
                      <w:sz w:val="21"/>
                      <w:szCs w:val="21"/>
                      <w:highlight w:val="none"/>
                    </w:rPr>
                  </w:pPr>
                  <w:r>
                    <w:rPr>
                      <w:rFonts w:hint="default" w:ascii="Times New Roman" w:hAnsi="Times New Roman" w:cs="Times New Roman" w:eastAsiaTheme="minorEastAsia"/>
                      <w:b w:val="0"/>
                      <w:color w:val="auto"/>
                      <w:sz w:val="21"/>
                      <w:szCs w:val="21"/>
                      <w:highlight w:val="none"/>
                    </w:rPr>
                    <w:t>200</w:t>
                  </w:r>
                </w:p>
              </w:tc>
              <w:tc>
                <w:tcPr>
                  <w:tcW w:w="721" w:type="pct"/>
                  <w:tcBorders>
                    <w:left w:val="single" w:color="auto" w:sz="4" w:space="0"/>
                  </w:tcBorders>
                  <w:vAlign w:val="center"/>
                </w:tcPr>
                <w:p w14:paraId="1B51AA08">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color w:val="auto"/>
                      <w:sz w:val="21"/>
                      <w:szCs w:val="21"/>
                      <w:highlight w:val="none"/>
                    </w:rPr>
                  </w:pPr>
                  <w:r>
                    <w:rPr>
                      <w:rFonts w:hint="default" w:ascii="Times New Roman" w:hAnsi="Times New Roman" w:cs="Times New Roman" w:eastAsiaTheme="minorEastAsia"/>
                      <w:b w:val="0"/>
                      <w:color w:val="auto"/>
                      <w:sz w:val="21"/>
                      <w:szCs w:val="21"/>
                      <w:highlight w:val="none"/>
                    </w:rPr>
                    <w:t>200</w:t>
                  </w:r>
                </w:p>
              </w:tc>
              <w:tc>
                <w:tcPr>
                  <w:tcW w:w="1195" w:type="pct"/>
                  <w:vMerge w:val="continue"/>
                  <w:tcBorders>
                    <w:left w:val="single" w:color="auto" w:sz="4" w:space="0"/>
                  </w:tcBorders>
                  <w:vAlign w:val="center"/>
                </w:tcPr>
                <w:p w14:paraId="26F4C528">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p>
              </w:tc>
            </w:tr>
            <w:tr w14:paraId="25B2A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continue"/>
                  <w:vAlign w:val="center"/>
                </w:tcPr>
                <w:p w14:paraId="00F9F1D7">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p>
              </w:tc>
              <w:tc>
                <w:tcPr>
                  <w:tcW w:w="1136" w:type="pct"/>
                  <w:vAlign w:val="center"/>
                </w:tcPr>
                <w:p w14:paraId="0FBF6361">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日平均</w:t>
                  </w:r>
                </w:p>
              </w:tc>
              <w:tc>
                <w:tcPr>
                  <w:tcW w:w="1021" w:type="pct"/>
                  <w:tcBorders>
                    <w:right w:val="single" w:color="auto" w:sz="4" w:space="0"/>
                  </w:tcBorders>
                  <w:vAlign w:val="center"/>
                </w:tcPr>
                <w:p w14:paraId="3C544267">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300</w:t>
                  </w:r>
                </w:p>
              </w:tc>
              <w:tc>
                <w:tcPr>
                  <w:tcW w:w="721" w:type="pct"/>
                  <w:tcBorders>
                    <w:left w:val="single" w:color="auto" w:sz="4" w:space="0"/>
                  </w:tcBorders>
                  <w:vAlign w:val="center"/>
                </w:tcPr>
                <w:p w14:paraId="0784374F">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300</w:t>
                  </w:r>
                </w:p>
              </w:tc>
              <w:tc>
                <w:tcPr>
                  <w:tcW w:w="1195" w:type="pct"/>
                  <w:vMerge w:val="continue"/>
                  <w:tcBorders>
                    <w:left w:val="single" w:color="auto" w:sz="4" w:space="0"/>
                  </w:tcBorders>
                  <w:vAlign w:val="center"/>
                </w:tcPr>
                <w:p w14:paraId="764A913C">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p>
              </w:tc>
            </w:tr>
            <w:tr w14:paraId="406CC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restart"/>
                  <w:vAlign w:val="center"/>
                </w:tcPr>
                <w:p w14:paraId="5284EEAD">
                  <w:pPr>
                    <w:keepNext w:val="0"/>
                    <w:keepLines w:val="0"/>
                    <w:pageBreakBefore w:val="0"/>
                    <w:widowControl w:val="0"/>
                    <w:kinsoku/>
                    <w:wordWrap/>
                    <w:overflowPunct/>
                    <w:topLinePunct w:val="0"/>
                    <w:autoSpaceDE/>
                    <w:autoSpaceDN/>
                    <w:bidi w:val="0"/>
                    <w:snapToGrid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氮氧化物（NOx）</w:t>
                  </w:r>
                </w:p>
                <w:p w14:paraId="50C54DFF">
                  <w:pPr>
                    <w:keepNext w:val="0"/>
                    <w:keepLines w:val="0"/>
                    <w:pageBreakBefore w:val="0"/>
                    <w:widowControl w:val="0"/>
                    <w:kinsoku/>
                    <w:wordWrap/>
                    <w:overflowPunct/>
                    <w:topLinePunct w:val="0"/>
                    <w:autoSpaceDE/>
                    <w:autoSpaceDN/>
                    <w:bidi w:val="0"/>
                    <w:snapToGrid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（以NO</w:t>
                  </w:r>
                  <w:r>
                    <w:rPr>
                      <w:rFonts w:hint="default" w:ascii="Times New Roman" w:hAnsi="Times New Roman" w:cs="Times New Roman" w:eastAsiaTheme="minorEastAsia"/>
                      <w:color w:val="auto"/>
                      <w:sz w:val="21"/>
                      <w:szCs w:val="21"/>
                      <w:highlight w:val="none"/>
                      <w:vertAlign w:val="subscript"/>
                    </w:rPr>
                    <w:t>2</w:t>
                  </w:r>
                  <w:r>
                    <w:rPr>
                      <w:rFonts w:hint="default" w:ascii="Times New Roman" w:hAnsi="Times New Roman" w:cs="Times New Roman" w:eastAsiaTheme="minorEastAsia"/>
                      <w:color w:val="auto"/>
                      <w:sz w:val="21"/>
                      <w:szCs w:val="21"/>
                      <w:highlight w:val="none"/>
                    </w:rPr>
                    <w:t>计）</w:t>
                  </w:r>
                </w:p>
              </w:tc>
              <w:tc>
                <w:tcPr>
                  <w:tcW w:w="1136" w:type="pct"/>
                  <w:vAlign w:val="center"/>
                </w:tcPr>
                <w:p w14:paraId="3C4DFFBC">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color w:val="auto"/>
                      <w:sz w:val="21"/>
                      <w:szCs w:val="21"/>
                      <w:highlight w:val="none"/>
                    </w:rPr>
                  </w:pPr>
                  <w:r>
                    <w:rPr>
                      <w:rFonts w:hint="default" w:ascii="Times New Roman" w:hAnsi="Times New Roman" w:cs="Times New Roman" w:eastAsiaTheme="minorEastAsia"/>
                      <w:b w:val="0"/>
                      <w:color w:val="auto"/>
                      <w:sz w:val="21"/>
                      <w:szCs w:val="21"/>
                      <w:highlight w:val="none"/>
                    </w:rPr>
                    <w:t>年平均</w:t>
                  </w:r>
                </w:p>
              </w:tc>
              <w:tc>
                <w:tcPr>
                  <w:tcW w:w="1021" w:type="pct"/>
                  <w:tcBorders>
                    <w:right w:val="single" w:color="auto" w:sz="4" w:space="0"/>
                  </w:tcBorders>
                  <w:vAlign w:val="center"/>
                </w:tcPr>
                <w:p w14:paraId="1758AFCF">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color w:val="auto"/>
                      <w:sz w:val="21"/>
                      <w:szCs w:val="21"/>
                      <w:highlight w:val="none"/>
                    </w:rPr>
                  </w:pPr>
                  <w:r>
                    <w:rPr>
                      <w:rFonts w:hint="default" w:ascii="Times New Roman" w:hAnsi="Times New Roman" w:cs="Times New Roman" w:eastAsiaTheme="minorEastAsia"/>
                      <w:b w:val="0"/>
                      <w:color w:val="auto"/>
                      <w:sz w:val="21"/>
                      <w:szCs w:val="21"/>
                      <w:highlight w:val="none"/>
                    </w:rPr>
                    <w:t>50</w:t>
                  </w:r>
                </w:p>
              </w:tc>
              <w:tc>
                <w:tcPr>
                  <w:tcW w:w="721" w:type="pct"/>
                  <w:tcBorders>
                    <w:left w:val="single" w:color="auto" w:sz="4" w:space="0"/>
                  </w:tcBorders>
                  <w:vAlign w:val="center"/>
                </w:tcPr>
                <w:p w14:paraId="405D49E1">
                  <w:pPr>
                    <w:pStyle w:val="97"/>
                    <w:keepNext w:val="0"/>
                    <w:keepLines w:val="0"/>
                    <w:pageBreakBefore w:val="0"/>
                    <w:widowControl w:val="0"/>
                    <w:tabs>
                      <w:tab w:val="left" w:pos="-2848"/>
                    </w:tabs>
                    <w:kinsoku/>
                    <w:wordWrap/>
                    <w:overflowPunct/>
                    <w:topLinePunct w:val="0"/>
                    <w:autoSpaceDE/>
                    <w:autoSpaceDN/>
                    <w:bidi w:val="0"/>
                    <w:spacing w:beforeLines="0" w:afterLines="0" w:line="320" w:lineRule="exact"/>
                    <w:ind w:firstLine="0" w:firstLineChars="0"/>
                    <w:textAlignment w:val="auto"/>
                    <w:rPr>
                      <w:rFonts w:hint="default" w:ascii="Times New Roman" w:hAnsi="Times New Roman" w:cs="Times New Roman" w:eastAsiaTheme="minorEastAsia"/>
                      <w:b w:val="0"/>
                      <w:color w:val="auto"/>
                      <w:sz w:val="21"/>
                      <w:szCs w:val="21"/>
                      <w:highlight w:val="none"/>
                    </w:rPr>
                  </w:pPr>
                  <w:r>
                    <w:rPr>
                      <w:rFonts w:hint="default" w:ascii="Times New Roman" w:hAnsi="Times New Roman" w:cs="Times New Roman" w:eastAsiaTheme="minorEastAsia"/>
                      <w:b w:val="0"/>
                      <w:color w:val="auto"/>
                      <w:sz w:val="21"/>
                      <w:szCs w:val="21"/>
                      <w:highlight w:val="none"/>
                    </w:rPr>
                    <w:t>40</w:t>
                  </w:r>
                </w:p>
              </w:tc>
              <w:tc>
                <w:tcPr>
                  <w:tcW w:w="1195" w:type="pct"/>
                  <w:vMerge w:val="continue"/>
                  <w:tcBorders>
                    <w:left w:val="single" w:color="auto" w:sz="4" w:space="0"/>
                  </w:tcBorders>
                  <w:vAlign w:val="center"/>
                </w:tcPr>
                <w:p w14:paraId="55E8009F">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p>
              </w:tc>
            </w:tr>
            <w:tr w14:paraId="1A00C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continue"/>
                  <w:vAlign w:val="center"/>
                </w:tcPr>
                <w:p w14:paraId="278E591D">
                  <w:pPr>
                    <w:keepNext w:val="0"/>
                    <w:keepLines w:val="0"/>
                    <w:pageBreakBefore w:val="0"/>
                    <w:widowControl w:val="0"/>
                    <w:kinsoku/>
                    <w:wordWrap/>
                    <w:overflowPunct/>
                    <w:topLinePunct w:val="0"/>
                    <w:autoSpaceDE/>
                    <w:autoSpaceDN/>
                    <w:bidi w:val="0"/>
                    <w:snapToGrid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p>
              </w:tc>
              <w:tc>
                <w:tcPr>
                  <w:tcW w:w="1136" w:type="pct"/>
                  <w:vAlign w:val="center"/>
                </w:tcPr>
                <w:p w14:paraId="1AFD8115">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日平均</w:t>
                  </w:r>
                </w:p>
              </w:tc>
              <w:tc>
                <w:tcPr>
                  <w:tcW w:w="1021" w:type="pct"/>
                  <w:tcBorders>
                    <w:right w:val="single" w:color="auto" w:sz="4" w:space="0"/>
                  </w:tcBorders>
                  <w:vAlign w:val="center"/>
                </w:tcPr>
                <w:p w14:paraId="0A4DCA6A">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100</w:t>
                  </w:r>
                </w:p>
              </w:tc>
              <w:tc>
                <w:tcPr>
                  <w:tcW w:w="721" w:type="pct"/>
                  <w:tcBorders>
                    <w:left w:val="single" w:color="auto" w:sz="4" w:space="0"/>
                  </w:tcBorders>
                  <w:vAlign w:val="center"/>
                </w:tcPr>
                <w:p w14:paraId="655AF86E">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70</w:t>
                  </w:r>
                </w:p>
              </w:tc>
              <w:tc>
                <w:tcPr>
                  <w:tcW w:w="1195" w:type="pct"/>
                  <w:vMerge w:val="continue"/>
                  <w:tcBorders>
                    <w:left w:val="single" w:color="auto" w:sz="4" w:space="0"/>
                  </w:tcBorders>
                  <w:vAlign w:val="center"/>
                </w:tcPr>
                <w:p w14:paraId="6DF98F71">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p>
              </w:tc>
            </w:tr>
            <w:tr w14:paraId="02ACF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5" w:type="pct"/>
                  <w:vMerge w:val="continue"/>
                  <w:vAlign w:val="center"/>
                </w:tcPr>
                <w:p w14:paraId="2B2ED4D1">
                  <w:pPr>
                    <w:keepNext w:val="0"/>
                    <w:keepLines w:val="0"/>
                    <w:pageBreakBefore w:val="0"/>
                    <w:widowControl w:val="0"/>
                    <w:kinsoku/>
                    <w:wordWrap/>
                    <w:overflowPunct/>
                    <w:topLinePunct w:val="0"/>
                    <w:autoSpaceDE/>
                    <w:autoSpaceDN/>
                    <w:bidi w:val="0"/>
                    <w:snapToGrid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p>
              </w:tc>
              <w:tc>
                <w:tcPr>
                  <w:tcW w:w="1136" w:type="pct"/>
                  <w:vAlign w:val="center"/>
                </w:tcPr>
                <w:p w14:paraId="3EA71384">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1小时平均</w:t>
                  </w:r>
                </w:p>
              </w:tc>
              <w:tc>
                <w:tcPr>
                  <w:tcW w:w="1021" w:type="pct"/>
                  <w:tcBorders>
                    <w:right w:val="single" w:color="auto" w:sz="4" w:space="0"/>
                  </w:tcBorders>
                  <w:vAlign w:val="center"/>
                </w:tcPr>
                <w:p w14:paraId="2AA494A2">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250</w:t>
                  </w:r>
                </w:p>
              </w:tc>
              <w:tc>
                <w:tcPr>
                  <w:tcW w:w="721" w:type="pct"/>
                  <w:tcBorders>
                    <w:left w:val="single" w:color="auto" w:sz="4" w:space="0"/>
                  </w:tcBorders>
                  <w:vAlign w:val="center"/>
                </w:tcPr>
                <w:p w14:paraId="06E6D0FD">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250</w:t>
                  </w:r>
                </w:p>
              </w:tc>
              <w:tc>
                <w:tcPr>
                  <w:tcW w:w="1195" w:type="pct"/>
                  <w:vMerge w:val="continue"/>
                  <w:tcBorders>
                    <w:left w:val="single" w:color="auto" w:sz="4" w:space="0"/>
                  </w:tcBorders>
                  <w:vAlign w:val="center"/>
                </w:tcPr>
                <w:p w14:paraId="5FEC2DFC">
                  <w:pPr>
                    <w:keepNext w:val="0"/>
                    <w:keepLines w:val="0"/>
                    <w:pageBreakBefore w:val="0"/>
                    <w:widowControl w:val="0"/>
                    <w:kinsoku/>
                    <w:wordWrap/>
                    <w:overflowPunct/>
                    <w:topLinePunct w:val="0"/>
                    <w:autoSpaceDE/>
                    <w:autoSpaceDN/>
                    <w:bidi w:val="0"/>
                    <w:spacing w:line="320" w:lineRule="exact"/>
                    <w:ind w:firstLine="0" w:firstLineChars="0"/>
                    <w:jc w:val="center"/>
                    <w:textAlignment w:val="auto"/>
                    <w:rPr>
                      <w:rFonts w:hint="default" w:ascii="Times New Roman" w:hAnsi="Times New Roman" w:cs="Times New Roman" w:eastAsiaTheme="minorEastAsia"/>
                      <w:color w:val="auto"/>
                      <w:sz w:val="21"/>
                      <w:szCs w:val="21"/>
                      <w:highlight w:val="none"/>
                    </w:rPr>
                  </w:pPr>
                </w:p>
              </w:tc>
            </w:tr>
          </w:tbl>
          <w:p w14:paraId="3CF72FA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根据《环境影响评价技术导则  大气环境》（HJ2.2-2018）6.2.1.1，项目所在区域达标判定，优先采用国家或地方生态环境主管部门公开发布的评价基准年环境质量公告或者环境质量报告中的结论或数据。</w:t>
            </w:r>
          </w:p>
          <w:p w14:paraId="71EC6253">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cs="Times New Roman" w:eastAsiaTheme="minorEastAsia"/>
                <w:b/>
                <w:color w:val="auto"/>
                <w:kern w:val="0"/>
                <w:sz w:val="24"/>
                <w:szCs w:val="24"/>
                <w:highlight w:val="none"/>
              </w:rPr>
            </w:pPr>
            <w:r>
              <w:rPr>
                <w:rFonts w:hint="default" w:ascii="Times New Roman" w:hAnsi="Times New Roman" w:cs="Times New Roman" w:eastAsiaTheme="minorEastAsia"/>
                <w:b/>
                <w:color w:val="auto"/>
                <w:kern w:val="0"/>
                <w:sz w:val="24"/>
                <w:szCs w:val="24"/>
                <w:highlight w:val="none"/>
              </w:rPr>
              <w:t>（2）常规污染物达标判定</w:t>
            </w:r>
          </w:p>
          <w:p w14:paraId="1484F4A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bCs/>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根据《2024年度昆明市生态环境状况公报》，“2024年昆明市主城区外所辖的8个县（市）、区环境空气质量总体保持良好，各项污染物平均浓度均达到《环境空气质量标准》（GB3095-2012）二级标准”，</w:t>
            </w:r>
            <w:r>
              <w:rPr>
                <w:rFonts w:hint="default" w:ascii="Times New Roman" w:hAnsi="Times New Roman" w:cs="Times New Roman" w:eastAsiaTheme="minorEastAsia"/>
                <w:bCs/>
                <w:color w:val="auto"/>
                <w:kern w:val="0"/>
                <w:sz w:val="24"/>
                <w:szCs w:val="24"/>
                <w:highlight w:val="none"/>
              </w:rPr>
              <w:t>项目所在区域</w:t>
            </w:r>
            <w:r>
              <w:rPr>
                <w:rFonts w:hint="eastAsia" w:cs="Times New Roman" w:eastAsiaTheme="minorEastAsia"/>
                <w:bCs/>
                <w:color w:val="auto"/>
                <w:kern w:val="0"/>
                <w:sz w:val="24"/>
                <w:szCs w:val="24"/>
                <w:highlight w:val="none"/>
                <w:lang w:val="en-US" w:eastAsia="zh-CN"/>
              </w:rPr>
              <w:t>位于达标区</w:t>
            </w:r>
            <w:r>
              <w:rPr>
                <w:rFonts w:hint="default" w:ascii="Times New Roman" w:hAnsi="Times New Roman" w:cs="Times New Roman" w:eastAsiaTheme="minorEastAsia"/>
                <w:bCs/>
                <w:color w:val="auto"/>
                <w:kern w:val="0"/>
                <w:sz w:val="24"/>
                <w:szCs w:val="24"/>
                <w:highlight w:val="none"/>
              </w:rPr>
              <w:t>。</w:t>
            </w:r>
          </w:p>
          <w:p w14:paraId="4BA97C4F">
            <w:pPr>
              <w:keepNext w:val="0"/>
              <w:keepLines w:val="0"/>
              <w:pageBreakBefore w:val="0"/>
              <w:widowControl w:val="0"/>
              <w:tabs>
                <w:tab w:val="left" w:pos="6300"/>
              </w:tabs>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cs="Times New Roman" w:eastAsiaTheme="minorEastAsia"/>
                <w:b/>
                <w:color w:val="auto"/>
                <w:kern w:val="0"/>
                <w:sz w:val="24"/>
                <w:szCs w:val="24"/>
                <w:highlight w:val="none"/>
              </w:rPr>
            </w:pPr>
            <w:bookmarkStart w:id="42" w:name="OLE_LINK271"/>
            <w:r>
              <w:rPr>
                <w:rFonts w:hint="default" w:ascii="Times New Roman" w:hAnsi="Times New Roman" w:cs="Times New Roman" w:eastAsiaTheme="minorEastAsia"/>
                <w:b/>
                <w:color w:val="auto"/>
                <w:kern w:val="0"/>
                <w:sz w:val="24"/>
                <w:szCs w:val="24"/>
                <w:highlight w:val="none"/>
              </w:rPr>
              <w:t>（3）特征污染物达标判定</w:t>
            </w:r>
          </w:p>
          <w:p w14:paraId="4012C8E7">
            <w:pPr>
              <w:pStyle w:val="104"/>
              <w:keepNext w:val="0"/>
              <w:keepLines w:val="0"/>
              <w:pageBreakBefore w:val="0"/>
              <w:widowControl w:val="0"/>
              <w:kinsoku/>
              <w:wordWrap/>
              <w:overflowPunct/>
              <w:topLinePunct w:val="0"/>
              <w:autoSpaceDE/>
              <w:autoSpaceDN/>
              <w:bidi w:val="0"/>
              <w:adjustRightInd/>
              <w:snapToGrid/>
              <w:spacing w:line="440" w:lineRule="exact"/>
              <w:ind w:firstLine="470"/>
              <w:jc w:val="both"/>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本项目大气特征污染因子为TSP、氨、硫化氢，故本次对TSP、氨、硫化氢进行</w:t>
            </w:r>
            <w:r>
              <w:rPr>
                <w:rFonts w:hint="default" w:ascii="Times New Roman" w:hAnsi="Times New Roman" w:cs="Times New Roman" w:eastAsiaTheme="minorEastAsia"/>
                <w:b w:val="0"/>
                <w:bCs w:val="0"/>
                <w:color w:val="auto"/>
                <w:kern w:val="0"/>
                <w:sz w:val="24"/>
                <w:szCs w:val="24"/>
                <w:highlight w:val="none"/>
              </w:rPr>
              <w:t>监测，</w:t>
            </w:r>
            <w:bookmarkStart w:id="43" w:name="OLE_LINK12"/>
            <w:r>
              <w:rPr>
                <w:rFonts w:hint="default" w:ascii="Times New Roman" w:hAnsi="Times New Roman" w:cs="Times New Roman" w:eastAsiaTheme="minorEastAsia"/>
                <w:b w:val="0"/>
                <w:bCs w:val="0"/>
                <w:color w:val="auto"/>
                <w:kern w:val="0"/>
                <w:sz w:val="24"/>
                <w:szCs w:val="24"/>
                <w:highlight w:val="none"/>
              </w:rPr>
              <w:t>于新建地块</w:t>
            </w:r>
            <w:r>
              <w:rPr>
                <w:rFonts w:hint="default" w:ascii="Times New Roman" w:hAnsi="Times New Roman" w:cs="Times New Roman" w:eastAsiaTheme="minorEastAsia"/>
                <w:b w:val="0"/>
                <w:bCs w:val="0"/>
                <w:color w:val="auto"/>
                <w:sz w:val="24"/>
                <w:szCs w:val="24"/>
                <w:highlight w:val="none"/>
              </w:rPr>
              <w:t>下风向布设一个监测点位</w:t>
            </w:r>
            <w:bookmarkEnd w:id="43"/>
            <w:r>
              <w:rPr>
                <w:rFonts w:hint="default" w:ascii="Times New Roman" w:hAnsi="Times New Roman" w:cs="Times New Roman" w:eastAsiaTheme="minorEastAsia"/>
                <w:b w:val="0"/>
                <w:bCs w:val="0"/>
                <w:color w:val="auto"/>
                <w:sz w:val="24"/>
                <w:szCs w:val="24"/>
                <w:highlight w:val="none"/>
              </w:rPr>
              <w:t>，</w:t>
            </w:r>
            <w:bookmarkStart w:id="44" w:name="OLE_LINK11"/>
            <w:r>
              <w:rPr>
                <w:rFonts w:hint="default" w:ascii="Times New Roman" w:hAnsi="Times New Roman" w:cs="Times New Roman" w:eastAsiaTheme="minorEastAsia"/>
                <w:b w:val="0"/>
                <w:bCs w:val="0"/>
                <w:color w:val="auto"/>
                <w:sz w:val="24"/>
                <w:szCs w:val="24"/>
                <w:highlight w:val="none"/>
              </w:rPr>
              <w:t>根据</w:t>
            </w:r>
            <w:bookmarkStart w:id="45" w:name="OLE_LINK270"/>
            <w:r>
              <w:rPr>
                <w:rFonts w:hint="default" w:ascii="Times New Roman" w:hAnsi="Times New Roman" w:cs="Times New Roman" w:eastAsiaTheme="minorEastAsia"/>
                <w:b w:val="0"/>
                <w:bCs w:val="0"/>
                <w:color w:val="auto"/>
                <w:sz w:val="24"/>
                <w:szCs w:val="24"/>
                <w:highlight w:val="none"/>
              </w:rPr>
              <w:t>中佰科技（云南）</w:t>
            </w:r>
            <w:r>
              <w:rPr>
                <w:rFonts w:hint="default" w:ascii="Times New Roman" w:hAnsi="Times New Roman" w:cs="Times New Roman" w:eastAsiaTheme="minorEastAsia"/>
                <w:b w:val="0"/>
                <w:bCs w:val="0"/>
                <w:color w:val="auto"/>
                <w:kern w:val="0"/>
                <w:sz w:val="24"/>
                <w:szCs w:val="24"/>
                <w:highlight w:val="none"/>
              </w:rPr>
              <w:t>有限公司</w:t>
            </w:r>
            <w:bookmarkEnd w:id="45"/>
            <w:r>
              <w:rPr>
                <w:rFonts w:hint="default" w:ascii="Times New Roman" w:hAnsi="Times New Roman" w:cs="Times New Roman" w:eastAsiaTheme="minorEastAsia"/>
                <w:b w:val="0"/>
                <w:bCs w:val="0"/>
                <w:color w:val="auto"/>
                <w:kern w:val="0"/>
                <w:sz w:val="24"/>
                <w:szCs w:val="24"/>
                <w:highlight w:val="none"/>
              </w:rPr>
              <w:t>于2025年12月11 日—12月13日进行连续三天TSP的监测情况（监测报告见附件10，中佰检字[2025]-11391）</w:t>
            </w:r>
            <w:bookmarkEnd w:id="42"/>
            <w:bookmarkEnd w:id="44"/>
            <w:r>
              <w:rPr>
                <w:rFonts w:hint="default" w:ascii="Times New Roman" w:hAnsi="Times New Roman" w:cs="Times New Roman" w:eastAsiaTheme="minorEastAsia"/>
                <w:b w:val="0"/>
                <w:bCs w:val="0"/>
                <w:color w:val="auto"/>
                <w:kern w:val="0"/>
                <w:sz w:val="24"/>
                <w:szCs w:val="24"/>
                <w:highlight w:val="none"/>
              </w:rPr>
              <w:t>；</w:t>
            </w:r>
            <w:r>
              <w:rPr>
                <w:rFonts w:hint="default" w:ascii="Times New Roman" w:hAnsi="Times New Roman" w:cs="Times New Roman" w:eastAsiaTheme="minorEastAsia"/>
                <w:b w:val="0"/>
                <w:bCs w:val="0"/>
                <w:color w:val="auto"/>
                <w:sz w:val="24"/>
                <w:szCs w:val="24"/>
                <w:highlight w:val="none"/>
              </w:rPr>
              <w:t>根据云南华晨职业卫生技术服务</w:t>
            </w:r>
            <w:r>
              <w:rPr>
                <w:rFonts w:hint="default" w:ascii="Times New Roman" w:hAnsi="Times New Roman" w:cs="Times New Roman" w:eastAsiaTheme="minorEastAsia"/>
                <w:b w:val="0"/>
                <w:bCs w:val="0"/>
                <w:color w:val="auto"/>
                <w:kern w:val="0"/>
                <w:sz w:val="24"/>
                <w:szCs w:val="24"/>
                <w:highlight w:val="none"/>
              </w:rPr>
              <w:t>有限公司于2026年4月7 日—4月9日进行连续三天氨、硫化氢的监测情况（监测报告见附件10-1</w:t>
            </w:r>
            <w:bookmarkStart w:id="46" w:name="_Hlk88764585"/>
            <w:r>
              <w:rPr>
                <w:rFonts w:hint="default" w:ascii="Times New Roman" w:hAnsi="Times New Roman" w:cs="Times New Roman" w:eastAsiaTheme="minorEastAsia"/>
                <w:b w:val="0"/>
                <w:bCs w:val="0"/>
                <w:color w:val="auto"/>
                <w:kern w:val="0"/>
                <w:sz w:val="24"/>
                <w:szCs w:val="24"/>
                <w:highlight w:val="none"/>
              </w:rPr>
              <w:t>（华晨检字 [2026]040301号</w:t>
            </w:r>
            <w:bookmarkEnd w:id="46"/>
            <w:r>
              <w:rPr>
                <w:rFonts w:hint="default" w:ascii="Times New Roman" w:hAnsi="Times New Roman" w:cs="Times New Roman" w:eastAsiaTheme="minorEastAsia"/>
                <w:b w:val="0"/>
                <w:bCs w:val="0"/>
                <w:color w:val="auto"/>
                <w:kern w:val="0"/>
                <w:sz w:val="24"/>
                <w:szCs w:val="24"/>
                <w:highlight w:val="none"/>
              </w:rPr>
              <w:t>）；氨气、硫化氢标准限值参考《环境影响评价技术导</w:t>
            </w:r>
            <w:r>
              <w:rPr>
                <w:rFonts w:hint="default" w:ascii="Times New Roman" w:hAnsi="Times New Roman" w:cs="Times New Roman" w:eastAsiaTheme="minorEastAsia"/>
                <w:color w:val="auto"/>
                <w:kern w:val="0"/>
                <w:sz w:val="24"/>
                <w:szCs w:val="24"/>
                <w:highlight w:val="none"/>
              </w:rPr>
              <w:t>则大气环境》（HJ2.2-2018）中附录D表D1相关标准要求；监测结果见表3-2。监测点位详见附图8。</w:t>
            </w:r>
          </w:p>
          <w:p w14:paraId="2BB21678">
            <w:pPr>
              <w:ind w:firstLine="422" w:firstLineChars="200"/>
              <w:jc w:val="center"/>
              <w:rPr>
                <w:b/>
                <w:color w:val="auto"/>
                <w:kern w:val="0"/>
                <w:szCs w:val="20"/>
                <w:highlight w:val="none"/>
              </w:rPr>
            </w:pPr>
            <w:r>
              <w:rPr>
                <w:b/>
                <w:color w:val="auto"/>
                <w:kern w:val="0"/>
                <w:szCs w:val="20"/>
                <w:highlight w:val="none"/>
              </w:rPr>
              <w:t>表3</w:t>
            </w:r>
            <w:r>
              <w:rPr>
                <w:rFonts w:hint="eastAsia"/>
                <w:b/>
                <w:color w:val="auto"/>
                <w:kern w:val="0"/>
                <w:szCs w:val="20"/>
                <w:highlight w:val="none"/>
              </w:rPr>
              <w:t>-2  环境</w:t>
            </w:r>
            <w:r>
              <w:rPr>
                <w:b/>
                <w:color w:val="auto"/>
                <w:kern w:val="0"/>
                <w:szCs w:val="20"/>
                <w:highlight w:val="none"/>
              </w:rPr>
              <w:t>空气质量现状</w:t>
            </w:r>
            <w:r>
              <w:rPr>
                <w:rFonts w:hint="eastAsia"/>
                <w:b/>
                <w:color w:val="auto"/>
                <w:kern w:val="0"/>
                <w:szCs w:val="20"/>
                <w:highlight w:val="none"/>
              </w:rPr>
              <w:t>监测结果一览表（日均值） 单位：mg/m</w:t>
            </w:r>
            <w:r>
              <w:rPr>
                <w:rFonts w:hint="eastAsia"/>
                <w:b/>
                <w:color w:val="auto"/>
                <w:kern w:val="0"/>
                <w:szCs w:val="20"/>
                <w:highlight w:val="none"/>
                <w:vertAlign w:val="superscript"/>
              </w:rPr>
              <w:t>3</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6"/>
              <w:gridCol w:w="15"/>
              <w:gridCol w:w="567"/>
              <w:gridCol w:w="1299"/>
              <w:gridCol w:w="2213"/>
              <w:gridCol w:w="1814"/>
              <w:gridCol w:w="1744"/>
            </w:tblGrid>
            <w:tr w14:paraId="7EC1E3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3" w:hRule="atLeast"/>
                <w:jc w:val="center"/>
              </w:trPr>
              <w:tc>
                <w:tcPr>
                  <w:tcW w:w="395" w:type="pct"/>
                  <w:tcBorders>
                    <w:top w:val="single" w:color="auto" w:sz="6" w:space="0"/>
                    <w:bottom w:val="single" w:color="auto" w:sz="6" w:space="0"/>
                    <w:right w:val="single" w:color="auto" w:sz="4" w:space="0"/>
                  </w:tcBorders>
                  <w:vAlign w:val="center"/>
                </w:tcPr>
                <w:p w14:paraId="6A14B72F">
                  <w:pPr>
                    <w:jc w:val="center"/>
                    <w:rPr>
                      <w:b/>
                      <w:bCs/>
                      <w:color w:val="auto"/>
                      <w:spacing w:val="-5"/>
                      <w:szCs w:val="21"/>
                      <w:highlight w:val="none"/>
                      <w:lang w:bidi="he-IL"/>
                    </w:rPr>
                  </w:pPr>
                  <w:r>
                    <w:rPr>
                      <w:b/>
                      <w:bCs/>
                      <w:color w:val="auto"/>
                      <w:szCs w:val="21"/>
                      <w:highlight w:val="none"/>
                    </w:rPr>
                    <w:t>检测点位</w:t>
                  </w:r>
                </w:p>
              </w:tc>
              <w:tc>
                <w:tcPr>
                  <w:tcW w:w="1093" w:type="pct"/>
                  <w:gridSpan w:val="3"/>
                  <w:tcBorders>
                    <w:top w:val="single" w:color="auto" w:sz="6" w:space="0"/>
                    <w:left w:val="single" w:color="auto" w:sz="4" w:space="0"/>
                    <w:bottom w:val="single" w:color="auto" w:sz="6" w:space="0"/>
                  </w:tcBorders>
                  <w:vAlign w:val="center"/>
                </w:tcPr>
                <w:p w14:paraId="37C46BC1">
                  <w:pPr>
                    <w:jc w:val="center"/>
                    <w:rPr>
                      <w:b/>
                      <w:bCs/>
                      <w:color w:val="auto"/>
                      <w:spacing w:val="-5"/>
                      <w:szCs w:val="21"/>
                      <w:highlight w:val="none"/>
                      <w:lang w:bidi="he-IL"/>
                    </w:rPr>
                  </w:pPr>
                  <w:r>
                    <w:rPr>
                      <w:b/>
                      <w:bCs/>
                      <w:color w:val="auto"/>
                      <w:szCs w:val="21"/>
                      <w:highlight w:val="none"/>
                    </w:rPr>
                    <w:t>采样时间</w:t>
                  </w:r>
                </w:p>
              </w:tc>
              <w:tc>
                <w:tcPr>
                  <w:tcW w:w="1328" w:type="pct"/>
                  <w:vAlign w:val="center"/>
                </w:tcPr>
                <w:p w14:paraId="05669140">
                  <w:pPr>
                    <w:jc w:val="center"/>
                    <w:rPr>
                      <w:b/>
                      <w:bCs/>
                      <w:color w:val="auto"/>
                      <w:szCs w:val="21"/>
                      <w:highlight w:val="none"/>
                    </w:rPr>
                  </w:pPr>
                  <w:r>
                    <w:rPr>
                      <w:b/>
                      <w:bCs/>
                      <w:color w:val="auto"/>
                      <w:szCs w:val="21"/>
                      <w:highlight w:val="none"/>
                    </w:rPr>
                    <w:t>样品编号</w:t>
                  </w:r>
                </w:p>
              </w:tc>
              <w:tc>
                <w:tcPr>
                  <w:tcW w:w="1092" w:type="pct"/>
                  <w:vAlign w:val="center"/>
                </w:tcPr>
                <w:p w14:paraId="4ADEF853">
                  <w:pPr>
                    <w:widowControl/>
                    <w:ind w:firstLine="211" w:firstLineChars="100"/>
                    <w:jc w:val="center"/>
                    <w:textAlignment w:val="center"/>
                    <w:rPr>
                      <w:b/>
                      <w:bCs/>
                      <w:color w:val="auto"/>
                      <w:highlight w:val="none"/>
                    </w:rPr>
                  </w:pPr>
                  <w:r>
                    <w:rPr>
                      <w:b/>
                      <w:bCs/>
                      <w:color w:val="auto"/>
                      <w:highlight w:val="none"/>
                    </w:rPr>
                    <w:t>TSP（μg/m</w:t>
                  </w:r>
                  <w:r>
                    <w:rPr>
                      <w:b/>
                      <w:bCs/>
                      <w:color w:val="auto"/>
                      <w:highlight w:val="none"/>
                      <w:vertAlign w:val="superscript"/>
                    </w:rPr>
                    <w:t>3</w:t>
                  </w:r>
                  <w:r>
                    <w:rPr>
                      <w:b/>
                      <w:bCs/>
                      <w:color w:val="auto"/>
                      <w:highlight w:val="none"/>
                    </w:rPr>
                    <w:t>）</w:t>
                  </w:r>
                </w:p>
                <w:p w14:paraId="66E96B35">
                  <w:pPr>
                    <w:pStyle w:val="2"/>
                    <w:jc w:val="center"/>
                    <w:rPr>
                      <w:b/>
                      <w:bCs/>
                      <w:color w:val="auto"/>
                      <w:highlight w:val="none"/>
                    </w:rPr>
                  </w:pPr>
                  <w:r>
                    <w:rPr>
                      <w:b/>
                      <w:bCs/>
                      <w:color w:val="auto"/>
                      <w:sz w:val="21"/>
                      <w:szCs w:val="21"/>
                      <w:highlight w:val="none"/>
                    </w:rPr>
                    <w:t>检测结果</w:t>
                  </w:r>
                </w:p>
              </w:tc>
              <w:tc>
                <w:tcPr>
                  <w:tcW w:w="1089" w:type="pct"/>
                  <w:vAlign w:val="center"/>
                </w:tcPr>
                <w:p w14:paraId="23C2AF0A">
                  <w:pPr>
                    <w:widowControl/>
                    <w:jc w:val="center"/>
                    <w:textAlignment w:val="center"/>
                    <w:rPr>
                      <w:b/>
                      <w:bCs/>
                      <w:color w:val="auto"/>
                      <w:szCs w:val="21"/>
                      <w:highlight w:val="none"/>
                    </w:rPr>
                  </w:pPr>
                  <w:r>
                    <w:rPr>
                      <w:b/>
                      <w:bCs/>
                      <w:color w:val="auto"/>
                      <w:szCs w:val="21"/>
                      <w:highlight w:val="none"/>
                    </w:rPr>
                    <w:t>标准值（μg/m</w:t>
                  </w:r>
                  <w:r>
                    <w:rPr>
                      <w:b/>
                      <w:bCs/>
                      <w:color w:val="auto"/>
                      <w:spacing w:val="-6"/>
                      <w:szCs w:val="21"/>
                      <w:highlight w:val="none"/>
                      <w:vertAlign w:val="superscript"/>
                    </w:rPr>
                    <w:t>3</w:t>
                  </w:r>
                  <w:r>
                    <w:rPr>
                      <w:b/>
                      <w:bCs/>
                      <w:color w:val="auto"/>
                      <w:szCs w:val="21"/>
                      <w:highlight w:val="none"/>
                    </w:rPr>
                    <w:t>）</w:t>
                  </w:r>
                  <w:r>
                    <w:rPr>
                      <w:rFonts w:hint="eastAsia"/>
                      <w:b/>
                      <w:bCs/>
                      <w:color w:val="auto"/>
                      <w:szCs w:val="21"/>
                      <w:highlight w:val="none"/>
                    </w:rPr>
                    <w:t xml:space="preserve">    日均值</w:t>
                  </w:r>
                </w:p>
              </w:tc>
            </w:tr>
            <w:tr w14:paraId="235D4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395" w:type="pct"/>
                  <w:vMerge w:val="restart"/>
                  <w:tcBorders>
                    <w:top w:val="single" w:color="auto" w:sz="6" w:space="0"/>
                    <w:right w:val="single" w:color="auto" w:sz="4" w:space="0"/>
                  </w:tcBorders>
                  <w:vAlign w:val="center"/>
                </w:tcPr>
                <w:p w14:paraId="6F4F1E80">
                  <w:pPr>
                    <w:jc w:val="center"/>
                    <w:rPr>
                      <w:color w:val="auto"/>
                      <w:szCs w:val="21"/>
                      <w:highlight w:val="none"/>
                    </w:rPr>
                  </w:pPr>
                  <w:r>
                    <w:rPr>
                      <w:color w:val="auto"/>
                      <w:szCs w:val="21"/>
                      <w:highlight w:val="none"/>
                    </w:rPr>
                    <w:t>厂界下风向</w:t>
                  </w:r>
                </w:p>
              </w:tc>
              <w:tc>
                <w:tcPr>
                  <w:tcW w:w="1093" w:type="pct"/>
                  <w:gridSpan w:val="3"/>
                  <w:tcBorders>
                    <w:top w:val="single" w:color="auto" w:sz="6" w:space="0"/>
                    <w:left w:val="single" w:color="auto" w:sz="4" w:space="0"/>
                  </w:tcBorders>
                  <w:vAlign w:val="center"/>
                </w:tcPr>
                <w:p w14:paraId="4951FB87">
                  <w:pPr>
                    <w:jc w:val="center"/>
                    <w:rPr>
                      <w:bCs/>
                      <w:color w:val="auto"/>
                      <w:spacing w:val="-5"/>
                      <w:szCs w:val="21"/>
                      <w:highlight w:val="none"/>
                      <w:lang w:bidi="he-IL"/>
                    </w:rPr>
                  </w:pPr>
                  <w:r>
                    <w:rPr>
                      <w:rFonts w:hint="eastAsia"/>
                      <w:bCs/>
                      <w:color w:val="auto"/>
                      <w:szCs w:val="21"/>
                      <w:highlight w:val="none"/>
                    </w:rPr>
                    <w:t>2025.12.11</w:t>
                  </w:r>
                </w:p>
              </w:tc>
              <w:tc>
                <w:tcPr>
                  <w:tcW w:w="1328" w:type="pct"/>
                  <w:vAlign w:val="center"/>
                </w:tcPr>
                <w:p w14:paraId="692B3A97">
                  <w:pPr>
                    <w:jc w:val="center"/>
                    <w:rPr>
                      <w:color w:val="auto"/>
                      <w:spacing w:val="-5"/>
                      <w:szCs w:val="21"/>
                      <w:highlight w:val="none"/>
                      <w:lang w:bidi="he-IL"/>
                    </w:rPr>
                  </w:pPr>
                  <w:r>
                    <w:rPr>
                      <w:rFonts w:hint="eastAsia"/>
                      <w:color w:val="auto"/>
                      <w:szCs w:val="21"/>
                      <w:highlight w:val="none"/>
                    </w:rPr>
                    <w:t>Q251211L2-01</w:t>
                  </w:r>
                </w:p>
              </w:tc>
              <w:tc>
                <w:tcPr>
                  <w:tcW w:w="1092" w:type="pct"/>
                  <w:vAlign w:val="center"/>
                </w:tcPr>
                <w:p w14:paraId="3A7396CF">
                  <w:pPr>
                    <w:jc w:val="center"/>
                    <w:rPr>
                      <w:bCs/>
                      <w:color w:val="auto"/>
                      <w:szCs w:val="21"/>
                      <w:highlight w:val="none"/>
                    </w:rPr>
                  </w:pPr>
                  <w:r>
                    <w:rPr>
                      <w:rFonts w:hint="eastAsia"/>
                      <w:bCs/>
                      <w:color w:val="auto"/>
                      <w:spacing w:val="-5"/>
                      <w:szCs w:val="21"/>
                      <w:highlight w:val="none"/>
                      <w:lang w:bidi="he-IL"/>
                    </w:rPr>
                    <w:t>112</w:t>
                  </w:r>
                </w:p>
              </w:tc>
              <w:tc>
                <w:tcPr>
                  <w:tcW w:w="1089" w:type="pct"/>
                  <w:vAlign w:val="center"/>
                </w:tcPr>
                <w:p w14:paraId="7F6D68E0">
                  <w:pPr>
                    <w:widowControl/>
                    <w:jc w:val="center"/>
                    <w:textAlignment w:val="center"/>
                    <w:rPr>
                      <w:color w:val="auto"/>
                      <w:szCs w:val="21"/>
                      <w:highlight w:val="none"/>
                    </w:rPr>
                  </w:pPr>
                  <w:r>
                    <w:rPr>
                      <w:rFonts w:hint="eastAsia"/>
                      <w:color w:val="auto"/>
                      <w:szCs w:val="21"/>
                      <w:highlight w:val="none"/>
                    </w:rPr>
                    <w:t>300</w:t>
                  </w:r>
                </w:p>
              </w:tc>
            </w:tr>
            <w:tr w14:paraId="6E9208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395" w:type="pct"/>
                  <w:vMerge w:val="continue"/>
                  <w:tcBorders>
                    <w:right w:val="single" w:color="auto" w:sz="4" w:space="0"/>
                  </w:tcBorders>
                  <w:vAlign w:val="center"/>
                </w:tcPr>
                <w:p w14:paraId="4C4E5673">
                  <w:pPr>
                    <w:jc w:val="center"/>
                    <w:rPr>
                      <w:color w:val="auto"/>
                      <w:szCs w:val="21"/>
                      <w:highlight w:val="none"/>
                    </w:rPr>
                  </w:pPr>
                </w:p>
              </w:tc>
              <w:tc>
                <w:tcPr>
                  <w:tcW w:w="1093" w:type="pct"/>
                  <w:gridSpan w:val="3"/>
                  <w:tcBorders>
                    <w:left w:val="single" w:color="auto" w:sz="4" w:space="0"/>
                  </w:tcBorders>
                  <w:vAlign w:val="center"/>
                </w:tcPr>
                <w:p w14:paraId="74575CD4">
                  <w:pPr>
                    <w:jc w:val="center"/>
                    <w:rPr>
                      <w:bCs/>
                      <w:color w:val="auto"/>
                      <w:spacing w:val="-5"/>
                      <w:szCs w:val="21"/>
                      <w:highlight w:val="none"/>
                      <w:lang w:bidi="he-IL"/>
                    </w:rPr>
                  </w:pPr>
                  <w:r>
                    <w:rPr>
                      <w:rFonts w:hint="eastAsia"/>
                      <w:bCs/>
                      <w:color w:val="auto"/>
                      <w:szCs w:val="21"/>
                      <w:highlight w:val="none"/>
                    </w:rPr>
                    <w:t>2025.12.12</w:t>
                  </w:r>
                </w:p>
              </w:tc>
              <w:tc>
                <w:tcPr>
                  <w:tcW w:w="1328" w:type="pct"/>
                  <w:vAlign w:val="center"/>
                </w:tcPr>
                <w:p w14:paraId="5691362A">
                  <w:pPr>
                    <w:jc w:val="center"/>
                    <w:rPr>
                      <w:color w:val="auto"/>
                      <w:spacing w:val="-5"/>
                      <w:szCs w:val="21"/>
                      <w:highlight w:val="none"/>
                      <w:lang w:bidi="he-IL"/>
                    </w:rPr>
                  </w:pPr>
                  <w:r>
                    <w:rPr>
                      <w:rFonts w:hint="eastAsia"/>
                      <w:color w:val="auto"/>
                      <w:szCs w:val="21"/>
                      <w:highlight w:val="none"/>
                    </w:rPr>
                    <w:t>Q251212L2-01</w:t>
                  </w:r>
                </w:p>
              </w:tc>
              <w:tc>
                <w:tcPr>
                  <w:tcW w:w="1092" w:type="pct"/>
                  <w:vAlign w:val="center"/>
                </w:tcPr>
                <w:p w14:paraId="1BD7BA8F">
                  <w:pPr>
                    <w:jc w:val="center"/>
                    <w:rPr>
                      <w:bCs/>
                      <w:color w:val="auto"/>
                      <w:szCs w:val="21"/>
                      <w:highlight w:val="none"/>
                    </w:rPr>
                  </w:pPr>
                  <w:r>
                    <w:rPr>
                      <w:rFonts w:hint="eastAsia"/>
                      <w:bCs/>
                      <w:color w:val="auto"/>
                      <w:spacing w:val="-5"/>
                      <w:szCs w:val="21"/>
                      <w:highlight w:val="none"/>
                      <w:lang w:bidi="he-IL"/>
                    </w:rPr>
                    <w:t>122</w:t>
                  </w:r>
                </w:p>
              </w:tc>
              <w:tc>
                <w:tcPr>
                  <w:tcW w:w="1089" w:type="pct"/>
                  <w:vAlign w:val="center"/>
                </w:tcPr>
                <w:p w14:paraId="3E1CB67F">
                  <w:pPr>
                    <w:widowControl/>
                    <w:jc w:val="center"/>
                    <w:textAlignment w:val="center"/>
                    <w:rPr>
                      <w:color w:val="auto"/>
                      <w:szCs w:val="21"/>
                      <w:highlight w:val="none"/>
                    </w:rPr>
                  </w:pPr>
                  <w:r>
                    <w:rPr>
                      <w:rFonts w:hint="eastAsia"/>
                      <w:color w:val="auto"/>
                      <w:szCs w:val="21"/>
                      <w:highlight w:val="none"/>
                    </w:rPr>
                    <w:t>300</w:t>
                  </w:r>
                </w:p>
              </w:tc>
            </w:tr>
            <w:tr w14:paraId="7D80A3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395" w:type="pct"/>
                  <w:vMerge w:val="continue"/>
                  <w:tcBorders>
                    <w:right w:val="single" w:color="auto" w:sz="4" w:space="0"/>
                  </w:tcBorders>
                  <w:vAlign w:val="center"/>
                </w:tcPr>
                <w:p w14:paraId="736EDBF8">
                  <w:pPr>
                    <w:jc w:val="center"/>
                    <w:rPr>
                      <w:color w:val="auto"/>
                      <w:szCs w:val="21"/>
                      <w:highlight w:val="none"/>
                    </w:rPr>
                  </w:pPr>
                </w:p>
              </w:tc>
              <w:tc>
                <w:tcPr>
                  <w:tcW w:w="1093" w:type="pct"/>
                  <w:gridSpan w:val="3"/>
                  <w:tcBorders>
                    <w:left w:val="single" w:color="auto" w:sz="4" w:space="0"/>
                  </w:tcBorders>
                  <w:vAlign w:val="center"/>
                </w:tcPr>
                <w:p w14:paraId="7EF9BD30">
                  <w:pPr>
                    <w:jc w:val="center"/>
                    <w:rPr>
                      <w:bCs/>
                      <w:color w:val="auto"/>
                      <w:spacing w:val="-5"/>
                      <w:szCs w:val="21"/>
                      <w:highlight w:val="none"/>
                      <w:lang w:bidi="he-IL"/>
                    </w:rPr>
                  </w:pPr>
                  <w:r>
                    <w:rPr>
                      <w:rFonts w:hint="eastAsia"/>
                      <w:bCs/>
                      <w:color w:val="auto"/>
                      <w:szCs w:val="21"/>
                      <w:highlight w:val="none"/>
                    </w:rPr>
                    <w:t>2025.12.13</w:t>
                  </w:r>
                </w:p>
              </w:tc>
              <w:tc>
                <w:tcPr>
                  <w:tcW w:w="1328" w:type="pct"/>
                  <w:vAlign w:val="center"/>
                </w:tcPr>
                <w:p w14:paraId="4DDBE3A1">
                  <w:pPr>
                    <w:jc w:val="center"/>
                    <w:rPr>
                      <w:color w:val="auto"/>
                      <w:spacing w:val="-5"/>
                      <w:szCs w:val="21"/>
                      <w:highlight w:val="none"/>
                      <w:lang w:bidi="he-IL"/>
                    </w:rPr>
                  </w:pPr>
                  <w:r>
                    <w:rPr>
                      <w:rFonts w:hint="eastAsia"/>
                      <w:color w:val="auto"/>
                      <w:szCs w:val="21"/>
                      <w:highlight w:val="none"/>
                    </w:rPr>
                    <w:t>Q251213L2-01</w:t>
                  </w:r>
                </w:p>
              </w:tc>
              <w:tc>
                <w:tcPr>
                  <w:tcW w:w="1092" w:type="pct"/>
                  <w:vAlign w:val="center"/>
                </w:tcPr>
                <w:p w14:paraId="07B887CF">
                  <w:pPr>
                    <w:jc w:val="center"/>
                    <w:rPr>
                      <w:bCs/>
                      <w:color w:val="auto"/>
                      <w:szCs w:val="21"/>
                      <w:highlight w:val="none"/>
                    </w:rPr>
                  </w:pPr>
                  <w:r>
                    <w:rPr>
                      <w:rFonts w:hint="eastAsia"/>
                      <w:bCs/>
                      <w:color w:val="auto"/>
                      <w:spacing w:val="-5"/>
                      <w:szCs w:val="21"/>
                      <w:highlight w:val="none"/>
                      <w:lang w:bidi="he-IL"/>
                    </w:rPr>
                    <w:t>105</w:t>
                  </w:r>
                </w:p>
              </w:tc>
              <w:tc>
                <w:tcPr>
                  <w:tcW w:w="1089" w:type="pct"/>
                  <w:vAlign w:val="center"/>
                </w:tcPr>
                <w:p w14:paraId="4D3ECE64">
                  <w:pPr>
                    <w:widowControl/>
                    <w:jc w:val="center"/>
                    <w:textAlignment w:val="center"/>
                    <w:rPr>
                      <w:color w:val="auto"/>
                      <w:szCs w:val="21"/>
                      <w:highlight w:val="none"/>
                    </w:rPr>
                  </w:pPr>
                  <w:r>
                    <w:rPr>
                      <w:rFonts w:hint="eastAsia"/>
                      <w:color w:val="auto"/>
                      <w:szCs w:val="21"/>
                      <w:highlight w:val="none"/>
                    </w:rPr>
                    <w:t>300</w:t>
                  </w:r>
                </w:p>
              </w:tc>
            </w:tr>
            <w:tr w14:paraId="07BA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blHeader/>
                <w:jc w:val="center"/>
              </w:trPr>
              <w:tc>
                <w:tcPr>
                  <w:tcW w:w="404" w:type="pct"/>
                  <w:gridSpan w:val="2"/>
                  <w:vAlign w:val="center"/>
                </w:tcPr>
                <w:p w14:paraId="58791806">
                  <w:pPr>
                    <w:jc w:val="center"/>
                    <w:rPr>
                      <w:b/>
                      <w:bCs/>
                      <w:color w:val="auto"/>
                      <w:szCs w:val="21"/>
                      <w:highlight w:val="none"/>
                    </w:rPr>
                  </w:pPr>
                  <w:r>
                    <w:rPr>
                      <w:b/>
                      <w:bCs/>
                      <w:color w:val="auto"/>
                      <w:szCs w:val="21"/>
                      <w:highlight w:val="none"/>
                    </w:rPr>
                    <w:t>检测</w:t>
                  </w:r>
                </w:p>
                <w:p w14:paraId="4AFB0F12">
                  <w:pPr>
                    <w:jc w:val="center"/>
                    <w:rPr>
                      <w:b/>
                      <w:bCs/>
                      <w:color w:val="auto"/>
                      <w:szCs w:val="21"/>
                      <w:highlight w:val="none"/>
                    </w:rPr>
                  </w:pPr>
                  <w:r>
                    <w:rPr>
                      <w:b/>
                      <w:bCs/>
                      <w:color w:val="auto"/>
                      <w:szCs w:val="21"/>
                      <w:highlight w:val="none"/>
                    </w:rPr>
                    <w:t>点位</w:t>
                  </w:r>
                </w:p>
              </w:tc>
              <w:tc>
                <w:tcPr>
                  <w:tcW w:w="1080" w:type="pct"/>
                  <w:gridSpan w:val="2"/>
                  <w:vAlign w:val="center"/>
                </w:tcPr>
                <w:p w14:paraId="1C7E02FA">
                  <w:pPr>
                    <w:jc w:val="center"/>
                    <w:rPr>
                      <w:b/>
                      <w:bCs/>
                      <w:color w:val="auto"/>
                      <w:szCs w:val="21"/>
                      <w:highlight w:val="none"/>
                    </w:rPr>
                  </w:pPr>
                  <w:r>
                    <w:rPr>
                      <w:rFonts w:hint="eastAsia"/>
                      <w:b/>
                      <w:bCs/>
                      <w:color w:val="auto"/>
                      <w:szCs w:val="21"/>
                      <w:highlight w:val="none"/>
                    </w:rPr>
                    <w:t>采样</w:t>
                  </w:r>
                  <w:r>
                    <w:rPr>
                      <w:b/>
                      <w:bCs/>
                      <w:color w:val="auto"/>
                      <w:szCs w:val="21"/>
                      <w:highlight w:val="none"/>
                    </w:rPr>
                    <w:t>时间</w:t>
                  </w:r>
                </w:p>
              </w:tc>
              <w:tc>
                <w:tcPr>
                  <w:tcW w:w="1332" w:type="pct"/>
                  <w:vAlign w:val="center"/>
                </w:tcPr>
                <w:p w14:paraId="2944F7B4">
                  <w:pPr>
                    <w:jc w:val="center"/>
                    <w:rPr>
                      <w:b/>
                      <w:bCs/>
                      <w:color w:val="auto"/>
                      <w:szCs w:val="21"/>
                      <w:highlight w:val="none"/>
                    </w:rPr>
                  </w:pPr>
                  <w:r>
                    <w:rPr>
                      <w:b/>
                      <w:bCs/>
                      <w:color w:val="auto"/>
                      <w:szCs w:val="21"/>
                      <w:highlight w:val="none"/>
                    </w:rPr>
                    <w:t>样品编号</w:t>
                  </w:r>
                </w:p>
              </w:tc>
              <w:tc>
                <w:tcPr>
                  <w:tcW w:w="1092" w:type="pct"/>
                  <w:vAlign w:val="center"/>
                </w:tcPr>
                <w:p w14:paraId="55DF87C9">
                  <w:pPr>
                    <w:jc w:val="center"/>
                    <w:rPr>
                      <w:b/>
                      <w:bCs/>
                      <w:color w:val="auto"/>
                      <w:szCs w:val="21"/>
                      <w:highlight w:val="none"/>
                    </w:rPr>
                  </w:pPr>
                  <w:r>
                    <w:rPr>
                      <w:rFonts w:hint="eastAsia"/>
                      <w:b/>
                      <w:bCs/>
                      <w:color w:val="auto"/>
                      <w:szCs w:val="21"/>
                      <w:highlight w:val="none"/>
                    </w:rPr>
                    <w:t>氨</w:t>
                  </w:r>
                </w:p>
              </w:tc>
              <w:tc>
                <w:tcPr>
                  <w:tcW w:w="1075" w:type="pct"/>
                  <w:vAlign w:val="center"/>
                </w:tcPr>
                <w:p w14:paraId="7B690A39">
                  <w:pPr>
                    <w:jc w:val="center"/>
                    <w:rPr>
                      <w:b/>
                      <w:bCs/>
                      <w:color w:val="auto"/>
                      <w:szCs w:val="21"/>
                      <w:highlight w:val="none"/>
                    </w:rPr>
                  </w:pPr>
                  <w:r>
                    <w:rPr>
                      <w:b/>
                      <w:bCs/>
                      <w:color w:val="auto"/>
                      <w:szCs w:val="21"/>
                      <w:highlight w:val="none"/>
                    </w:rPr>
                    <w:t>标准值（μg/m</w:t>
                  </w:r>
                  <w:r>
                    <w:rPr>
                      <w:b/>
                      <w:bCs/>
                      <w:color w:val="auto"/>
                      <w:spacing w:val="-6"/>
                      <w:szCs w:val="21"/>
                      <w:highlight w:val="none"/>
                      <w:vertAlign w:val="superscript"/>
                    </w:rPr>
                    <w:t>3</w:t>
                  </w:r>
                  <w:r>
                    <w:rPr>
                      <w:b/>
                      <w:bCs/>
                      <w:color w:val="auto"/>
                      <w:szCs w:val="21"/>
                      <w:highlight w:val="none"/>
                    </w:rPr>
                    <w:t>）</w:t>
                  </w:r>
                  <w:r>
                    <w:rPr>
                      <w:rFonts w:hint="eastAsia"/>
                      <w:b/>
                      <w:bCs/>
                      <w:color w:val="auto"/>
                      <w:szCs w:val="21"/>
                      <w:highlight w:val="none"/>
                    </w:rPr>
                    <w:t xml:space="preserve">    小时值</w:t>
                  </w:r>
                </w:p>
              </w:tc>
            </w:tr>
            <w:tr w14:paraId="33C0D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restart"/>
                  <w:vAlign w:val="center"/>
                </w:tcPr>
                <w:p w14:paraId="0DA72965">
                  <w:pPr>
                    <w:jc w:val="center"/>
                    <w:rPr>
                      <w:bCs/>
                      <w:color w:val="auto"/>
                      <w:szCs w:val="21"/>
                      <w:highlight w:val="none"/>
                    </w:rPr>
                  </w:pPr>
                  <w:r>
                    <w:rPr>
                      <w:rFonts w:hint="eastAsia"/>
                      <w:bCs/>
                      <w:color w:val="auto"/>
                      <w:szCs w:val="21"/>
                      <w:highlight w:val="none"/>
                    </w:rPr>
                    <w:t>厂界下风向（S1）</w:t>
                  </w:r>
                </w:p>
              </w:tc>
              <w:tc>
                <w:tcPr>
                  <w:tcW w:w="298" w:type="pct"/>
                  <w:vMerge w:val="restart"/>
                  <w:vAlign w:val="center"/>
                </w:tcPr>
                <w:p w14:paraId="60EBB000">
                  <w:pPr>
                    <w:jc w:val="center"/>
                    <w:rPr>
                      <w:bCs/>
                      <w:color w:val="auto"/>
                      <w:spacing w:val="-5"/>
                      <w:szCs w:val="21"/>
                      <w:highlight w:val="none"/>
                      <w:lang w:bidi="he-IL"/>
                    </w:rPr>
                  </w:pPr>
                  <w:r>
                    <w:rPr>
                      <w:rFonts w:hint="eastAsia"/>
                      <w:bCs/>
                      <w:color w:val="auto"/>
                      <w:spacing w:val="-5"/>
                      <w:szCs w:val="21"/>
                      <w:highlight w:val="none"/>
                      <w:lang w:bidi="he-IL"/>
                    </w:rPr>
                    <w:t>2026.04.07</w:t>
                  </w:r>
                </w:p>
              </w:tc>
              <w:tc>
                <w:tcPr>
                  <w:tcW w:w="782" w:type="pct"/>
                  <w:vAlign w:val="center"/>
                </w:tcPr>
                <w:p w14:paraId="4CCBE590">
                  <w:pPr>
                    <w:jc w:val="center"/>
                    <w:rPr>
                      <w:bCs/>
                      <w:color w:val="auto"/>
                      <w:spacing w:val="-5"/>
                      <w:szCs w:val="21"/>
                      <w:highlight w:val="none"/>
                      <w:lang w:bidi="he-IL"/>
                    </w:rPr>
                  </w:pPr>
                  <w:r>
                    <w:rPr>
                      <w:rFonts w:hint="eastAsia"/>
                      <w:bCs/>
                      <w:color w:val="auto"/>
                      <w:spacing w:val="-5"/>
                      <w:szCs w:val="21"/>
                      <w:highlight w:val="none"/>
                      <w:lang w:bidi="he-IL"/>
                    </w:rPr>
                    <w:t>09:00-09:45</w:t>
                  </w:r>
                </w:p>
              </w:tc>
              <w:tc>
                <w:tcPr>
                  <w:tcW w:w="1332" w:type="pct"/>
                  <w:vAlign w:val="center"/>
                </w:tcPr>
                <w:p w14:paraId="45329EED">
                  <w:pPr>
                    <w:jc w:val="center"/>
                    <w:rPr>
                      <w:color w:val="auto"/>
                      <w:spacing w:val="-5"/>
                      <w:szCs w:val="21"/>
                      <w:highlight w:val="none"/>
                      <w:lang w:bidi="he-IL"/>
                    </w:rPr>
                  </w:pPr>
                  <w:r>
                    <w:rPr>
                      <w:rFonts w:hint="eastAsia"/>
                      <w:color w:val="auto"/>
                      <w:spacing w:val="-5"/>
                      <w:szCs w:val="21"/>
                      <w:highlight w:val="none"/>
                      <w:lang w:bidi="he-IL"/>
                    </w:rPr>
                    <w:t>A26040301Q001</w:t>
                  </w:r>
                </w:p>
              </w:tc>
              <w:tc>
                <w:tcPr>
                  <w:tcW w:w="1092" w:type="pct"/>
                  <w:vAlign w:val="center"/>
                </w:tcPr>
                <w:p w14:paraId="4207CD3A">
                  <w:pPr>
                    <w:jc w:val="center"/>
                    <w:rPr>
                      <w:bCs/>
                      <w:color w:val="auto"/>
                      <w:szCs w:val="21"/>
                      <w:highlight w:val="none"/>
                    </w:rPr>
                  </w:pPr>
                  <w:r>
                    <w:rPr>
                      <w:rFonts w:hint="eastAsia"/>
                      <w:bCs/>
                      <w:color w:val="auto"/>
                      <w:szCs w:val="21"/>
                      <w:highlight w:val="none"/>
                    </w:rPr>
                    <w:t>0.18</w:t>
                  </w:r>
                </w:p>
              </w:tc>
              <w:tc>
                <w:tcPr>
                  <w:tcW w:w="1075" w:type="pct"/>
                  <w:vAlign w:val="center"/>
                </w:tcPr>
                <w:p w14:paraId="40590FD3">
                  <w:pPr>
                    <w:jc w:val="center"/>
                    <w:rPr>
                      <w:bCs/>
                      <w:color w:val="auto"/>
                      <w:szCs w:val="21"/>
                      <w:highlight w:val="none"/>
                    </w:rPr>
                  </w:pPr>
                  <w:r>
                    <w:rPr>
                      <w:rFonts w:hint="eastAsia"/>
                      <w:bCs/>
                      <w:color w:val="auto"/>
                      <w:szCs w:val="21"/>
                      <w:highlight w:val="none"/>
                    </w:rPr>
                    <w:t>200</w:t>
                  </w:r>
                </w:p>
              </w:tc>
            </w:tr>
            <w:tr w14:paraId="3606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092E686F">
                  <w:pPr>
                    <w:jc w:val="center"/>
                    <w:rPr>
                      <w:bCs/>
                      <w:color w:val="auto"/>
                      <w:szCs w:val="21"/>
                      <w:highlight w:val="none"/>
                    </w:rPr>
                  </w:pPr>
                </w:p>
              </w:tc>
              <w:tc>
                <w:tcPr>
                  <w:tcW w:w="298" w:type="pct"/>
                  <w:vMerge w:val="continue"/>
                  <w:vAlign w:val="center"/>
                </w:tcPr>
                <w:p w14:paraId="54692764">
                  <w:pPr>
                    <w:jc w:val="center"/>
                    <w:rPr>
                      <w:bCs/>
                      <w:color w:val="auto"/>
                      <w:spacing w:val="-5"/>
                      <w:szCs w:val="21"/>
                      <w:highlight w:val="none"/>
                      <w:lang w:bidi="he-IL"/>
                    </w:rPr>
                  </w:pPr>
                </w:p>
              </w:tc>
              <w:tc>
                <w:tcPr>
                  <w:tcW w:w="782" w:type="pct"/>
                  <w:vAlign w:val="center"/>
                </w:tcPr>
                <w:p w14:paraId="61190297">
                  <w:pPr>
                    <w:jc w:val="center"/>
                    <w:rPr>
                      <w:bCs/>
                      <w:color w:val="auto"/>
                      <w:spacing w:val="-5"/>
                      <w:szCs w:val="21"/>
                      <w:highlight w:val="none"/>
                      <w:lang w:bidi="he-IL"/>
                    </w:rPr>
                  </w:pPr>
                  <w:r>
                    <w:rPr>
                      <w:rFonts w:hint="eastAsia"/>
                      <w:bCs/>
                      <w:color w:val="auto"/>
                      <w:spacing w:val="-5"/>
                      <w:szCs w:val="21"/>
                      <w:highlight w:val="none"/>
                      <w:lang w:bidi="he-IL"/>
                    </w:rPr>
                    <w:t>11:00-11:45</w:t>
                  </w:r>
                </w:p>
              </w:tc>
              <w:tc>
                <w:tcPr>
                  <w:tcW w:w="1332" w:type="pct"/>
                  <w:vAlign w:val="center"/>
                </w:tcPr>
                <w:p w14:paraId="17853DD7">
                  <w:pPr>
                    <w:jc w:val="center"/>
                    <w:rPr>
                      <w:color w:val="auto"/>
                      <w:spacing w:val="-5"/>
                      <w:szCs w:val="21"/>
                      <w:highlight w:val="none"/>
                      <w:lang w:bidi="he-IL"/>
                    </w:rPr>
                  </w:pPr>
                  <w:r>
                    <w:rPr>
                      <w:rFonts w:hint="eastAsia"/>
                      <w:color w:val="auto"/>
                      <w:spacing w:val="-5"/>
                      <w:szCs w:val="21"/>
                      <w:highlight w:val="none"/>
                      <w:lang w:bidi="he-IL"/>
                    </w:rPr>
                    <w:t>A26040301Q002</w:t>
                  </w:r>
                </w:p>
              </w:tc>
              <w:tc>
                <w:tcPr>
                  <w:tcW w:w="1092" w:type="pct"/>
                  <w:vAlign w:val="center"/>
                </w:tcPr>
                <w:p w14:paraId="6DA2128E">
                  <w:pPr>
                    <w:jc w:val="center"/>
                    <w:rPr>
                      <w:bCs/>
                      <w:color w:val="auto"/>
                      <w:szCs w:val="21"/>
                      <w:highlight w:val="none"/>
                    </w:rPr>
                  </w:pPr>
                  <w:r>
                    <w:rPr>
                      <w:rFonts w:hint="eastAsia"/>
                      <w:bCs/>
                      <w:color w:val="auto"/>
                      <w:szCs w:val="21"/>
                      <w:highlight w:val="none"/>
                    </w:rPr>
                    <w:t>0.19</w:t>
                  </w:r>
                </w:p>
              </w:tc>
              <w:tc>
                <w:tcPr>
                  <w:tcW w:w="1075" w:type="pct"/>
                  <w:vAlign w:val="center"/>
                </w:tcPr>
                <w:p w14:paraId="7DAECD4A">
                  <w:pPr>
                    <w:jc w:val="center"/>
                    <w:rPr>
                      <w:bCs/>
                      <w:color w:val="auto"/>
                      <w:szCs w:val="21"/>
                      <w:highlight w:val="none"/>
                    </w:rPr>
                  </w:pPr>
                  <w:r>
                    <w:rPr>
                      <w:rFonts w:hint="eastAsia"/>
                      <w:bCs/>
                      <w:color w:val="auto"/>
                      <w:szCs w:val="21"/>
                      <w:highlight w:val="none"/>
                    </w:rPr>
                    <w:t>200</w:t>
                  </w:r>
                </w:p>
              </w:tc>
            </w:tr>
            <w:tr w14:paraId="6F97B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343174FB">
                  <w:pPr>
                    <w:jc w:val="center"/>
                    <w:rPr>
                      <w:bCs/>
                      <w:color w:val="auto"/>
                      <w:szCs w:val="21"/>
                      <w:highlight w:val="none"/>
                    </w:rPr>
                  </w:pPr>
                </w:p>
              </w:tc>
              <w:tc>
                <w:tcPr>
                  <w:tcW w:w="298" w:type="pct"/>
                  <w:vMerge w:val="continue"/>
                  <w:vAlign w:val="center"/>
                </w:tcPr>
                <w:p w14:paraId="6861A223">
                  <w:pPr>
                    <w:jc w:val="center"/>
                    <w:rPr>
                      <w:bCs/>
                      <w:color w:val="auto"/>
                      <w:spacing w:val="-5"/>
                      <w:szCs w:val="21"/>
                      <w:highlight w:val="none"/>
                      <w:lang w:bidi="he-IL"/>
                    </w:rPr>
                  </w:pPr>
                </w:p>
              </w:tc>
              <w:tc>
                <w:tcPr>
                  <w:tcW w:w="782" w:type="pct"/>
                  <w:vAlign w:val="center"/>
                </w:tcPr>
                <w:p w14:paraId="04961A92">
                  <w:pPr>
                    <w:jc w:val="center"/>
                    <w:rPr>
                      <w:bCs/>
                      <w:color w:val="auto"/>
                      <w:spacing w:val="-5"/>
                      <w:szCs w:val="21"/>
                      <w:highlight w:val="none"/>
                      <w:lang w:bidi="he-IL"/>
                    </w:rPr>
                  </w:pPr>
                  <w:r>
                    <w:rPr>
                      <w:rFonts w:hint="eastAsia"/>
                      <w:bCs/>
                      <w:color w:val="auto"/>
                      <w:spacing w:val="-5"/>
                      <w:szCs w:val="21"/>
                      <w:highlight w:val="none"/>
                      <w:lang w:bidi="he-IL"/>
                    </w:rPr>
                    <w:t>13:00-13:45</w:t>
                  </w:r>
                </w:p>
              </w:tc>
              <w:tc>
                <w:tcPr>
                  <w:tcW w:w="1332" w:type="pct"/>
                  <w:vAlign w:val="center"/>
                </w:tcPr>
                <w:p w14:paraId="0D85FE33">
                  <w:pPr>
                    <w:jc w:val="center"/>
                    <w:rPr>
                      <w:color w:val="auto"/>
                      <w:spacing w:val="-5"/>
                      <w:szCs w:val="21"/>
                      <w:highlight w:val="none"/>
                      <w:lang w:bidi="he-IL"/>
                    </w:rPr>
                  </w:pPr>
                  <w:r>
                    <w:rPr>
                      <w:rFonts w:hint="eastAsia"/>
                      <w:color w:val="auto"/>
                      <w:spacing w:val="-5"/>
                      <w:szCs w:val="21"/>
                      <w:highlight w:val="none"/>
                      <w:lang w:bidi="he-IL"/>
                    </w:rPr>
                    <w:t>A26040301Q003</w:t>
                  </w:r>
                </w:p>
              </w:tc>
              <w:tc>
                <w:tcPr>
                  <w:tcW w:w="1092" w:type="pct"/>
                  <w:vAlign w:val="center"/>
                </w:tcPr>
                <w:p w14:paraId="6875B5FA">
                  <w:pPr>
                    <w:jc w:val="center"/>
                    <w:rPr>
                      <w:bCs/>
                      <w:color w:val="auto"/>
                      <w:szCs w:val="21"/>
                      <w:highlight w:val="none"/>
                    </w:rPr>
                  </w:pPr>
                  <w:r>
                    <w:rPr>
                      <w:rFonts w:hint="eastAsia"/>
                      <w:bCs/>
                      <w:color w:val="auto"/>
                      <w:szCs w:val="21"/>
                      <w:highlight w:val="none"/>
                    </w:rPr>
                    <w:t>0.18</w:t>
                  </w:r>
                </w:p>
              </w:tc>
              <w:tc>
                <w:tcPr>
                  <w:tcW w:w="1075" w:type="pct"/>
                  <w:vAlign w:val="center"/>
                </w:tcPr>
                <w:p w14:paraId="06D334A8">
                  <w:pPr>
                    <w:jc w:val="center"/>
                    <w:rPr>
                      <w:bCs/>
                      <w:color w:val="auto"/>
                      <w:szCs w:val="21"/>
                      <w:highlight w:val="none"/>
                    </w:rPr>
                  </w:pPr>
                  <w:r>
                    <w:rPr>
                      <w:rFonts w:hint="eastAsia"/>
                      <w:bCs/>
                      <w:color w:val="auto"/>
                      <w:szCs w:val="21"/>
                      <w:highlight w:val="none"/>
                    </w:rPr>
                    <w:t>200</w:t>
                  </w:r>
                </w:p>
              </w:tc>
            </w:tr>
            <w:tr w14:paraId="5BE7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2A215A82">
                  <w:pPr>
                    <w:jc w:val="center"/>
                    <w:rPr>
                      <w:bCs/>
                      <w:color w:val="auto"/>
                      <w:szCs w:val="21"/>
                      <w:highlight w:val="none"/>
                    </w:rPr>
                  </w:pPr>
                </w:p>
              </w:tc>
              <w:tc>
                <w:tcPr>
                  <w:tcW w:w="298" w:type="pct"/>
                  <w:vMerge w:val="continue"/>
                  <w:vAlign w:val="center"/>
                </w:tcPr>
                <w:p w14:paraId="5C99EA97">
                  <w:pPr>
                    <w:jc w:val="center"/>
                    <w:rPr>
                      <w:bCs/>
                      <w:color w:val="auto"/>
                      <w:spacing w:val="-5"/>
                      <w:szCs w:val="21"/>
                      <w:highlight w:val="none"/>
                      <w:lang w:bidi="he-IL"/>
                    </w:rPr>
                  </w:pPr>
                </w:p>
              </w:tc>
              <w:tc>
                <w:tcPr>
                  <w:tcW w:w="782" w:type="pct"/>
                  <w:vAlign w:val="center"/>
                </w:tcPr>
                <w:p w14:paraId="17C999FF">
                  <w:pPr>
                    <w:jc w:val="center"/>
                    <w:rPr>
                      <w:bCs/>
                      <w:color w:val="auto"/>
                      <w:spacing w:val="-5"/>
                      <w:szCs w:val="21"/>
                      <w:highlight w:val="none"/>
                      <w:lang w:bidi="he-IL"/>
                    </w:rPr>
                  </w:pPr>
                  <w:r>
                    <w:rPr>
                      <w:rFonts w:hint="eastAsia"/>
                      <w:bCs/>
                      <w:color w:val="auto"/>
                      <w:spacing w:val="-5"/>
                      <w:szCs w:val="21"/>
                      <w:highlight w:val="none"/>
                      <w:lang w:bidi="he-IL"/>
                    </w:rPr>
                    <w:t>15:00-15:45</w:t>
                  </w:r>
                </w:p>
              </w:tc>
              <w:tc>
                <w:tcPr>
                  <w:tcW w:w="1332" w:type="pct"/>
                  <w:vAlign w:val="center"/>
                </w:tcPr>
                <w:p w14:paraId="2C2577C5">
                  <w:pPr>
                    <w:jc w:val="center"/>
                    <w:rPr>
                      <w:color w:val="auto"/>
                      <w:spacing w:val="-5"/>
                      <w:szCs w:val="21"/>
                      <w:highlight w:val="none"/>
                      <w:lang w:bidi="he-IL"/>
                    </w:rPr>
                  </w:pPr>
                  <w:r>
                    <w:rPr>
                      <w:rFonts w:hint="eastAsia"/>
                      <w:color w:val="auto"/>
                      <w:spacing w:val="-5"/>
                      <w:szCs w:val="21"/>
                      <w:highlight w:val="none"/>
                      <w:lang w:bidi="he-IL"/>
                    </w:rPr>
                    <w:t>A26040301Q004</w:t>
                  </w:r>
                </w:p>
              </w:tc>
              <w:tc>
                <w:tcPr>
                  <w:tcW w:w="1092" w:type="pct"/>
                  <w:vAlign w:val="center"/>
                </w:tcPr>
                <w:p w14:paraId="347099E2">
                  <w:pPr>
                    <w:jc w:val="center"/>
                    <w:rPr>
                      <w:bCs/>
                      <w:color w:val="auto"/>
                      <w:szCs w:val="21"/>
                      <w:highlight w:val="none"/>
                    </w:rPr>
                  </w:pPr>
                  <w:r>
                    <w:rPr>
                      <w:rFonts w:hint="eastAsia"/>
                      <w:bCs/>
                      <w:color w:val="auto"/>
                      <w:szCs w:val="21"/>
                      <w:highlight w:val="none"/>
                    </w:rPr>
                    <w:t>0.17</w:t>
                  </w:r>
                </w:p>
              </w:tc>
              <w:tc>
                <w:tcPr>
                  <w:tcW w:w="1075" w:type="pct"/>
                  <w:vAlign w:val="center"/>
                </w:tcPr>
                <w:p w14:paraId="5ECC3A5B">
                  <w:pPr>
                    <w:jc w:val="center"/>
                    <w:rPr>
                      <w:bCs/>
                      <w:color w:val="auto"/>
                      <w:szCs w:val="21"/>
                      <w:highlight w:val="none"/>
                    </w:rPr>
                  </w:pPr>
                  <w:r>
                    <w:rPr>
                      <w:rFonts w:hint="eastAsia"/>
                      <w:bCs/>
                      <w:color w:val="auto"/>
                      <w:szCs w:val="21"/>
                      <w:highlight w:val="none"/>
                    </w:rPr>
                    <w:t>200</w:t>
                  </w:r>
                </w:p>
              </w:tc>
            </w:tr>
            <w:tr w14:paraId="1EC9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61A34E36">
                  <w:pPr>
                    <w:jc w:val="center"/>
                    <w:rPr>
                      <w:bCs/>
                      <w:color w:val="auto"/>
                      <w:szCs w:val="21"/>
                      <w:highlight w:val="none"/>
                    </w:rPr>
                  </w:pPr>
                </w:p>
              </w:tc>
              <w:tc>
                <w:tcPr>
                  <w:tcW w:w="298" w:type="pct"/>
                  <w:vMerge w:val="restart"/>
                  <w:vAlign w:val="center"/>
                </w:tcPr>
                <w:p w14:paraId="50FC5205">
                  <w:pPr>
                    <w:jc w:val="center"/>
                    <w:rPr>
                      <w:bCs/>
                      <w:color w:val="auto"/>
                      <w:spacing w:val="-5"/>
                      <w:szCs w:val="21"/>
                      <w:highlight w:val="none"/>
                      <w:lang w:bidi="he-IL"/>
                    </w:rPr>
                  </w:pPr>
                  <w:r>
                    <w:rPr>
                      <w:rFonts w:hint="eastAsia"/>
                      <w:bCs/>
                      <w:color w:val="auto"/>
                      <w:spacing w:val="-5"/>
                      <w:szCs w:val="21"/>
                      <w:highlight w:val="none"/>
                      <w:lang w:bidi="he-IL"/>
                    </w:rPr>
                    <w:t>2026.04.08</w:t>
                  </w:r>
                </w:p>
              </w:tc>
              <w:tc>
                <w:tcPr>
                  <w:tcW w:w="782" w:type="pct"/>
                  <w:vAlign w:val="center"/>
                </w:tcPr>
                <w:p w14:paraId="7AE372F0">
                  <w:pPr>
                    <w:jc w:val="center"/>
                    <w:rPr>
                      <w:bCs/>
                      <w:color w:val="auto"/>
                      <w:spacing w:val="-5"/>
                      <w:szCs w:val="21"/>
                      <w:highlight w:val="none"/>
                      <w:lang w:bidi="he-IL"/>
                    </w:rPr>
                  </w:pPr>
                  <w:r>
                    <w:rPr>
                      <w:rFonts w:hint="eastAsia"/>
                      <w:bCs/>
                      <w:color w:val="auto"/>
                      <w:spacing w:val="-5"/>
                      <w:szCs w:val="21"/>
                      <w:highlight w:val="none"/>
                      <w:lang w:bidi="he-IL"/>
                    </w:rPr>
                    <w:t>09:00-09:45</w:t>
                  </w:r>
                </w:p>
              </w:tc>
              <w:tc>
                <w:tcPr>
                  <w:tcW w:w="1332" w:type="pct"/>
                  <w:vAlign w:val="center"/>
                </w:tcPr>
                <w:p w14:paraId="02BD5B53">
                  <w:pPr>
                    <w:jc w:val="center"/>
                    <w:rPr>
                      <w:color w:val="auto"/>
                      <w:spacing w:val="-5"/>
                      <w:szCs w:val="21"/>
                      <w:highlight w:val="none"/>
                      <w:lang w:bidi="he-IL"/>
                    </w:rPr>
                  </w:pPr>
                  <w:r>
                    <w:rPr>
                      <w:rFonts w:hint="eastAsia"/>
                      <w:color w:val="auto"/>
                      <w:spacing w:val="-5"/>
                      <w:szCs w:val="21"/>
                      <w:highlight w:val="none"/>
                      <w:lang w:bidi="he-IL"/>
                    </w:rPr>
                    <w:t>A26040301Q009</w:t>
                  </w:r>
                </w:p>
              </w:tc>
              <w:tc>
                <w:tcPr>
                  <w:tcW w:w="1092" w:type="pct"/>
                  <w:vAlign w:val="center"/>
                </w:tcPr>
                <w:p w14:paraId="356535A0">
                  <w:pPr>
                    <w:jc w:val="center"/>
                    <w:rPr>
                      <w:bCs/>
                      <w:color w:val="auto"/>
                      <w:szCs w:val="21"/>
                      <w:highlight w:val="none"/>
                    </w:rPr>
                  </w:pPr>
                  <w:r>
                    <w:rPr>
                      <w:rFonts w:hint="eastAsia"/>
                      <w:bCs/>
                      <w:color w:val="auto"/>
                      <w:szCs w:val="21"/>
                      <w:highlight w:val="none"/>
                    </w:rPr>
                    <w:t>0.16</w:t>
                  </w:r>
                </w:p>
              </w:tc>
              <w:tc>
                <w:tcPr>
                  <w:tcW w:w="1075" w:type="pct"/>
                  <w:vAlign w:val="center"/>
                </w:tcPr>
                <w:p w14:paraId="06C716FE">
                  <w:pPr>
                    <w:jc w:val="center"/>
                    <w:rPr>
                      <w:bCs/>
                      <w:color w:val="auto"/>
                      <w:szCs w:val="21"/>
                      <w:highlight w:val="none"/>
                    </w:rPr>
                  </w:pPr>
                  <w:r>
                    <w:rPr>
                      <w:rFonts w:hint="eastAsia"/>
                      <w:bCs/>
                      <w:color w:val="auto"/>
                      <w:szCs w:val="21"/>
                      <w:highlight w:val="none"/>
                    </w:rPr>
                    <w:t>200</w:t>
                  </w:r>
                </w:p>
              </w:tc>
            </w:tr>
            <w:tr w14:paraId="76B3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3EC70127">
                  <w:pPr>
                    <w:jc w:val="center"/>
                    <w:rPr>
                      <w:bCs/>
                      <w:color w:val="auto"/>
                      <w:szCs w:val="21"/>
                      <w:highlight w:val="none"/>
                    </w:rPr>
                  </w:pPr>
                </w:p>
              </w:tc>
              <w:tc>
                <w:tcPr>
                  <w:tcW w:w="298" w:type="pct"/>
                  <w:vMerge w:val="continue"/>
                  <w:vAlign w:val="center"/>
                </w:tcPr>
                <w:p w14:paraId="73840E54">
                  <w:pPr>
                    <w:jc w:val="center"/>
                    <w:rPr>
                      <w:bCs/>
                      <w:color w:val="auto"/>
                      <w:spacing w:val="-5"/>
                      <w:szCs w:val="21"/>
                      <w:highlight w:val="none"/>
                      <w:lang w:bidi="he-IL"/>
                    </w:rPr>
                  </w:pPr>
                </w:p>
              </w:tc>
              <w:tc>
                <w:tcPr>
                  <w:tcW w:w="782" w:type="pct"/>
                  <w:vAlign w:val="center"/>
                </w:tcPr>
                <w:p w14:paraId="2C26B290">
                  <w:pPr>
                    <w:jc w:val="center"/>
                    <w:rPr>
                      <w:bCs/>
                      <w:color w:val="auto"/>
                      <w:spacing w:val="-5"/>
                      <w:szCs w:val="21"/>
                      <w:highlight w:val="none"/>
                      <w:lang w:bidi="he-IL"/>
                    </w:rPr>
                  </w:pPr>
                  <w:r>
                    <w:rPr>
                      <w:rFonts w:hint="eastAsia"/>
                      <w:bCs/>
                      <w:color w:val="auto"/>
                      <w:spacing w:val="-5"/>
                      <w:szCs w:val="21"/>
                      <w:highlight w:val="none"/>
                      <w:lang w:bidi="he-IL"/>
                    </w:rPr>
                    <w:t>11:00-11:45</w:t>
                  </w:r>
                </w:p>
              </w:tc>
              <w:tc>
                <w:tcPr>
                  <w:tcW w:w="1332" w:type="pct"/>
                  <w:vAlign w:val="center"/>
                </w:tcPr>
                <w:p w14:paraId="639D1680">
                  <w:pPr>
                    <w:jc w:val="center"/>
                    <w:rPr>
                      <w:color w:val="auto"/>
                      <w:spacing w:val="-5"/>
                      <w:szCs w:val="21"/>
                      <w:highlight w:val="none"/>
                      <w:lang w:bidi="he-IL"/>
                    </w:rPr>
                  </w:pPr>
                  <w:r>
                    <w:rPr>
                      <w:rFonts w:hint="eastAsia"/>
                      <w:color w:val="auto"/>
                      <w:spacing w:val="-5"/>
                      <w:szCs w:val="21"/>
                      <w:highlight w:val="none"/>
                      <w:lang w:bidi="he-IL"/>
                    </w:rPr>
                    <w:t>A26040301Q010</w:t>
                  </w:r>
                </w:p>
              </w:tc>
              <w:tc>
                <w:tcPr>
                  <w:tcW w:w="1092" w:type="pct"/>
                  <w:vAlign w:val="center"/>
                </w:tcPr>
                <w:p w14:paraId="1C7524B0">
                  <w:pPr>
                    <w:jc w:val="center"/>
                    <w:rPr>
                      <w:bCs/>
                      <w:color w:val="auto"/>
                      <w:szCs w:val="21"/>
                      <w:highlight w:val="none"/>
                    </w:rPr>
                  </w:pPr>
                  <w:r>
                    <w:rPr>
                      <w:rFonts w:hint="eastAsia"/>
                      <w:bCs/>
                      <w:color w:val="auto"/>
                      <w:szCs w:val="21"/>
                      <w:highlight w:val="none"/>
                    </w:rPr>
                    <w:t>0.17</w:t>
                  </w:r>
                </w:p>
              </w:tc>
              <w:tc>
                <w:tcPr>
                  <w:tcW w:w="1075" w:type="pct"/>
                  <w:vAlign w:val="center"/>
                </w:tcPr>
                <w:p w14:paraId="550D34E6">
                  <w:pPr>
                    <w:jc w:val="center"/>
                    <w:rPr>
                      <w:bCs/>
                      <w:color w:val="auto"/>
                      <w:szCs w:val="21"/>
                      <w:highlight w:val="none"/>
                    </w:rPr>
                  </w:pPr>
                  <w:r>
                    <w:rPr>
                      <w:rFonts w:hint="eastAsia"/>
                      <w:bCs/>
                      <w:color w:val="auto"/>
                      <w:szCs w:val="21"/>
                      <w:highlight w:val="none"/>
                    </w:rPr>
                    <w:t>200</w:t>
                  </w:r>
                </w:p>
              </w:tc>
            </w:tr>
            <w:tr w14:paraId="7823D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56DA356B">
                  <w:pPr>
                    <w:jc w:val="center"/>
                    <w:rPr>
                      <w:bCs/>
                      <w:color w:val="auto"/>
                      <w:szCs w:val="21"/>
                      <w:highlight w:val="none"/>
                    </w:rPr>
                  </w:pPr>
                </w:p>
              </w:tc>
              <w:tc>
                <w:tcPr>
                  <w:tcW w:w="298" w:type="pct"/>
                  <w:vMerge w:val="continue"/>
                  <w:vAlign w:val="center"/>
                </w:tcPr>
                <w:p w14:paraId="0C40353F">
                  <w:pPr>
                    <w:jc w:val="center"/>
                    <w:rPr>
                      <w:bCs/>
                      <w:color w:val="auto"/>
                      <w:spacing w:val="-5"/>
                      <w:szCs w:val="21"/>
                      <w:highlight w:val="none"/>
                      <w:lang w:bidi="he-IL"/>
                    </w:rPr>
                  </w:pPr>
                </w:p>
              </w:tc>
              <w:tc>
                <w:tcPr>
                  <w:tcW w:w="782" w:type="pct"/>
                  <w:vAlign w:val="center"/>
                </w:tcPr>
                <w:p w14:paraId="16477088">
                  <w:pPr>
                    <w:jc w:val="center"/>
                    <w:rPr>
                      <w:bCs/>
                      <w:color w:val="auto"/>
                      <w:spacing w:val="-5"/>
                      <w:szCs w:val="21"/>
                      <w:highlight w:val="none"/>
                      <w:lang w:bidi="he-IL"/>
                    </w:rPr>
                  </w:pPr>
                  <w:r>
                    <w:rPr>
                      <w:rFonts w:hint="eastAsia"/>
                      <w:bCs/>
                      <w:color w:val="auto"/>
                      <w:spacing w:val="-5"/>
                      <w:szCs w:val="21"/>
                      <w:highlight w:val="none"/>
                      <w:lang w:bidi="he-IL"/>
                    </w:rPr>
                    <w:t>13:00-13:45</w:t>
                  </w:r>
                </w:p>
              </w:tc>
              <w:tc>
                <w:tcPr>
                  <w:tcW w:w="1332" w:type="pct"/>
                  <w:vAlign w:val="center"/>
                </w:tcPr>
                <w:p w14:paraId="4DB4BF30">
                  <w:pPr>
                    <w:jc w:val="center"/>
                    <w:rPr>
                      <w:color w:val="auto"/>
                      <w:spacing w:val="-5"/>
                      <w:szCs w:val="21"/>
                      <w:highlight w:val="none"/>
                      <w:lang w:bidi="he-IL"/>
                    </w:rPr>
                  </w:pPr>
                  <w:r>
                    <w:rPr>
                      <w:rFonts w:hint="eastAsia"/>
                      <w:color w:val="auto"/>
                      <w:spacing w:val="-5"/>
                      <w:szCs w:val="21"/>
                      <w:highlight w:val="none"/>
                      <w:lang w:bidi="he-IL"/>
                    </w:rPr>
                    <w:t>A26040301Q011</w:t>
                  </w:r>
                </w:p>
              </w:tc>
              <w:tc>
                <w:tcPr>
                  <w:tcW w:w="1092" w:type="pct"/>
                  <w:vAlign w:val="center"/>
                </w:tcPr>
                <w:p w14:paraId="2A176D9B">
                  <w:pPr>
                    <w:jc w:val="center"/>
                    <w:rPr>
                      <w:bCs/>
                      <w:color w:val="auto"/>
                      <w:szCs w:val="21"/>
                      <w:highlight w:val="none"/>
                    </w:rPr>
                  </w:pPr>
                  <w:r>
                    <w:rPr>
                      <w:rFonts w:hint="eastAsia"/>
                      <w:bCs/>
                      <w:color w:val="auto"/>
                      <w:szCs w:val="21"/>
                      <w:highlight w:val="none"/>
                    </w:rPr>
                    <w:t>0.18</w:t>
                  </w:r>
                </w:p>
              </w:tc>
              <w:tc>
                <w:tcPr>
                  <w:tcW w:w="1075" w:type="pct"/>
                  <w:vAlign w:val="center"/>
                </w:tcPr>
                <w:p w14:paraId="5FD48CA1">
                  <w:pPr>
                    <w:jc w:val="center"/>
                    <w:rPr>
                      <w:bCs/>
                      <w:color w:val="auto"/>
                      <w:szCs w:val="21"/>
                      <w:highlight w:val="none"/>
                    </w:rPr>
                  </w:pPr>
                  <w:r>
                    <w:rPr>
                      <w:rFonts w:hint="eastAsia"/>
                      <w:bCs/>
                      <w:color w:val="auto"/>
                      <w:szCs w:val="21"/>
                      <w:highlight w:val="none"/>
                    </w:rPr>
                    <w:t>200</w:t>
                  </w:r>
                </w:p>
              </w:tc>
            </w:tr>
            <w:tr w14:paraId="5A48D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11A0092A">
                  <w:pPr>
                    <w:jc w:val="center"/>
                    <w:rPr>
                      <w:bCs/>
                      <w:color w:val="auto"/>
                      <w:szCs w:val="21"/>
                      <w:highlight w:val="none"/>
                    </w:rPr>
                  </w:pPr>
                </w:p>
              </w:tc>
              <w:tc>
                <w:tcPr>
                  <w:tcW w:w="298" w:type="pct"/>
                  <w:vMerge w:val="continue"/>
                  <w:vAlign w:val="center"/>
                </w:tcPr>
                <w:p w14:paraId="438C556B">
                  <w:pPr>
                    <w:jc w:val="center"/>
                    <w:rPr>
                      <w:bCs/>
                      <w:color w:val="auto"/>
                      <w:spacing w:val="-5"/>
                      <w:szCs w:val="21"/>
                      <w:highlight w:val="none"/>
                      <w:lang w:bidi="he-IL"/>
                    </w:rPr>
                  </w:pPr>
                </w:p>
              </w:tc>
              <w:tc>
                <w:tcPr>
                  <w:tcW w:w="782" w:type="pct"/>
                  <w:vAlign w:val="center"/>
                </w:tcPr>
                <w:p w14:paraId="79B5B672">
                  <w:pPr>
                    <w:jc w:val="center"/>
                    <w:rPr>
                      <w:bCs/>
                      <w:color w:val="auto"/>
                      <w:spacing w:val="-5"/>
                      <w:szCs w:val="21"/>
                      <w:highlight w:val="none"/>
                      <w:lang w:bidi="he-IL"/>
                    </w:rPr>
                  </w:pPr>
                  <w:r>
                    <w:rPr>
                      <w:rFonts w:hint="eastAsia"/>
                      <w:bCs/>
                      <w:color w:val="auto"/>
                      <w:spacing w:val="-5"/>
                      <w:szCs w:val="21"/>
                      <w:highlight w:val="none"/>
                      <w:lang w:bidi="he-IL"/>
                    </w:rPr>
                    <w:t>15:00-15:45</w:t>
                  </w:r>
                </w:p>
              </w:tc>
              <w:tc>
                <w:tcPr>
                  <w:tcW w:w="1332" w:type="pct"/>
                  <w:vAlign w:val="center"/>
                </w:tcPr>
                <w:p w14:paraId="4B2525AE">
                  <w:pPr>
                    <w:jc w:val="center"/>
                    <w:rPr>
                      <w:color w:val="auto"/>
                      <w:spacing w:val="-5"/>
                      <w:szCs w:val="21"/>
                      <w:highlight w:val="none"/>
                      <w:lang w:bidi="he-IL"/>
                    </w:rPr>
                  </w:pPr>
                  <w:r>
                    <w:rPr>
                      <w:rFonts w:hint="eastAsia"/>
                      <w:color w:val="auto"/>
                      <w:spacing w:val="-5"/>
                      <w:szCs w:val="21"/>
                      <w:highlight w:val="none"/>
                      <w:lang w:bidi="he-IL"/>
                    </w:rPr>
                    <w:t>A26040301Q012</w:t>
                  </w:r>
                </w:p>
              </w:tc>
              <w:tc>
                <w:tcPr>
                  <w:tcW w:w="1092" w:type="pct"/>
                  <w:vAlign w:val="center"/>
                </w:tcPr>
                <w:p w14:paraId="6B235E33">
                  <w:pPr>
                    <w:jc w:val="center"/>
                    <w:rPr>
                      <w:bCs/>
                      <w:color w:val="auto"/>
                      <w:szCs w:val="21"/>
                      <w:highlight w:val="none"/>
                    </w:rPr>
                  </w:pPr>
                  <w:r>
                    <w:rPr>
                      <w:rFonts w:hint="eastAsia"/>
                      <w:bCs/>
                      <w:color w:val="auto"/>
                      <w:szCs w:val="21"/>
                      <w:highlight w:val="none"/>
                    </w:rPr>
                    <w:t>0.18</w:t>
                  </w:r>
                </w:p>
              </w:tc>
              <w:tc>
                <w:tcPr>
                  <w:tcW w:w="1075" w:type="pct"/>
                  <w:vAlign w:val="center"/>
                </w:tcPr>
                <w:p w14:paraId="46E1AA23">
                  <w:pPr>
                    <w:jc w:val="center"/>
                    <w:rPr>
                      <w:bCs/>
                      <w:color w:val="auto"/>
                      <w:szCs w:val="21"/>
                      <w:highlight w:val="none"/>
                    </w:rPr>
                  </w:pPr>
                  <w:r>
                    <w:rPr>
                      <w:rFonts w:hint="eastAsia"/>
                      <w:bCs/>
                      <w:color w:val="auto"/>
                      <w:szCs w:val="21"/>
                      <w:highlight w:val="none"/>
                    </w:rPr>
                    <w:t>200</w:t>
                  </w:r>
                </w:p>
              </w:tc>
            </w:tr>
            <w:tr w14:paraId="3F41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36A7DA43">
                  <w:pPr>
                    <w:jc w:val="center"/>
                    <w:rPr>
                      <w:bCs/>
                      <w:color w:val="auto"/>
                      <w:szCs w:val="21"/>
                      <w:highlight w:val="none"/>
                    </w:rPr>
                  </w:pPr>
                </w:p>
              </w:tc>
              <w:tc>
                <w:tcPr>
                  <w:tcW w:w="298" w:type="pct"/>
                  <w:vMerge w:val="restart"/>
                  <w:vAlign w:val="center"/>
                </w:tcPr>
                <w:p w14:paraId="606D010C">
                  <w:pPr>
                    <w:jc w:val="center"/>
                    <w:rPr>
                      <w:bCs/>
                      <w:color w:val="auto"/>
                      <w:spacing w:val="-5"/>
                      <w:szCs w:val="21"/>
                      <w:highlight w:val="none"/>
                      <w:lang w:bidi="he-IL"/>
                    </w:rPr>
                  </w:pPr>
                  <w:r>
                    <w:rPr>
                      <w:rFonts w:hint="eastAsia"/>
                      <w:bCs/>
                      <w:color w:val="auto"/>
                      <w:spacing w:val="-5"/>
                      <w:szCs w:val="21"/>
                      <w:highlight w:val="none"/>
                      <w:lang w:bidi="he-IL"/>
                    </w:rPr>
                    <w:t>2026.04.09</w:t>
                  </w:r>
                </w:p>
              </w:tc>
              <w:tc>
                <w:tcPr>
                  <w:tcW w:w="782" w:type="pct"/>
                  <w:vAlign w:val="center"/>
                </w:tcPr>
                <w:p w14:paraId="50CE18DA">
                  <w:pPr>
                    <w:jc w:val="center"/>
                    <w:rPr>
                      <w:bCs/>
                      <w:color w:val="auto"/>
                      <w:spacing w:val="-5"/>
                      <w:szCs w:val="21"/>
                      <w:highlight w:val="none"/>
                      <w:lang w:bidi="he-IL"/>
                    </w:rPr>
                  </w:pPr>
                  <w:r>
                    <w:rPr>
                      <w:rFonts w:hint="eastAsia"/>
                      <w:bCs/>
                      <w:color w:val="auto"/>
                      <w:spacing w:val="-5"/>
                      <w:szCs w:val="21"/>
                      <w:highlight w:val="none"/>
                      <w:lang w:bidi="he-IL"/>
                    </w:rPr>
                    <w:t>09:00-09:45</w:t>
                  </w:r>
                </w:p>
              </w:tc>
              <w:tc>
                <w:tcPr>
                  <w:tcW w:w="1332" w:type="pct"/>
                  <w:vAlign w:val="center"/>
                </w:tcPr>
                <w:p w14:paraId="0D9C47D4">
                  <w:pPr>
                    <w:jc w:val="center"/>
                    <w:rPr>
                      <w:color w:val="auto"/>
                      <w:spacing w:val="-5"/>
                      <w:szCs w:val="21"/>
                      <w:highlight w:val="none"/>
                      <w:lang w:bidi="he-IL"/>
                    </w:rPr>
                  </w:pPr>
                  <w:r>
                    <w:rPr>
                      <w:rFonts w:hint="eastAsia"/>
                      <w:color w:val="auto"/>
                      <w:spacing w:val="-5"/>
                      <w:szCs w:val="21"/>
                      <w:highlight w:val="none"/>
                      <w:lang w:bidi="he-IL"/>
                    </w:rPr>
                    <w:t>A26040301Q017</w:t>
                  </w:r>
                </w:p>
              </w:tc>
              <w:tc>
                <w:tcPr>
                  <w:tcW w:w="1092" w:type="pct"/>
                  <w:vAlign w:val="center"/>
                </w:tcPr>
                <w:p w14:paraId="3F7C4152">
                  <w:pPr>
                    <w:jc w:val="center"/>
                    <w:rPr>
                      <w:bCs/>
                      <w:color w:val="auto"/>
                      <w:szCs w:val="21"/>
                      <w:highlight w:val="none"/>
                    </w:rPr>
                  </w:pPr>
                  <w:r>
                    <w:rPr>
                      <w:rFonts w:hint="eastAsia"/>
                      <w:bCs/>
                      <w:color w:val="auto"/>
                      <w:szCs w:val="21"/>
                      <w:highlight w:val="none"/>
                    </w:rPr>
                    <w:t>0.17</w:t>
                  </w:r>
                </w:p>
              </w:tc>
              <w:tc>
                <w:tcPr>
                  <w:tcW w:w="1075" w:type="pct"/>
                  <w:vAlign w:val="center"/>
                </w:tcPr>
                <w:p w14:paraId="1CE2AE33">
                  <w:pPr>
                    <w:jc w:val="center"/>
                    <w:rPr>
                      <w:bCs/>
                      <w:color w:val="auto"/>
                      <w:szCs w:val="21"/>
                      <w:highlight w:val="none"/>
                    </w:rPr>
                  </w:pPr>
                  <w:r>
                    <w:rPr>
                      <w:rFonts w:hint="eastAsia"/>
                      <w:bCs/>
                      <w:color w:val="auto"/>
                      <w:szCs w:val="21"/>
                      <w:highlight w:val="none"/>
                    </w:rPr>
                    <w:t>200</w:t>
                  </w:r>
                </w:p>
              </w:tc>
            </w:tr>
            <w:tr w14:paraId="78E1E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5189E72E">
                  <w:pPr>
                    <w:jc w:val="center"/>
                    <w:rPr>
                      <w:bCs/>
                      <w:color w:val="auto"/>
                      <w:szCs w:val="21"/>
                      <w:highlight w:val="none"/>
                    </w:rPr>
                  </w:pPr>
                </w:p>
              </w:tc>
              <w:tc>
                <w:tcPr>
                  <w:tcW w:w="298" w:type="pct"/>
                  <w:vMerge w:val="continue"/>
                  <w:vAlign w:val="center"/>
                </w:tcPr>
                <w:p w14:paraId="3276B4DE">
                  <w:pPr>
                    <w:jc w:val="center"/>
                    <w:rPr>
                      <w:bCs/>
                      <w:color w:val="auto"/>
                      <w:spacing w:val="-5"/>
                      <w:szCs w:val="21"/>
                      <w:highlight w:val="none"/>
                      <w:lang w:bidi="he-IL"/>
                    </w:rPr>
                  </w:pPr>
                </w:p>
              </w:tc>
              <w:tc>
                <w:tcPr>
                  <w:tcW w:w="782" w:type="pct"/>
                  <w:vAlign w:val="center"/>
                </w:tcPr>
                <w:p w14:paraId="0F05645F">
                  <w:pPr>
                    <w:jc w:val="center"/>
                    <w:rPr>
                      <w:bCs/>
                      <w:color w:val="auto"/>
                      <w:spacing w:val="-5"/>
                      <w:szCs w:val="21"/>
                      <w:highlight w:val="none"/>
                      <w:lang w:bidi="he-IL"/>
                    </w:rPr>
                  </w:pPr>
                  <w:r>
                    <w:rPr>
                      <w:rFonts w:hint="eastAsia"/>
                      <w:bCs/>
                      <w:color w:val="auto"/>
                      <w:spacing w:val="-5"/>
                      <w:szCs w:val="21"/>
                      <w:highlight w:val="none"/>
                      <w:lang w:bidi="he-IL"/>
                    </w:rPr>
                    <w:t>11:00-11:45</w:t>
                  </w:r>
                </w:p>
              </w:tc>
              <w:tc>
                <w:tcPr>
                  <w:tcW w:w="1332" w:type="pct"/>
                  <w:vAlign w:val="center"/>
                </w:tcPr>
                <w:p w14:paraId="5CE83B12">
                  <w:pPr>
                    <w:jc w:val="center"/>
                    <w:rPr>
                      <w:color w:val="auto"/>
                      <w:spacing w:val="-5"/>
                      <w:szCs w:val="21"/>
                      <w:highlight w:val="none"/>
                      <w:lang w:bidi="he-IL"/>
                    </w:rPr>
                  </w:pPr>
                  <w:r>
                    <w:rPr>
                      <w:rFonts w:hint="eastAsia"/>
                      <w:color w:val="auto"/>
                      <w:spacing w:val="-5"/>
                      <w:szCs w:val="21"/>
                      <w:highlight w:val="none"/>
                      <w:lang w:bidi="he-IL"/>
                    </w:rPr>
                    <w:t>A26040301Q018</w:t>
                  </w:r>
                </w:p>
              </w:tc>
              <w:tc>
                <w:tcPr>
                  <w:tcW w:w="1092" w:type="pct"/>
                  <w:vAlign w:val="center"/>
                </w:tcPr>
                <w:p w14:paraId="542F01F9">
                  <w:pPr>
                    <w:jc w:val="center"/>
                    <w:rPr>
                      <w:bCs/>
                      <w:color w:val="auto"/>
                      <w:szCs w:val="21"/>
                      <w:highlight w:val="none"/>
                    </w:rPr>
                  </w:pPr>
                  <w:r>
                    <w:rPr>
                      <w:rFonts w:hint="eastAsia"/>
                      <w:bCs/>
                      <w:color w:val="auto"/>
                      <w:szCs w:val="21"/>
                      <w:highlight w:val="none"/>
                    </w:rPr>
                    <w:t>0.18</w:t>
                  </w:r>
                </w:p>
              </w:tc>
              <w:tc>
                <w:tcPr>
                  <w:tcW w:w="1075" w:type="pct"/>
                  <w:vAlign w:val="center"/>
                </w:tcPr>
                <w:p w14:paraId="2A6B7E88">
                  <w:pPr>
                    <w:jc w:val="center"/>
                    <w:rPr>
                      <w:bCs/>
                      <w:color w:val="auto"/>
                      <w:szCs w:val="21"/>
                      <w:highlight w:val="none"/>
                    </w:rPr>
                  </w:pPr>
                  <w:r>
                    <w:rPr>
                      <w:rFonts w:hint="eastAsia"/>
                      <w:bCs/>
                      <w:color w:val="auto"/>
                      <w:szCs w:val="21"/>
                      <w:highlight w:val="none"/>
                    </w:rPr>
                    <w:t>200</w:t>
                  </w:r>
                </w:p>
              </w:tc>
            </w:tr>
            <w:tr w14:paraId="70C9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0EAA7E57">
                  <w:pPr>
                    <w:jc w:val="center"/>
                    <w:rPr>
                      <w:bCs/>
                      <w:color w:val="auto"/>
                      <w:szCs w:val="21"/>
                      <w:highlight w:val="none"/>
                    </w:rPr>
                  </w:pPr>
                </w:p>
              </w:tc>
              <w:tc>
                <w:tcPr>
                  <w:tcW w:w="298" w:type="pct"/>
                  <w:vMerge w:val="continue"/>
                  <w:vAlign w:val="center"/>
                </w:tcPr>
                <w:p w14:paraId="3DBD985C">
                  <w:pPr>
                    <w:jc w:val="center"/>
                    <w:rPr>
                      <w:bCs/>
                      <w:color w:val="auto"/>
                      <w:spacing w:val="-5"/>
                      <w:szCs w:val="21"/>
                      <w:highlight w:val="none"/>
                      <w:lang w:bidi="he-IL"/>
                    </w:rPr>
                  </w:pPr>
                </w:p>
              </w:tc>
              <w:tc>
                <w:tcPr>
                  <w:tcW w:w="782" w:type="pct"/>
                  <w:vAlign w:val="center"/>
                </w:tcPr>
                <w:p w14:paraId="2D8AE993">
                  <w:pPr>
                    <w:jc w:val="center"/>
                    <w:rPr>
                      <w:bCs/>
                      <w:color w:val="auto"/>
                      <w:spacing w:val="-5"/>
                      <w:szCs w:val="21"/>
                      <w:highlight w:val="none"/>
                      <w:lang w:bidi="he-IL"/>
                    </w:rPr>
                  </w:pPr>
                  <w:r>
                    <w:rPr>
                      <w:rFonts w:hint="eastAsia"/>
                      <w:bCs/>
                      <w:color w:val="auto"/>
                      <w:spacing w:val="-5"/>
                      <w:szCs w:val="21"/>
                      <w:highlight w:val="none"/>
                      <w:lang w:bidi="he-IL"/>
                    </w:rPr>
                    <w:t>13:00-13:45</w:t>
                  </w:r>
                </w:p>
              </w:tc>
              <w:tc>
                <w:tcPr>
                  <w:tcW w:w="1332" w:type="pct"/>
                  <w:vAlign w:val="center"/>
                </w:tcPr>
                <w:p w14:paraId="452F724F">
                  <w:pPr>
                    <w:jc w:val="center"/>
                    <w:rPr>
                      <w:color w:val="auto"/>
                      <w:spacing w:val="-5"/>
                      <w:szCs w:val="21"/>
                      <w:highlight w:val="none"/>
                      <w:lang w:bidi="he-IL"/>
                    </w:rPr>
                  </w:pPr>
                  <w:r>
                    <w:rPr>
                      <w:rFonts w:hint="eastAsia"/>
                      <w:color w:val="auto"/>
                      <w:spacing w:val="-5"/>
                      <w:szCs w:val="21"/>
                      <w:highlight w:val="none"/>
                      <w:lang w:bidi="he-IL"/>
                    </w:rPr>
                    <w:t>A26040301Q019</w:t>
                  </w:r>
                </w:p>
              </w:tc>
              <w:tc>
                <w:tcPr>
                  <w:tcW w:w="1092" w:type="pct"/>
                  <w:vAlign w:val="center"/>
                </w:tcPr>
                <w:p w14:paraId="48412C99">
                  <w:pPr>
                    <w:jc w:val="center"/>
                    <w:rPr>
                      <w:bCs/>
                      <w:color w:val="auto"/>
                      <w:szCs w:val="21"/>
                      <w:highlight w:val="none"/>
                    </w:rPr>
                  </w:pPr>
                  <w:r>
                    <w:rPr>
                      <w:rFonts w:hint="eastAsia"/>
                      <w:bCs/>
                      <w:color w:val="auto"/>
                      <w:szCs w:val="21"/>
                      <w:highlight w:val="none"/>
                    </w:rPr>
                    <w:t>0.18</w:t>
                  </w:r>
                </w:p>
              </w:tc>
              <w:tc>
                <w:tcPr>
                  <w:tcW w:w="1075" w:type="pct"/>
                  <w:vAlign w:val="center"/>
                </w:tcPr>
                <w:p w14:paraId="0758B2A4">
                  <w:pPr>
                    <w:jc w:val="center"/>
                    <w:rPr>
                      <w:bCs/>
                      <w:color w:val="auto"/>
                      <w:szCs w:val="21"/>
                      <w:highlight w:val="none"/>
                    </w:rPr>
                  </w:pPr>
                  <w:r>
                    <w:rPr>
                      <w:rFonts w:hint="eastAsia"/>
                      <w:bCs/>
                      <w:color w:val="auto"/>
                      <w:szCs w:val="21"/>
                      <w:highlight w:val="none"/>
                    </w:rPr>
                    <w:t>200</w:t>
                  </w:r>
                </w:p>
              </w:tc>
            </w:tr>
            <w:tr w14:paraId="6D69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0EC4112A">
                  <w:pPr>
                    <w:jc w:val="center"/>
                    <w:rPr>
                      <w:bCs/>
                      <w:color w:val="auto"/>
                      <w:szCs w:val="21"/>
                      <w:highlight w:val="none"/>
                    </w:rPr>
                  </w:pPr>
                </w:p>
              </w:tc>
              <w:tc>
                <w:tcPr>
                  <w:tcW w:w="298" w:type="pct"/>
                  <w:vMerge w:val="continue"/>
                  <w:vAlign w:val="center"/>
                </w:tcPr>
                <w:p w14:paraId="12D33F5E">
                  <w:pPr>
                    <w:jc w:val="center"/>
                    <w:rPr>
                      <w:bCs/>
                      <w:color w:val="auto"/>
                      <w:spacing w:val="-5"/>
                      <w:szCs w:val="21"/>
                      <w:highlight w:val="none"/>
                      <w:lang w:bidi="he-IL"/>
                    </w:rPr>
                  </w:pPr>
                </w:p>
              </w:tc>
              <w:tc>
                <w:tcPr>
                  <w:tcW w:w="782" w:type="pct"/>
                  <w:vAlign w:val="center"/>
                </w:tcPr>
                <w:p w14:paraId="4D32BB16">
                  <w:pPr>
                    <w:jc w:val="center"/>
                    <w:rPr>
                      <w:bCs/>
                      <w:color w:val="auto"/>
                      <w:spacing w:val="-5"/>
                      <w:szCs w:val="21"/>
                      <w:highlight w:val="none"/>
                      <w:lang w:bidi="he-IL"/>
                    </w:rPr>
                  </w:pPr>
                  <w:r>
                    <w:rPr>
                      <w:rFonts w:hint="eastAsia"/>
                      <w:bCs/>
                      <w:color w:val="auto"/>
                      <w:spacing w:val="-5"/>
                      <w:szCs w:val="21"/>
                      <w:highlight w:val="none"/>
                      <w:lang w:bidi="he-IL"/>
                    </w:rPr>
                    <w:t>15:00-15:45</w:t>
                  </w:r>
                </w:p>
              </w:tc>
              <w:tc>
                <w:tcPr>
                  <w:tcW w:w="1332" w:type="pct"/>
                  <w:vAlign w:val="center"/>
                </w:tcPr>
                <w:p w14:paraId="2E400ED7">
                  <w:pPr>
                    <w:jc w:val="center"/>
                    <w:rPr>
                      <w:color w:val="auto"/>
                      <w:spacing w:val="-5"/>
                      <w:szCs w:val="21"/>
                      <w:highlight w:val="none"/>
                      <w:lang w:bidi="he-IL"/>
                    </w:rPr>
                  </w:pPr>
                  <w:r>
                    <w:rPr>
                      <w:rFonts w:hint="eastAsia"/>
                      <w:color w:val="auto"/>
                      <w:spacing w:val="-5"/>
                      <w:szCs w:val="21"/>
                      <w:highlight w:val="none"/>
                      <w:lang w:bidi="he-IL"/>
                    </w:rPr>
                    <w:t>A26040301Q020</w:t>
                  </w:r>
                </w:p>
              </w:tc>
              <w:tc>
                <w:tcPr>
                  <w:tcW w:w="1092" w:type="pct"/>
                  <w:vAlign w:val="center"/>
                </w:tcPr>
                <w:p w14:paraId="6A860B65">
                  <w:pPr>
                    <w:jc w:val="center"/>
                    <w:rPr>
                      <w:bCs/>
                      <w:color w:val="auto"/>
                      <w:szCs w:val="21"/>
                      <w:highlight w:val="none"/>
                    </w:rPr>
                  </w:pPr>
                  <w:r>
                    <w:rPr>
                      <w:rFonts w:hint="eastAsia"/>
                      <w:bCs/>
                      <w:color w:val="auto"/>
                      <w:szCs w:val="21"/>
                      <w:highlight w:val="none"/>
                    </w:rPr>
                    <w:t>0.17</w:t>
                  </w:r>
                </w:p>
              </w:tc>
              <w:tc>
                <w:tcPr>
                  <w:tcW w:w="1075" w:type="pct"/>
                  <w:vAlign w:val="center"/>
                </w:tcPr>
                <w:p w14:paraId="337011DC">
                  <w:pPr>
                    <w:jc w:val="center"/>
                    <w:rPr>
                      <w:bCs/>
                      <w:color w:val="auto"/>
                      <w:szCs w:val="21"/>
                      <w:highlight w:val="none"/>
                    </w:rPr>
                  </w:pPr>
                  <w:r>
                    <w:rPr>
                      <w:rFonts w:hint="eastAsia"/>
                      <w:bCs/>
                      <w:color w:val="auto"/>
                      <w:szCs w:val="21"/>
                      <w:highlight w:val="none"/>
                    </w:rPr>
                    <w:t>200</w:t>
                  </w:r>
                </w:p>
              </w:tc>
            </w:tr>
            <w:tr w14:paraId="139E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blHeader/>
                <w:jc w:val="center"/>
              </w:trPr>
              <w:tc>
                <w:tcPr>
                  <w:tcW w:w="404" w:type="pct"/>
                  <w:gridSpan w:val="2"/>
                  <w:vAlign w:val="center"/>
                </w:tcPr>
                <w:p w14:paraId="69109913">
                  <w:pPr>
                    <w:jc w:val="center"/>
                    <w:rPr>
                      <w:b/>
                      <w:color w:val="auto"/>
                      <w:szCs w:val="21"/>
                      <w:highlight w:val="none"/>
                    </w:rPr>
                  </w:pPr>
                  <w:r>
                    <w:rPr>
                      <w:b/>
                      <w:color w:val="auto"/>
                      <w:szCs w:val="21"/>
                      <w:highlight w:val="none"/>
                    </w:rPr>
                    <w:t>检测</w:t>
                  </w:r>
                </w:p>
                <w:p w14:paraId="15E3B613">
                  <w:pPr>
                    <w:jc w:val="center"/>
                    <w:rPr>
                      <w:b/>
                      <w:color w:val="auto"/>
                      <w:szCs w:val="21"/>
                      <w:highlight w:val="none"/>
                    </w:rPr>
                  </w:pPr>
                  <w:r>
                    <w:rPr>
                      <w:b/>
                      <w:color w:val="auto"/>
                      <w:szCs w:val="21"/>
                      <w:highlight w:val="none"/>
                    </w:rPr>
                    <w:t>点位</w:t>
                  </w:r>
                </w:p>
              </w:tc>
              <w:tc>
                <w:tcPr>
                  <w:tcW w:w="1080" w:type="pct"/>
                  <w:gridSpan w:val="2"/>
                  <w:vAlign w:val="center"/>
                </w:tcPr>
                <w:p w14:paraId="5BCCC1C1">
                  <w:pPr>
                    <w:jc w:val="center"/>
                    <w:rPr>
                      <w:b/>
                      <w:color w:val="auto"/>
                      <w:szCs w:val="21"/>
                      <w:highlight w:val="none"/>
                    </w:rPr>
                  </w:pPr>
                  <w:r>
                    <w:rPr>
                      <w:rFonts w:hint="eastAsia"/>
                      <w:b/>
                      <w:color w:val="auto"/>
                      <w:szCs w:val="21"/>
                      <w:highlight w:val="none"/>
                    </w:rPr>
                    <w:t>采样</w:t>
                  </w:r>
                  <w:r>
                    <w:rPr>
                      <w:b/>
                      <w:color w:val="auto"/>
                      <w:szCs w:val="21"/>
                      <w:highlight w:val="none"/>
                    </w:rPr>
                    <w:t>时间</w:t>
                  </w:r>
                </w:p>
              </w:tc>
              <w:tc>
                <w:tcPr>
                  <w:tcW w:w="1332" w:type="pct"/>
                  <w:vAlign w:val="center"/>
                </w:tcPr>
                <w:p w14:paraId="5931F48F">
                  <w:pPr>
                    <w:jc w:val="center"/>
                    <w:rPr>
                      <w:b/>
                      <w:color w:val="auto"/>
                      <w:szCs w:val="21"/>
                      <w:highlight w:val="none"/>
                    </w:rPr>
                  </w:pPr>
                  <w:r>
                    <w:rPr>
                      <w:b/>
                      <w:color w:val="auto"/>
                      <w:szCs w:val="21"/>
                      <w:highlight w:val="none"/>
                    </w:rPr>
                    <w:t>样品编号</w:t>
                  </w:r>
                </w:p>
              </w:tc>
              <w:tc>
                <w:tcPr>
                  <w:tcW w:w="1092" w:type="pct"/>
                  <w:vAlign w:val="center"/>
                </w:tcPr>
                <w:p w14:paraId="6C7FFDEB">
                  <w:pPr>
                    <w:jc w:val="center"/>
                    <w:rPr>
                      <w:b/>
                      <w:color w:val="auto"/>
                      <w:szCs w:val="21"/>
                      <w:highlight w:val="none"/>
                    </w:rPr>
                  </w:pPr>
                  <w:r>
                    <w:rPr>
                      <w:rFonts w:hint="eastAsia"/>
                      <w:b/>
                      <w:color w:val="auto"/>
                      <w:szCs w:val="21"/>
                      <w:highlight w:val="none"/>
                    </w:rPr>
                    <w:t>硫化氢</w:t>
                  </w:r>
                </w:p>
              </w:tc>
              <w:tc>
                <w:tcPr>
                  <w:tcW w:w="1084" w:type="pct"/>
                  <w:vAlign w:val="center"/>
                </w:tcPr>
                <w:p w14:paraId="053D16C3">
                  <w:pPr>
                    <w:jc w:val="center"/>
                    <w:rPr>
                      <w:bCs/>
                      <w:color w:val="auto"/>
                      <w:szCs w:val="21"/>
                      <w:highlight w:val="none"/>
                    </w:rPr>
                  </w:pPr>
                  <w:r>
                    <w:rPr>
                      <w:b/>
                      <w:bCs/>
                      <w:color w:val="auto"/>
                      <w:szCs w:val="21"/>
                      <w:highlight w:val="none"/>
                    </w:rPr>
                    <w:t>标准值（μg/m</w:t>
                  </w:r>
                  <w:r>
                    <w:rPr>
                      <w:b/>
                      <w:bCs/>
                      <w:color w:val="auto"/>
                      <w:spacing w:val="-6"/>
                      <w:szCs w:val="21"/>
                      <w:highlight w:val="none"/>
                      <w:vertAlign w:val="superscript"/>
                    </w:rPr>
                    <w:t>3</w:t>
                  </w:r>
                  <w:r>
                    <w:rPr>
                      <w:b/>
                      <w:bCs/>
                      <w:color w:val="auto"/>
                      <w:szCs w:val="21"/>
                      <w:highlight w:val="none"/>
                    </w:rPr>
                    <w:t>）</w:t>
                  </w:r>
                  <w:r>
                    <w:rPr>
                      <w:rFonts w:hint="eastAsia"/>
                      <w:b/>
                      <w:bCs/>
                      <w:color w:val="auto"/>
                      <w:szCs w:val="21"/>
                      <w:highlight w:val="none"/>
                    </w:rPr>
                    <w:t xml:space="preserve">    小时值</w:t>
                  </w:r>
                </w:p>
              </w:tc>
            </w:tr>
            <w:tr w14:paraId="7589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restart"/>
                  <w:vAlign w:val="center"/>
                </w:tcPr>
                <w:p w14:paraId="5284779D">
                  <w:pPr>
                    <w:jc w:val="center"/>
                    <w:rPr>
                      <w:bCs/>
                      <w:color w:val="auto"/>
                      <w:szCs w:val="21"/>
                      <w:highlight w:val="none"/>
                    </w:rPr>
                  </w:pPr>
                  <w:r>
                    <w:rPr>
                      <w:rFonts w:hint="eastAsia"/>
                      <w:bCs/>
                      <w:color w:val="auto"/>
                      <w:szCs w:val="21"/>
                      <w:highlight w:val="none"/>
                    </w:rPr>
                    <w:t>厂界下风向（S1）</w:t>
                  </w:r>
                </w:p>
              </w:tc>
              <w:tc>
                <w:tcPr>
                  <w:tcW w:w="341" w:type="pct"/>
                  <w:vMerge w:val="restart"/>
                  <w:vAlign w:val="center"/>
                </w:tcPr>
                <w:p w14:paraId="3EEDABE9">
                  <w:pPr>
                    <w:jc w:val="center"/>
                    <w:rPr>
                      <w:bCs/>
                      <w:color w:val="auto"/>
                      <w:spacing w:val="-5"/>
                      <w:szCs w:val="21"/>
                      <w:highlight w:val="none"/>
                      <w:lang w:bidi="he-IL"/>
                    </w:rPr>
                  </w:pPr>
                  <w:r>
                    <w:rPr>
                      <w:rFonts w:hint="eastAsia"/>
                      <w:bCs/>
                      <w:color w:val="auto"/>
                      <w:spacing w:val="-5"/>
                      <w:szCs w:val="21"/>
                      <w:highlight w:val="none"/>
                      <w:lang w:bidi="he-IL"/>
                    </w:rPr>
                    <w:t>2026.04.07</w:t>
                  </w:r>
                </w:p>
              </w:tc>
              <w:tc>
                <w:tcPr>
                  <w:tcW w:w="739" w:type="pct"/>
                  <w:vAlign w:val="center"/>
                </w:tcPr>
                <w:p w14:paraId="3EE8D65F">
                  <w:pPr>
                    <w:jc w:val="center"/>
                    <w:rPr>
                      <w:bCs/>
                      <w:color w:val="auto"/>
                      <w:spacing w:val="-5"/>
                      <w:szCs w:val="21"/>
                      <w:highlight w:val="none"/>
                      <w:lang w:bidi="he-IL"/>
                    </w:rPr>
                  </w:pPr>
                  <w:r>
                    <w:rPr>
                      <w:rFonts w:hint="eastAsia"/>
                      <w:bCs/>
                      <w:color w:val="auto"/>
                      <w:spacing w:val="-5"/>
                      <w:szCs w:val="21"/>
                      <w:highlight w:val="none"/>
                      <w:lang w:bidi="he-IL"/>
                    </w:rPr>
                    <w:t>09:00-10:00</w:t>
                  </w:r>
                </w:p>
              </w:tc>
              <w:tc>
                <w:tcPr>
                  <w:tcW w:w="1332" w:type="pct"/>
                  <w:vAlign w:val="center"/>
                </w:tcPr>
                <w:p w14:paraId="0574D45B">
                  <w:pPr>
                    <w:jc w:val="center"/>
                    <w:rPr>
                      <w:color w:val="auto"/>
                      <w:spacing w:val="-5"/>
                      <w:szCs w:val="21"/>
                      <w:highlight w:val="none"/>
                      <w:lang w:bidi="he-IL"/>
                    </w:rPr>
                  </w:pPr>
                  <w:r>
                    <w:rPr>
                      <w:rFonts w:hint="eastAsia"/>
                      <w:color w:val="auto"/>
                      <w:spacing w:val="-5"/>
                      <w:szCs w:val="21"/>
                      <w:highlight w:val="none"/>
                      <w:lang w:bidi="he-IL"/>
                    </w:rPr>
                    <w:t>A26040301Q005</w:t>
                  </w:r>
                </w:p>
              </w:tc>
              <w:tc>
                <w:tcPr>
                  <w:tcW w:w="1092" w:type="pct"/>
                  <w:vAlign w:val="center"/>
                </w:tcPr>
                <w:p w14:paraId="6E03525D">
                  <w:pPr>
                    <w:jc w:val="center"/>
                    <w:rPr>
                      <w:bCs/>
                      <w:color w:val="auto"/>
                      <w:szCs w:val="21"/>
                      <w:highlight w:val="none"/>
                    </w:rPr>
                  </w:pPr>
                  <w:r>
                    <w:rPr>
                      <w:rFonts w:hint="eastAsia"/>
                      <w:bCs/>
                      <w:color w:val="auto"/>
                      <w:szCs w:val="21"/>
                      <w:highlight w:val="none"/>
                    </w:rPr>
                    <w:t>＜0.001</w:t>
                  </w:r>
                </w:p>
              </w:tc>
              <w:tc>
                <w:tcPr>
                  <w:tcW w:w="1084" w:type="pct"/>
                  <w:vAlign w:val="center"/>
                </w:tcPr>
                <w:p w14:paraId="107BB98B">
                  <w:pPr>
                    <w:jc w:val="center"/>
                    <w:rPr>
                      <w:bCs/>
                      <w:color w:val="auto"/>
                      <w:szCs w:val="21"/>
                      <w:highlight w:val="none"/>
                    </w:rPr>
                  </w:pPr>
                  <w:r>
                    <w:rPr>
                      <w:rFonts w:hint="eastAsia"/>
                      <w:bCs/>
                      <w:color w:val="auto"/>
                      <w:szCs w:val="21"/>
                      <w:highlight w:val="none"/>
                    </w:rPr>
                    <w:t>10</w:t>
                  </w:r>
                </w:p>
              </w:tc>
            </w:tr>
            <w:tr w14:paraId="359F7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3E68C20C">
                  <w:pPr>
                    <w:jc w:val="center"/>
                    <w:rPr>
                      <w:bCs/>
                      <w:color w:val="auto"/>
                      <w:szCs w:val="21"/>
                      <w:highlight w:val="none"/>
                    </w:rPr>
                  </w:pPr>
                </w:p>
              </w:tc>
              <w:tc>
                <w:tcPr>
                  <w:tcW w:w="341" w:type="pct"/>
                  <w:vMerge w:val="continue"/>
                  <w:vAlign w:val="center"/>
                </w:tcPr>
                <w:p w14:paraId="53E90E37">
                  <w:pPr>
                    <w:jc w:val="center"/>
                    <w:rPr>
                      <w:bCs/>
                      <w:color w:val="auto"/>
                      <w:spacing w:val="-5"/>
                      <w:szCs w:val="21"/>
                      <w:highlight w:val="none"/>
                      <w:lang w:bidi="he-IL"/>
                    </w:rPr>
                  </w:pPr>
                </w:p>
              </w:tc>
              <w:tc>
                <w:tcPr>
                  <w:tcW w:w="739" w:type="pct"/>
                  <w:vAlign w:val="center"/>
                </w:tcPr>
                <w:p w14:paraId="2ED3353D">
                  <w:pPr>
                    <w:jc w:val="center"/>
                    <w:rPr>
                      <w:bCs/>
                      <w:color w:val="auto"/>
                      <w:spacing w:val="-5"/>
                      <w:szCs w:val="21"/>
                      <w:highlight w:val="none"/>
                      <w:lang w:bidi="he-IL"/>
                    </w:rPr>
                  </w:pPr>
                  <w:r>
                    <w:rPr>
                      <w:rFonts w:hint="eastAsia"/>
                      <w:bCs/>
                      <w:color w:val="auto"/>
                      <w:spacing w:val="-5"/>
                      <w:szCs w:val="21"/>
                      <w:highlight w:val="none"/>
                      <w:lang w:bidi="he-IL"/>
                    </w:rPr>
                    <w:t>11:00-12:00</w:t>
                  </w:r>
                </w:p>
              </w:tc>
              <w:tc>
                <w:tcPr>
                  <w:tcW w:w="1332" w:type="pct"/>
                  <w:vAlign w:val="center"/>
                </w:tcPr>
                <w:p w14:paraId="77AE3628">
                  <w:pPr>
                    <w:jc w:val="center"/>
                    <w:rPr>
                      <w:color w:val="auto"/>
                      <w:spacing w:val="-5"/>
                      <w:szCs w:val="21"/>
                      <w:highlight w:val="none"/>
                      <w:lang w:bidi="he-IL"/>
                    </w:rPr>
                  </w:pPr>
                  <w:r>
                    <w:rPr>
                      <w:rFonts w:hint="eastAsia"/>
                      <w:color w:val="auto"/>
                      <w:spacing w:val="-5"/>
                      <w:szCs w:val="21"/>
                      <w:highlight w:val="none"/>
                      <w:lang w:bidi="he-IL"/>
                    </w:rPr>
                    <w:t>A26040301Q006</w:t>
                  </w:r>
                </w:p>
              </w:tc>
              <w:tc>
                <w:tcPr>
                  <w:tcW w:w="1092" w:type="pct"/>
                  <w:vAlign w:val="center"/>
                </w:tcPr>
                <w:p w14:paraId="716083EE">
                  <w:pPr>
                    <w:jc w:val="center"/>
                    <w:rPr>
                      <w:bCs/>
                      <w:color w:val="auto"/>
                      <w:szCs w:val="21"/>
                      <w:highlight w:val="none"/>
                    </w:rPr>
                  </w:pPr>
                  <w:r>
                    <w:rPr>
                      <w:rFonts w:hint="eastAsia"/>
                      <w:bCs/>
                      <w:color w:val="auto"/>
                      <w:szCs w:val="21"/>
                      <w:highlight w:val="none"/>
                    </w:rPr>
                    <w:t>＜0.001</w:t>
                  </w:r>
                </w:p>
              </w:tc>
              <w:tc>
                <w:tcPr>
                  <w:tcW w:w="1084" w:type="pct"/>
                  <w:vAlign w:val="center"/>
                </w:tcPr>
                <w:p w14:paraId="1EB234C7">
                  <w:pPr>
                    <w:jc w:val="center"/>
                    <w:rPr>
                      <w:bCs/>
                      <w:color w:val="auto"/>
                      <w:szCs w:val="21"/>
                      <w:highlight w:val="none"/>
                    </w:rPr>
                  </w:pPr>
                  <w:r>
                    <w:rPr>
                      <w:rFonts w:hint="eastAsia"/>
                      <w:bCs/>
                      <w:color w:val="auto"/>
                      <w:szCs w:val="21"/>
                      <w:highlight w:val="none"/>
                    </w:rPr>
                    <w:t>10</w:t>
                  </w:r>
                </w:p>
              </w:tc>
            </w:tr>
            <w:tr w14:paraId="3EEEE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42CE5807">
                  <w:pPr>
                    <w:jc w:val="center"/>
                    <w:rPr>
                      <w:bCs/>
                      <w:color w:val="auto"/>
                      <w:szCs w:val="21"/>
                      <w:highlight w:val="none"/>
                    </w:rPr>
                  </w:pPr>
                </w:p>
              </w:tc>
              <w:tc>
                <w:tcPr>
                  <w:tcW w:w="341" w:type="pct"/>
                  <w:vMerge w:val="continue"/>
                  <w:vAlign w:val="center"/>
                </w:tcPr>
                <w:p w14:paraId="0113DAF1">
                  <w:pPr>
                    <w:jc w:val="center"/>
                    <w:rPr>
                      <w:bCs/>
                      <w:color w:val="auto"/>
                      <w:spacing w:val="-5"/>
                      <w:szCs w:val="21"/>
                      <w:highlight w:val="none"/>
                      <w:lang w:bidi="he-IL"/>
                    </w:rPr>
                  </w:pPr>
                </w:p>
              </w:tc>
              <w:tc>
                <w:tcPr>
                  <w:tcW w:w="739" w:type="pct"/>
                  <w:vAlign w:val="center"/>
                </w:tcPr>
                <w:p w14:paraId="71C2ED38">
                  <w:pPr>
                    <w:jc w:val="center"/>
                    <w:rPr>
                      <w:bCs/>
                      <w:color w:val="auto"/>
                      <w:spacing w:val="-5"/>
                      <w:szCs w:val="21"/>
                      <w:highlight w:val="none"/>
                      <w:lang w:bidi="he-IL"/>
                    </w:rPr>
                  </w:pPr>
                  <w:r>
                    <w:rPr>
                      <w:rFonts w:hint="eastAsia"/>
                      <w:bCs/>
                      <w:color w:val="auto"/>
                      <w:spacing w:val="-5"/>
                      <w:szCs w:val="21"/>
                      <w:highlight w:val="none"/>
                      <w:lang w:bidi="he-IL"/>
                    </w:rPr>
                    <w:t>13:00-14:00</w:t>
                  </w:r>
                </w:p>
              </w:tc>
              <w:tc>
                <w:tcPr>
                  <w:tcW w:w="1332" w:type="pct"/>
                  <w:vAlign w:val="center"/>
                </w:tcPr>
                <w:p w14:paraId="5E137AD9">
                  <w:pPr>
                    <w:jc w:val="center"/>
                    <w:rPr>
                      <w:color w:val="auto"/>
                      <w:spacing w:val="-5"/>
                      <w:szCs w:val="21"/>
                      <w:highlight w:val="none"/>
                      <w:lang w:bidi="he-IL"/>
                    </w:rPr>
                  </w:pPr>
                  <w:r>
                    <w:rPr>
                      <w:rFonts w:hint="eastAsia"/>
                      <w:color w:val="auto"/>
                      <w:spacing w:val="-5"/>
                      <w:szCs w:val="21"/>
                      <w:highlight w:val="none"/>
                      <w:lang w:bidi="he-IL"/>
                    </w:rPr>
                    <w:t>A26040301Q007</w:t>
                  </w:r>
                </w:p>
              </w:tc>
              <w:tc>
                <w:tcPr>
                  <w:tcW w:w="1092" w:type="pct"/>
                  <w:vAlign w:val="center"/>
                </w:tcPr>
                <w:p w14:paraId="2C5CC5CD">
                  <w:pPr>
                    <w:jc w:val="center"/>
                    <w:rPr>
                      <w:bCs/>
                      <w:color w:val="auto"/>
                      <w:szCs w:val="21"/>
                      <w:highlight w:val="none"/>
                    </w:rPr>
                  </w:pPr>
                  <w:r>
                    <w:rPr>
                      <w:rFonts w:hint="eastAsia"/>
                      <w:bCs/>
                      <w:color w:val="auto"/>
                      <w:szCs w:val="21"/>
                      <w:highlight w:val="none"/>
                    </w:rPr>
                    <w:t>＜0.001</w:t>
                  </w:r>
                </w:p>
              </w:tc>
              <w:tc>
                <w:tcPr>
                  <w:tcW w:w="1084" w:type="pct"/>
                  <w:vAlign w:val="center"/>
                </w:tcPr>
                <w:p w14:paraId="7E1D23AF">
                  <w:pPr>
                    <w:jc w:val="center"/>
                    <w:rPr>
                      <w:bCs/>
                      <w:color w:val="auto"/>
                      <w:szCs w:val="21"/>
                      <w:highlight w:val="none"/>
                    </w:rPr>
                  </w:pPr>
                  <w:r>
                    <w:rPr>
                      <w:rFonts w:hint="eastAsia"/>
                      <w:bCs/>
                      <w:color w:val="auto"/>
                      <w:szCs w:val="21"/>
                      <w:highlight w:val="none"/>
                    </w:rPr>
                    <w:t>10</w:t>
                  </w:r>
                </w:p>
              </w:tc>
            </w:tr>
            <w:tr w14:paraId="3EB3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6DD76836">
                  <w:pPr>
                    <w:jc w:val="center"/>
                    <w:rPr>
                      <w:bCs/>
                      <w:color w:val="auto"/>
                      <w:szCs w:val="21"/>
                      <w:highlight w:val="none"/>
                    </w:rPr>
                  </w:pPr>
                </w:p>
              </w:tc>
              <w:tc>
                <w:tcPr>
                  <w:tcW w:w="341" w:type="pct"/>
                  <w:vMerge w:val="continue"/>
                  <w:vAlign w:val="center"/>
                </w:tcPr>
                <w:p w14:paraId="7BC5DD0B">
                  <w:pPr>
                    <w:jc w:val="center"/>
                    <w:rPr>
                      <w:bCs/>
                      <w:color w:val="auto"/>
                      <w:spacing w:val="-5"/>
                      <w:szCs w:val="21"/>
                      <w:highlight w:val="none"/>
                      <w:lang w:bidi="he-IL"/>
                    </w:rPr>
                  </w:pPr>
                </w:p>
              </w:tc>
              <w:tc>
                <w:tcPr>
                  <w:tcW w:w="739" w:type="pct"/>
                  <w:vAlign w:val="center"/>
                </w:tcPr>
                <w:p w14:paraId="70BDF1E5">
                  <w:pPr>
                    <w:jc w:val="center"/>
                    <w:rPr>
                      <w:bCs/>
                      <w:color w:val="auto"/>
                      <w:spacing w:val="-5"/>
                      <w:szCs w:val="21"/>
                      <w:highlight w:val="none"/>
                      <w:lang w:bidi="he-IL"/>
                    </w:rPr>
                  </w:pPr>
                  <w:r>
                    <w:rPr>
                      <w:rFonts w:hint="eastAsia"/>
                      <w:bCs/>
                      <w:color w:val="auto"/>
                      <w:spacing w:val="-5"/>
                      <w:szCs w:val="21"/>
                      <w:highlight w:val="none"/>
                      <w:lang w:bidi="he-IL"/>
                    </w:rPr>
                    <w:t>15:00-16:00</w:t>
                  </w:r>
                </w:p>
              </w:tc>
              <w:tc>
                <w:tcPr>
                  <w:tcW w:w="1332" w:type="pct"/>
                  <w:vAlign w:val="center"/>
                </w:tcPr>
                <w:p w14:paraId="41F5C49E">
                  <w:pPr>
                    <w:jc w:val="center"/>
                    <w:rPr>
                      <w:color w:val="auto"/>
                      <w:spacing w:val="-5"/>
                      <w:szCs w:val="21"/>
                      <w:highlight w:val="none"/>
                      <w:lang w:bidi="he-IL"/>
                    </w:rPr>
                  </w:pPr>
                  <w:r>
                    <w:rPr>
                      <w:rFonts w:hint="eastAsia"/>
                      <w:color w:val="auto"/>
                      <w:spacing w:val="-5"/>
                      <w:szCs w:val="21"/>
                      <w:highlight w:val="none"/>
                      <w:lang w:bidi="he-IL"/>
                    </w:rPr>
                    <w:t>A26040301Q008</w:t>
                  </w:r>
                </w:p>
              </w:tc>
              <w:tc>
                <w:tcPr>
                  <w:tcW w:w="1092" w:type="pct"/>
                  <w:vAlign w:val="center"/>
                </w:tcPr>
                <w:p w14:paraId="0C84C6EE">
                  <w:pPr>
                    <w:jc w:val="center"/>
                    <w:rPr>
                      <w:bCs/>
                      <w:color w:val="auto"/>
                      <w:szCs w:val="21"/>
                      <w:highlight w:val="none"/>
                    </w:rPr>
                  </w:pPr>
                  <w:r>
                    <w:rPr>
                      <w:rFonts w:hint="eastAsia"/>
                      <w:bCs/>
                      <w:color w:val="auto"/>
                      <w:szCs w:val="21"/>
                      <w:highlight w:val="none"/>
                    </w:rPr>
                    <w:t>＜0.001</w:t>
                  </w:r>
                </w:p>
              </w:tc>
              <w:tc>
                <w:tcPr>
                  <w:tcW w:w="1084" w:type="pct"/>
                  <w:vAlign w:val="center"/>
                </w:tcPr>
                <w:p w14:paraId="5CD050A8">
                  <w:pPr>
                    <w:jc w:val="center"/>
                    <w:rPr>
                      <w:bCs/>
                      <w:color w:val="auto"/>
                      <w:szCs w:val="21"/>
                      <w:highlight w:val="none"/>
                    </w:rPr>
                  </w:pPr>
                  <w:r>
                    <w:rPr>
                      <w:rFonts w:hint="eastAsia"/>
                      <w:bCs/>
                      <w:color w:val="auto"/>
                      <w:szCs w:val="21"/>
                      <w:highlight w:val="none"/>
                    </w:rPr>
                    <w:t>10</w:t>
                  </w:r>
                </w:p>
              </w:tc>
            </w:tr>
            <w:tr w14:paraId="090A6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78D46B6C">
                  <w:pPr>
                    <w:jc w:val="center"/>
                    <w:rPr>
                      <w:bCs/>
                      <w:color w:val="auto"/>
                      <w:szCs w:val="21"/>
                      <w:highlight w:val="none"/>
                    </w:rPr>
                  </w:pPr>
                </w:p>
              </w:tc>
              <w:tc>
                <w:tcPr>
                  <w:tcW w:w="341" w:type="pct"/>
                  <w:vMerge w:val="restart"/>
                  <w:vAlign w:val="center"/>
                </w:tcPr>
                <w:p w14:paraId="0829F411">
                  <w:pPr>
                    <w:jc w:val="center"/>
                    <w:rPr>
                      <w:bCs/>
                      <w:color w:val="auto"/>
                      <w:spacing w:val="-5"/>
                      <w:szCs w:val="21"/>
                      <w:highlight w:val="none"/>
                      <w:lang w:bidi="he-IL"/>
                    </w:rPr>
                  </w:pPr>
                  <w:r>
                    <w:rPr>
                      <w:rFonts w:hint="eastAsia"/>
                      <w:bCs/>
                      <w:color w:val="auto"/>
                      <w:spacing w:val="-5"/>
                      <w:szCs w:val="21"/>
                      <w:highlight w:val="none"/>
                      <w:lang w:bidi="he-IL"/>
                    </w:rPr>
                    <w:t>2026.04.08</w:t>
                  </w:r>
                </w:p>
              </w:tc>
              <w:tc>
                <w:tcPr>
                  <w:tcW w:w="739" w:type="pct"/>
                  <w:vAlign w:val="center"/>
                </w:tcPr>
                <w:p w14:paraId="4C84DDF5">
                  <w:pPr>
                    <w:jc w:val="center"/>
                    <w:rPr>
                      <w:bCs/>
                      <w:color w:val="auto"/>
                      <w:spacing w:val="-5"/>
                      <w:szCs w:val="21"/>
                      <w:highlight w:val="none"/>
                      <w:lang w:bidi="he-IL"/>
                    </w:rPr>
                  </w:pPr>
                  <w:r>
                    <w:rPr>
                      <w:rFonts w:hint="eastAsia"/>
                      <w:bCs/>
                      <w:color w:val="auto"/>
                      <w:spacing w:val="-5"/>
                      <w:szCs w:val="21"/>
                      <w:highlight w:val="none"/>
                      <w:lang w:bidi="he-IL"/>
                    </w:rPr>
                    <w:t>09:00-10:00</w:t>
                  </w:r>
                </w:p>
              </w:tc>
              <w:tc>
                <w:tcPr>
                  <w:tcW w:w="1332" w:type="pct"/>
                  <w:vAlign w:val="center"/>
                </w:tcPr>
                <w:p w14:paraId="2043D92C">
                  <w:pPr>
                    <w:jc w:val="center"/>
                    <w:rPr>
                      <w:color w:val="auto"/>
                      <w:spacing w:val="-5"/>
                      <w:szCs w:val="21"/>
                      <w:highlight w:val="none"/>
                      <w:lang w:bidi="he-IL"/>
                    </w:rPr>
                  </w:pPr>
                  <w:r>
                    <w:rPr>
                      <w:rFonts w:hint="eastAsia"/>
                      <w:color w:val="auto"/>
                      <w:spacing w:val="-5"/>
                      <w:szCs w:val="21"/>
                      <w:highlight w:val="none"/>
                      <w:lang w:bidi="he-IL"/>
                    </w:rPr>
                    <w:t>A26040301Q013</w:t>
                  </w:r>
                </w:p>
              </w:tc>
              <w:tc>
                <w:tcPr>
                  <w:tcW w:w="1092" w:type="pct"/>
                  <w:vAlign w:val="center"/>
                </w:tcPr>
                <w:p w14:paraId="65EF264D">
                  <w:pPr>
                    <w:jc w:val="center"/>
                    <w:rPr>
                      <w:bCs/>
                      <w:color w:val="auto"/>
                      <w:spacing w:val="-5"/>
                      <w:szCs w:val="21"/>
                      <w:highlight w:val="none"/>
                      <w:lang w:bidi="he-IL"/>
                    </w:rPr>
                  </w:pPr>
                  <w:r>
                    <w:rPr>
                      <w:rFonts w:hint="eastAsia"/>
                      <w:bCs/>
                      <w:color w:val="auto"/>
                      <w:szCs w:val="21"/>
                      <w:highlight w:val="none"/>
                    </w:rPr>
                    <w:t>＜0.001</w:t>
                  </w:r>
                </w:p>
              </w:tc>
              <w:tc>
                <w:tcPr>
                  <w:tcW w:w="1084" w:type="pct"/>
                  <w:vAlign w:val="center"/>
                </w:tcPr>
                <w:p w14:paraId="229D5674">
                  <w:pPr>
                    <w:jc w:val="center"/>
                    <w:rPr>
                      <w:bCs/>
                      <w:color w:val="auto"/>
                      <w:szCs w:val="21"/>
                      <w:highlight w:val="none"/>
                    </w:rPr>
                  </w:pPr>
                  <w:r>
                    <w:rPr>
                      <w:rFonts w:hint="eastAsia"/>
                      <w:bCs/>
                      <w:color w:val="auto"/>
                      <w:szCs w:val="21"/>
                      <w:highlight w:val="none"/>
                    </w:rPr>
                    <w:t>10</w:t>
                  </w:r>
                </w:p>
              </w:tc>
            </w:tr>
            <w:tr w14:paraId="57E51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6FB77DB8">
                  <w:pPr>
                    <w:jc w:val="center"/>
                    <w:rPr>
                      <w:bCs/>
                      <w:color w:val="auto"/>
                      <w:szCs w:val="21"/>
                      <w:highlight w:val="none"/>
                    </w:rPr>
                  </w:pPr>
                </w:p>
              </w:tc>
              <w:tc>
                <w:tcPr>
                  <w:tcW w:w="341" w:type="pct"/>
                  <w:vMerge w:val="continue"/>
                  <w:vAlign w:val="center"/>
                </w:tcPr>
                <w:p w14:paraId="6D5EE7D0">
                  <w:pPr>
                    <w:jc w:val="center"/>
                    <w:rPr>
                      <w:bCs/>
                      <w:color w:val="auto"/>
                      <w:spacing w:val="-5"/>
                      <w:szCs w:val="21"/>
                      <w:highlight w:val="none"/>
                      <w:lang w:bidi="he-IL"/>
                    </w:rPr>
                  </w:pPr>
                </w:p>
              </w:tc>
              <w:tc>
                <w:tcPr>
                  <w:tcW w:w="739" w:type="pct"/>
                  <w:vAlign w:val="center"/>
                </w:tcPr>
                <w:p w14:paraId="6CF00D06">
                  <w:pPr>
                    <w:jc w:val="center"/>
                    <w:rPr>
                      <w:bCs/>
                      <w:color w:val="auto"/>
                      <w:spacing w:val="-5"/>
                      <w:szCs w:val="21"/>
                      <w:highlight w:val="none"/>
                      <w:lang w:bidi="he-IL"/>
                    </w:rPr>
                  </w:pPr>
                  <w:r>
                    <w:rPr>
                      <w:rFonts w:hint="eastAsia"/>
                      <w:bCs/>
                      <w:color w:val="auto"/>
                      <w:spacing w:val="-5"/>
                      <w:szCs w:val="21"/>
                      <w:highlight w:val="none"/>
                      <w:lang w:bidi="he-IL"/>
                    </w:rPr>
                    <w:t>11:00-12:00</w:t>
                  </w:r>
                </w:p>
              </w:tc>
              <w:tc>
                <w:tcPr>
                  <w:tcW w:w="1332" w:type="pct"/>
                  <w:vAlign w:val="center"/>
                </w:tcPr>
                <w:p w14:paraId="50307FC3">
                  <w:pPr>
                    <w:jc w:val="center"/>
                    <w:rPr>
                      <w:color w:val="auto"/>
                      <w:spacing w:val="-5"/>
                      <w:szCs w:val="21"/>
                      <w:highlight w:val="none"/>
                      <w:lang w:bidi="he-IL"/>
                    </w:rPr>
                  </w:pPr>
                  <w:r>
                    <w:rPr>
                      <w:rFonts w:hint="eastAsia"/>
                      <w:color w:val="auto"/>
                      <w:spacing w:val="-5"/>
                      <w:szCs w:val="21"/>
                      <w:highlight w:val="none"/>
                      <w:lang w:bidi="he-IL"/>
                    </w:rPr>
                    <w:t>A26040301Q014</w:t>
                  </w:r>
                </w:p>
              </w:tc>
              <w:tc>
                <w:tcPr>
                  <w:tcW w:w="1092" w:type="pct"/>
                  <w:vAlign w:val="center"/>
                </w:tcPr>
                <w:p w14:paraId="6FA23AEC">
                  <w:pPr>
                    <w:jc w:val="center"/>
                    <w:rPr>
                      <w:bCs/>
                      <w:color w:val="auto"/>
                      <w:szCs w:val="21"/>
                      <w:highlight w:val="none"/>
                    </w:rPr>
                  </w:pPr>
                  <w:r>
                    <w:rPr>
                      <w:rFonts w:hint="eastAsia"/>
                      <w:bCs/>
                      <w:color w:val="auto"/>
                      <w:szCs w:val="21"/>
                      <w:highlight w:val="none"/>
                    </w:rPr>
                    <w:t>＜0.001</w:t>
                  </w:r>
                </w:p>
              </w:tc>
              <w:tc>
                <w:tcPr>
                  <w:tcW w:w="1084" w:type="pct"/>
                  <w:vAlign w:val="center"/>
                </w:tcPr>
                <w:p w14:paraId="3DBB5CD5">
                  <w:pPr>
                    <w:jc w:val="center"/>
                    <w:rPr>
                      <w:bCs/>
                      <w:color w:val="auto"/>
                      <w:szCs w:val="21"/>
                      <w:highlight w:val="none"/>
                    </w:rPr>
                  </w:pPr>
                  <w:r>
                    <w:rPr>
                      <w:rFonts w:hint="eastAsia"/>
                      <w:bCs/>
                      <w:color w:val="auto"/>
                      <w:szCs w:val="21"/>
                      <w:highlight w:val="none"/>
                    </w:rPr>
                    <w:t>10</w:t>
                  </w:r>
                </w:p>
              </w:tc>
            </w:tr>
            <w:tr w14:paraId="1D45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0B902632">
                  <w:pPr>
                    <w:jc w:val="center"/>
                    <w:rPr>
                      <w:bCs/>
                      <w:color w:val="auto"/>
                      <w:szCs w:val="21"/>
                      <w:highlight w:val="none"/>
                    </w:rPr>
                  </w:pPr>
                </w:p>
              </w:tc>
              <w:tc>
                <w:tcPr>
                  <w:tcW w:w="341" w:type="pct"/>
                  <w:vMerge w:val="continue"/>
                  <w:vAlign w:val="center"/>
                </w:tcPr>
                <w:p w14:paraId="34160795">
                  <w:pPr>
                    <w:jc w:val="center"/>
                    <w:rPr>
                      <w:bCs/>
                      <w:color w:val="auto"/>
                      <w:spacing w:val="-5"/>
                      <w:szCs w:val="21"/>
                      <w:highlight w:val="none"/>
                      <w:lang w:bidi="he-IL"/>
                    </w:rPr>
                  </w:pPr>
                </w:p>
              </w:tc>
              <w:tc>
                <w:tcPr>
                  <w:tcW w:w="739" w:type="pct"/>
                  <w:vAlign w:val="center"/>
                </w:tcPr>
                <w:p w14:paraId="4C2DBA8A">
                  <w:pPr>
                    <w:jc w:val="center"/>
                    <w:rPr>
                      <w:bCs/>
                      <w:color w:val="auto"/>
                      <w:spacing w:val="-5"/>
                      <w:szCs w:val="21"/>
                      <w:highlight w:val="none"/>
                      <w:lang w:bidi="he-IL"/>
                    </w:rPr>
                  </w:pPr>
                  <w:r>
                    <w:rPr>
                      <w:rFonts w:hint="eastAsia"/>
                      <w:bCs/>
                      <w:color w:val="auto"/>
                      <w:spacing w:val="-5"/>
                      <w:szCs w:val="21"/>
                      <w:highlight w:val="none"/>
                      <w:lang w:bidi="he-IL"/>
                    </w:rPr>
                    <w:t>13:00-14:00</w:t>
                  </w:r>
                </w:p>
              </w:tc>
              <w:tc>
                <w:tcPr>
                  <w:tcW w:w="1332" w:type="pct"/>
                  <w:vAlign w:val="center"/>
                </w:tcPr>
                <w:p w14:paraId="115A310E">
                  <w:pPr>
                    <w:jc w:val="center"/>
                    <w:rPr>
                      <w:color w:val="auto"/>
                      <w:spacing w:val="-5"/>
                      <w:szCs w:val="21"/>
                      <w:highlight w:val="none"/>
                      <w:lang w:bidi="he-IL"/>
                    </w:rPr>
                  </w:pPr>
                  <w:r>
                    <w:rPr>
                      <w:rFonts w:hint="eastAsia"/>
                      <w:color w:val="auto"/>
                      <w:spacing w:val="-5"/>
                      <w:szCs w:val="21"/>
                      <w:highlight w:val="none"/>
                      <w:lang w:bidi="he-IL"/>
                    </w:rPr>
                    <w:t>A26040301Q015</w:t>
                  </w:r>
                </w:p>
              </w:tc>
              <w:tc>
                <w:tcPr>
                  <w:tcW w:w="1092" w:type="pct"/>
                  <w:vAlign w:val="center"/>
                </w:tcPr>
                <w:p w14:paraId="4C188F4C">
                  <w:pPr>
                    <w:jc w:val="center"/>
                    <w:rPr>
                      <w:bCs/>
                      <w:color w:val="auto"/>
                      <w:szCs w:val="21"/>
                      <w:highlight w:val="none"/>
                    </w:rPr>
                  </w:pPr>
                  <w:r>
                    <w:rPr>
                      <w:rFonts w:hint="eastAsia"/>
                      <w:bCs/>
                      <w:color w:val="auto"/>
                      <w:szCs w:val="21"/>
                      <w:highlight w:val="none"/>
                    </w:rPr>
                    <w:t>＜0.001</w:t>
                  </w:r>
                </w:p>
              </w:tc>
              <w:tc>
                <w:tcPr>
                  <w:tcW w:w="1084" w:type="pct"/>
                  <w:vAlign w:val="center"/>
                </w:tcPr>
                <w:p w14:paraId="653E2CB3">
                  <w:pPr>
                    <w:jc w:val="center"/>
                    <w:rPr>
                      <w:bCs/>
                      <w:color w:val="auto"/>
                      <w:szCs w:val="21"/>
                      <w:highlight w:val="none"/>
                    </w:rPr>
                  </w:pPr>
                  <w:r>
                    <w:rPr>
                      <w:rFonts w:hint="eastAsia"/>
                      <w:bCs/>
                      <w:color w:val="auto"/>
                      <w:szCs w:val="21"/>
                      <w:highlight w:val="none"/>
                    </w:rPr>
                    <w:t>10</w:t>
                  </w:r>
                </w:p>
              </w:tc>
            </w:tr>
            <w:tr w14:paraId="15DE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1879CFA3">
                  <w:pPr>
                    <w:jc w:val="center"/>
                    <w:rPr>
                      <w:bCs/>
                      <w:color w:val="auto"/>
                      <w:szCs w:val="21"/>
                      <w:highlight w:val="none"/>
                    </w:rPr>
                  </w:pPr>
                </w:p>
              </w:tc>
              <w:tc>
                <w:tcPr>
                  <w:tcW w:w="341" w:type="pct"/>
                  <w:vMerge w:val="continue"/>
                  <w:vAlign w:val="center"/>
                </w:tcPr>
                <w:p w14:paraId="141F5BB6">
                  <w:pPr>
                    <w:jc w:val="center"/>
                    <w:rPr>
                      <w:bCs/>
                      <w:color w:val="auto"/>
                      <w:spacing w:val="-5"/>
                      <w:szCs w:val="21"/>
                      <w:highlight w:val="none"/>
                      <w:lang w:bidi="he-IL"/>
                    </w:rPr>
                  </w:pPr>
                </w:p>
              </w:tc>
              <w:tc>
                <w:tcPr>
                  <w:tcW w:w="739" w:type="pct"/>
                  <w:vAlign w:val="center"/>
                </w:tcPr>
                <w:p w14:paraId="120E1123">
                  <w:pPr>
                    <w:jc w:val="center"/>
                    <w:rPr>
                      <w:bCs/>
                      <w:color w:val="auto"/>
                      <w:spacing w:val="-5"/>
                      <w:szCs w:val="21"/>
                      <w:highlight w:val="none"/>
                      <w:lang w:bidi="he-IL"/>
                    </w:rPr>
                  </w:pPr>
                  <w:r>
                    <w:rPr>
                      <w:rFonts w:hint="eastAsia"/>
                      <w:bCs/>
                      <w:color w:val="auto"/>
                      <w:spacing w:val="-5"/>
                      <w:szCs w:val="21"/>
                      <w:highlight w:val="none"/>
                      <w:lang w:bidi="he-IL"/>
                    </w:rPr>
                    <w:t>15:00-16:00</w:t>
                  </w:r>
                </w:p>
              </w:tc>
              <w:tc>
                <w:tcPr>
                  <w:tcW w:w="1332" w:type="pct"/>
                  <w:vAlign w:val="center"/>
                </w:tcPr>
                <w:p w14:paraId="40B43226">
                  <w:pPr>
                    <w:jc w:val="center"/>
                    <w:rPr>
                      <w:color w:val="auto"/>
                      <w:spacing w:val="-5"/>
                      <w:szCs w:val="21"/>
                      <w:highlight w:val="none"/>
                      <w:lang w:bidi="he-IL"/>
                    </w:rPr>
                  </w:pPr>
                  <w:r>
                    <w:rPr>
                      <w:rFonts w:hint="eastAsia"/>
                      <w:color w:val="auto"/>
                      <w:spacing w:val="-5"/>
                      <w:szCs w:val="21"/>
                      <w:highlight w:val="none"/>
                      <w:lang w:bidi="he-IL"/>
                    </w:rPr>
                    <w:t>A26040301Q016</w:t>
                  </w:r>
                </w:p>
              </w:tc>
              <w:tc>
                <w:tcPr>
                  <w:tcW w:w="1092" w:type="pct"/>
                  <w:vAlign w:val="center"/>
                </w:tcPr>
                <w:p w14:paraId="5BF4ABC0">
                  <w:pPr>
                    <w:jc w:val="center"/>
                    <w:rPr>
                      <w:bCs/>
                      <w:color w:val="auto"/>
                      <w:szCs w:val="21"/>
                      <w:highlight w:val="none"/>
                    </w:rPr>
                  </w:pPr>
                  <w:r>
                    <w:rPr>
                      <w:rFonts w:hint="eastAsia"/>
                      <w:bCs/>
                      <w:color w:val="auto"/>
                      <w:szCs w:val="21"/>
                      <w:highlight w:val="none"/>
                    </w:rPr>
                    <w:t>＜0.001</w:t>
                  </w:r>
                </w:p>
              </w:tc>
              <w:tc>
                <w:tcPr>
                  <w:tcW w:w="1084" w:type="pct"/>
                  <w:vAlign w:val="center"/>
                </w:tcPr>
                <w:p w14:paraId="546DDDAF">
                  <w:pPr>
                    <w:jc w:val="center"/>
                    <w:rPr>
                      <w:bCs/>
                      <w:color w:val="auto"/>
                      <w:szCs w:val="21"/>
                      <w:highlight w:val="none"/>
                    </w:rPr>
                  </w:pPr>
                  <w:r>
                    <w:rPr>
                      <w:rFonts w:hint="eastAsia"/>
                      <w:bCs/>
                      <w:color w:val="auto"/>
                      <w:szCs w:val="21"/>
                      <w:highlight w:val="none"/>
                    </w:rPr>
                    <w:t>10</w:t>
                  </w:r>
                </w:p>
              </w:tc>
            </w:tr>
            <w:tr w14:paraId="29F6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0F835510">
                  <w:pPr>
                    <w:jc w:val="center"/>
                    <w:rPr>
                      <w:bCs/>
                      <w:color w:val="auto"/>
                      <w:szCs w:val="21"/>
                      <w:highlight w:val="none"/>
                    </w:rPr>
                  </w:pPr>
                </w:p>
              </w:tc>
              <w:tc>
                <w:tcPr>
                  <w:tcW w:w="341" w:type="pct"/>
                  <w:vMerge w:val="restart"/>
                  <w:vAlign w:val="center"/>
                </w:tcPr>
                <w:p w14:paraId="3C62F0B3">
                  <w:pPr>
                    <w:jc w:val="center"/>
                    <w:rPr>
                      <w:bCs/>
                      <w:color w:val="auto"/>
                      <w:spacing w:val="-5"/>
                      <w:szCs w:val="21"/>
                      <w:highlight w:val="none"/>
                      <w:lang w:bidi="he-IL"/>
                    </w:rPr>
                  </w:pPr>
                  <w:r>
                    <w:rPr>
                      <w:rFonts w:hint="eastAsia"/>
                      <w:bCs/>
                      <w:color w:val="auto"/>
                      <w:spacing w:val="-5"/>
                      <w:szCs w:val="21"/>
                      <w:highlight w:val="none"/>
                      <w:lang w:bidi="he-IL"/>
                    </w:rPr>
                    <w:t>2026.04.09</w:t>
                  </w:r>
                </w:p>
              </w:tc>
              <w:tc>
                <w:tcPr>
                  <w:tcW w:w="739" w:type="pct"/>
                  <w:vAlign w:val="center"/>
                </w:tcPr>
                <w:p w14:paraId="3AB8CB1C">
                  <w:pPr>
                    <w:jc w:val="center"/>
                    <w:rPr>
                      <w:bCs/>
                      <w:color w:val="auto"/>
                      <w:spacing w:val="-5"/>
                      <w:szCs w:val="21"/>
                      <w:highlight w:val="none"/>
                      <w:lang w:bidi="he-IL"/>
                    </w:rPr>
                  </w:pPr>
                  <w:r>
                    <w:rPr>
                      <w:rFonts w:hint="eastAsia"/>
                      <w:bCs/>
                      <w:color w:val="auto"/>
                      <w:spacing w:val="-5"/>
                      <w:szCs w:val="21"/>
                      <w:highlight w:val="none"/>
                      <w:lang w:bidi="he-IL"/>
                    </w:rPr>
                    <w:t>09:00-10:00</w:t>
                  </w:r>
                </w:p>
              </w:tc>
              <w:tc>
                <w:tcPr>
                  <w:tcW w:w="1332" w:type="pct"/>
                  <w:vAlign w:val="center"/>
                </w:tcPr>
                <w:p w14:paraId="5E54C0F8">
                  <w:pPr>
                    <w:jc w:val="center"/>
                    <w:rPr>
                      <w:color w:val="auto"/>
                      <w:spacing w:val="-5"/>
                      <w:szCs w:val="21"/>
                      <w:highlight w:val="none"/>
                      <w:lang w:bidi="he-IL"/>
                    </w:rPr>
                  </w:pPr>
                  <w:r>
                    <w:rPr>
                      <w:rFonts w:hint="eastAsia"/>
                      <w:color w:val="auto"/>
                      <w:spacing w:val="-5"/>
                      <w:szCs w:val="21"/>
                      <w:highlight w:val="none"/>
                      <w:lang w:bidi="he-IL"/>
                    </w:rPr>
                    <w:t>A26040301Q021</w:t>
                  </w:r>
                </w:p>
              </w:tc>
              <w:tc>
                <w:tcPr>
                  <w:tcW w:w="1092" w:type="pct"/>
                  <w:vAlign w:val="center"/>
                </w:tcPr>
                <w:p w14:paraId="747BD517">
                  <w:pPr>
                    <w:jc w:val="center"/>
                    <w:rPr>
                      <w:bCs/>
                      <w:color w:val="auto"/>
                      <w:szCs w:val="21"/>
                      <w:highlight w:val="none"/>
                    </w:rPr>
                  </w:pPr>
                  <w:r>
                    <w:rPr>
                      <w:rFonts w:hint="eastAsia"/>
                      <w:bCs/>
                      <w:color w:val="auto"/>
                      <w:szCs w:val="21"/>
                      <w:highlight w:val="none"/>
                    </w:rPr>
                    <w:t>＜0.001</w:t>
                  </w:r>
                </w:p>
              </w:tc>
              <w:tc>
                <w:tcPr>
                  <w:tcW w:w="1084" w:type="pct"/>
                  <w:vAlign w:val="center"/>
                </w:tcPr>
                <w:p w14:paraId="4DAABBE1">
                  <w:pPr>
                    <w:jc w:val="center"/>
                    <w:rPr>
                      <w:bCs/>
                      <w:color w:val="auto"/>
                      <w:szCs w:val="21"/>
                      <w:highlight w:val="none"/>
                    </w:rPr>
                  </w:pPr>
                  <w:r>
                    <w:rPr>
                      <w:rFonts w:hint="eastAsia"/>
                      <w:bCs/>
                      <w:color w:val="auto"/>
                      <w:szCs w:val="21"/>
                      <w:highlight w:val="none"/>
                    </w:rPr>
                    <w:t>10</w:t>
                  </w:r>
                </w:p>
              </w:tc>
            </w:tr>
            <w:tr w14:paraId="05B93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72EE6592">
                  <w:pPr>
                    <w:jc w:val="center"/>
                    <w:rPr>
                      <w:bCs/>
                      <w:color w:val="auto"/>
                      <w:szCs w:val="21"/>
                      <w:highlight w:val="none"/>
                    </w:rPr>
                  </w:pPr>
                </w:p>
              </w:tc>
              <w:tc>
                <w:tcPr>
                  <w:tcW w:w="341" w:type="pct"/>
                  <w:vMerge w:val="continue"/>
                  <w:vAlign w:val="center"/>
                </w:tcPr>
                <w:p w14:paraId="3EBB7F36">
                  <w:pPr>
                    <w:jc w:val="center"/>
                    <w:rPr>
                      <w:bCs/>
                      <w:color w:val="auto"/>
                      <w:spacing w:val="-5"/>
                      <w:szCs w:val="21"/>
                      <w:highlight w:val="none"/>
                      <w:lang w:bidi="he-IL"/>
                    </w:rPr>
                  </w:pPr>
                </w:p>
              </w:tc>
              <w:tc>
                <w:tcPr>
                  <w:tcW w:w="739" w:type="pct"/>
                  <w:vAlign w:val="center"/>
                </w:tcPr>
                <w:p w14:paraId="3A0C071F">
                  <w:pPr>
                    <w:jc w:val="center"/>
                    <w:rPr>
                      <w:bCs/>
                      <w:color w:val="auto"/>
                      <w:spacing w:val="-5"/>
                      <w:szCs w:val="21"/>
                      <w:highlight w:val="none"/>
                      <w:lang w:bidi="he-IL"/>
                    </w:rPr>
                  </w:pPr>
                  <w:r>
                    <w:rPr>
                      <w:rFonts w:hint="eastAsia"/>
                      <w:bCs/>
                      <w:color w:val="auto"/>
                      <w:spacing w:val="-5"/>
                      <w:szCs w:val="21"/>
                      <w:highlight w:val="none"/>
                      <w:lang w:bidi="he-IL"/>
                    </w:rPr>
                    <w:t>11:00-12:00</w:t>
                  </w:r>
                </w:p>
              </w:tc>
              <w:tc>
                <w:tcPr>
                  <w:tcW w:w="1332" w:type="pct"/>
                  <w:vAlign w:val="center"/>
                </w:tcPr>
                <w:p w14:paraId="7A79F531">
                  <w:pPr>
                    <w:jc w:val="center"/>
                    <w:rPr>
                      <w:color w:val="auto"/>
                      <w:spacing w:val="-5"/>
                      <w:szCs w:val="21"/>
                      <w:highlight w:val="none"/>
                      <w:lang w:bidi="he-IL"/>
                    </w:rPr>
                  </w:pPr>
                  <w:r>
                    <w:rPr>
                      <w:rFonts w:hint="eastAsia"/>
                      <w:color w:val="auto"/>
                      <w:spacing w:val="-5"/>
                      <w:szCs w:val="21"/>
                      <w:highlight w:val="none"/>
                      <w:lang w:bidi="he-IL"/>
                    </w:rPr>
                    <w:t>A26040301Q022</w:t>
                  </w:r>
                </w:p>
              </w:tc>
              <w:tc>
                <w:tcPr>
                  <w:tcW w:w="1092" w:type="pct"/>
                  <w:vAlign w:val="center"/>
                </w:tcPr>
                <w:p w14:paraId="33C05D33">
                  <w:pPr>
                    <w:jc w:val="center"/>
                    <w:rPr>
                      <w:bCs/>
                      <w:color w:val="auto"/>
                      <w:szCs w:val="21"/>
                      <w:highlight w:val="none"/>
                    </w:rPr>
                  </w:pPr>
                  <w:r>
                    <w:rPr>
                      <w:rFonts w:hint="eastAsia"/>
                      <w:bCs/>
                      <w:color w:val="auto"/>
                      <w:szCs w:val="21"/>
                      <w:highlight w:val="none"/>
                    </w:rPr>
                    <w:t>＜0.001</w:t>
                  </w:r>
                </w:p>
              </w:tc>
              <w:tc>
                <w:tcPr>
                  <w:tcW w:w="1084" w:type="pct"/>
                  <w:vAlign w:val="center"/>
                </w:tcPr>
                <w:p w14:paraId="75C445DD">
                  <w:pPr>
                    <w:jc w:val="center"/>
                    <w:rPr>
                      <w:bCs/>
                      <w:color w:val="auto"/>
                      <w:szCs w:val="21"/>
                      <w:highlight w:val="none"/>
                    </w:rPr>
                  </w:pPr>
                  <w:r>
                    <w:rPr>
                      <w:rFonts w:hint="eastAsia"/>
                      <w:bCs/>
                      <w:color w:val="auto"/>
                      <w:szCs w:val="21"/>
                      <w:highlight w:val="none"/>
                    </w:rPr>
                    <w:t>10</w:t>
                  </w:r>
                </w:p>
              </w:tc>
            </w:tr>
            <w:tr w14:paraId="604C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2D42B604">
                  <w:pPr>
                    <w:jc w:val="center"/>
                    <w:rPr>
                      <w:bCs/>
                      <w:color w:val="auto"/>
                      <w:szCs w:val="21"/>
                      <w:highlight w:val="none"/>
                    </w:rPr>
                  </w:pPr>
                </w:p>
              </w:tc>
              <w:tc>
                <w:tcPr>
                  <w:tcW w:w="341" w:type="pct"/>
                  <w:vMerge w:val="continue"/>
                  <w:vAlign w:val="center"/>
                </w:tcPr>
                <w:p w14:paraId="734D8C1F">
                  <w:pPr>
                    <w:jc w:val="center"/>
                    <w:rPr>
                      <w:bCs/>
                      <w:color w:val="auto"/>
                      <w:spacing w:val="-5"/>
                      <w:szCs w:val="21"/>
                      <w:highlight w:val="none"/>
                      <w:lang w:bidi="he-IL"/>
                    </w:rPr>
                  </w:pPr>
                </w:p>
              </w:tc>
              <w:tc>
                <w:tcPr>
                  <w:tcW w:w="739" w:type="pct"/>
                  <w:vAlign w:val="center"/>
                </w:tcPr>
                <w:p w14:paraId="010564D8">
                  <w:pPr>
                    <w:jc w:val="center"/>
                    <w:rPr>
                      <w:bCs/>
                      <w:color w:val="auto"/>
                      <w:spacing w:val="-5"/>
                      <w:szCs w:val="21"/>
                      <w:highlight w:val="none"/>
                      <w:lang w:bidi="he-IL"/>
                    </w:rPr>
                  </w:pPr>
                  <w:r>
                    <w:rPr>
                      <w:rFonts w:hint="eastAsia"/>
                      <w:bCs/>
                      <w:color w:val="auto"/>
                      <w:spacing w:val="-5"/>
                      <w:szCs w:val="21"/>
                      <w:highlight w:val="none"/>
                      <w:lang w:bidi="he-IL"/>
                    </w:rPr>
                    <w:t>13:00-14:00</w:t>
                  </w:r>
                </w:p>
              </w:tc>
              <w:tc>
                <w:tcPr>
                  <w:tcW w:w="1332" w:type="pct"/>
                  <w:vAlign w:val="center"/>
                </w:tcPr>
                <w:p w14:paraId="46FA7561">
                  <w:pPr>
                    <w:jc w:val="center"/>
                    <w:rPr>
                      <w:color w:val="auto"/>
                      <w:spacing w:val="-5"/>
                      <w:szCs w:val="21"/>
                      <w:highlight w:val="none"/>
                      <w:lang w:bidi="he-IL"/>
                    </w:rPr>
                  </w:pPr>
                  <w:r>
                    <w:rPr>
                      <w:rFonts w:hint="eastAsia"/>
                      <w:color w:val="auto"/>
                      <w:spacing w:val="-5"/>
                      <w:szCs w:val="21"/>
                      <w:highlight w:val="none"/>
                      <w:lang w:bidi="he-IL"/>
                    </w:rPr>
                    <w:t>A26040301Q023</w:t>
                  </w:r>
                </w:p>
              </w:tc>
              <w:tc>
                <w:tcPr>
                  <w:tcW w:w="1092" w:type="pct"/>
                  <w:vAlign w:val="center"/>
                </w:tcPr>
                <w:p w14:paraId="1175EBF3">
                  <w:pPr>
                    <w:jc w:val="center"/>
                    <w:rPr>
                      <w:bCs/>
                      <w:color w:val="auto"/>
                      <w:szCs w:val="21"/>
                      <w:highlight w:val="none"/>
                    </w:rPr>
                  </w:pPr>
                  <w:r>
                    <w:rPr>
                      <w:rFonts w:hint="eastAsia"/>
                      <w:bCs/>
                      <w:color w:val="auto"/>
                      <w:szCs w:val="21"/>
                      <w:highlight w:val="none"/>
                    </w:rPr>
                    <w:t>＜0.001</w:t>
                  </w:r>
                </w:p>
              </w:tc>
              <w:tc>
                <w:tcPr>
                  <w:tcW w:w="1084" w:type="pct"/>
                  <w:vAlign w:val="center"/>
                </w:tcPr>
                <w:p w14:paraId="73E982D2">
                  <w:pPr>
                    <w:jc w:val="center"/>
                    <w:rPr>
                      <w:bCs/>
                      <w:color w:val="auto"/>
                      <w:szCs w:val="21"/>
                      <w:highlight w:val="none"/>
                    </w:rPr>
                  </w:pPr>
                  <w:r>
                    <w:rPr>
                      <w:rFonts w:hint="eastAsia"/>
                      <w:bCs/>
                      <w:color w:val="auto"/>
                      <w:szCs w:val="21"/>
                      <w:highlight w:val="none"/>
                    </w:rPr>
                    <w:t>10</w:t>
                  </w:r>
                </w:p>
              </w:tc>
            </w:tr>
            <w:tr w14:paraId="5445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Merge w:val="continue"/>
                  <w:vAlign w:val="center"/>
                </w:tcPr>
                <w:p w14:paraId="76887EA0">
                  <w:pPr>
                    <w:jc w:val="center"/>
                    <w:rPr>
                      <w:bCs/>
                      <w:color w:val="auto"/>
                      <w:szCs w:val="21"/>
                      <w:highlight w:val="none"/>
                    </w:rPr>
                  </w:pPr>
                </w:p>
              </w:tc>
              <w:tc>
                <w:tcPr>
                  <w:tcW w:w="341" w:type="pct"/>
                  <w:vMerge w:val="continue"/>
                  <w:vAlign w:val="center"/>
                </w:tcPr>
                <w:p w14:paraId="6D6EB3A9">
                  <w:pPr>
                    <w:jc w:val="center"/>
                    <w:rPr>
                      <w:bCs/>
                      <w:color w:val="auto"/>
                      <w:spacing w:val="-5"/>
                      <w:szCs w:val="21"/>
                      <w:highlight w:val="none"/>
                      <w:lang w:bidi="he-IL"/>
                    </w:rPr>
                  </w:pPr>
                </w:p>
              </w:tc>
              <w:tc>
                <w:tcPr>
                  <w:tcW w:w="739" w:type="pct"/>
                  <w:vAlign w:val="center"/>
                </w:tcPr>
                <w:p w14:paraId="4AEF5E31">
                  <w:pPr>
                    <w:jc w:val="center"/>
                    <w:rPr>
                      <w:bCs/>
                      <w:color w:val="auto"/>
                      <w:spacing w:val="-5"/>
                      <w:szCs w:val="21"/>
                      <w:highlight w:val="none"/>
                      <w:lang w:bidi="he-IL"/>
                    </w:rPr>
                  </w:pPr>
                  <w:r>
                    <w:rPr>
                      <w:rFonts w:hint="eastAsia"/>
                      <w:bCs/>
                      <w:color w:val="auto"/>
                      <w:spacing w:val="-5"/>
                      <w:szCs w:val="21"/>
                      <w:highlight w:val="none"/>
                      <w:lang w:bidi="he-IL"/>
                    </w:rPr>
                    <w:t>15:00-16:00</w:t>
                  </w:r>
                </w:p>
              </w:tc>
              <w:tc>
                <w:tcPr>
                  <w:tcW w:w="1332" w:type="pct"/>
                  <w:vAlign w:val="center"/>
                </w:tcPr>
                <w:p w14:paraId="5BFD6B1F">
                  <w:pPr>
                    <w:jc w:val="center"/>
                    <w:rPr>
                      <w:color w:val="auto"/>
                      <w:spacing w:val="-5"/>
                      <w:szCs w:val="21"/>
                      <w:highlight w:val="none"/>
                      <w:lang w:bidi="he-IL"/>
                    </w:rPr>
                  </w:pPr>
                  <w:r>
                    <w:rPr>
                      <w:rFonts w:hint="eastAsia"/>
                      <w:color w:val="auto"/>
                      <w:spacing w:val="-5"/>
                      <w:szCs w:val="21"/>
                      <w:highlight w:val="none"/>
                      <w:lang w:bidi="he-IL"/>
                    </w:rPr>
                    <w:t>A26040301Q024</w:t>
                  </w:r>
                </w:p>
              </w:tc>
              <w:tc>
                <w:tcPr>
                  <w:tcW w:w="1092" w:type="pct"/>
                  <w:vAlign w:val="center"/>
                </w:tcPr>
                <w:p w14:paraId="24035EA1">
                  <w:pPr>
                    <w:jc w:val="center"/>
                    <w:rPr>
                      <w:bCs/>
                      <w:color w:val="auto"/>
                      <w:szCs w:val="21"/>
                      <w:highlight w:val="none"/>
                    </w:rPr>
                  </w:pPr>
                  <w:r>
                    <w:rPr>
                      <w:rFonts w:hint="eastAsia"/>
                      <w:bCs/>
                      <w:color w:val="auto"/>
                      <w:szCs w:val="21"/>
                      <w:highlight w:val="none"/>
                    </w:rPr>
                    <w:t>＜0.001</w:t>
                  </w:r>
                </w:p>
              </w:tc>
              <w:tc>
                <w:tcPr>
                  <w:tcW w:w="1084" w:type="pct"/>
                  <w:vAlign w:val="center"/>
                </w:tcPr>
                <w:p w14:paraId="3051FC37">
                  <w:pPr>
                    <w:jc w:val="center"/>
                    <w:rPr>
                      <w:bCs/>
                      <w:color w:val="auto"/>
                      <w:szCs w:val="21"/>
                      <w:highlight w:val="none"/>
                    </w:rPr>
                  </w:pPr>
                  <w:r>
                    <w:rPr>
                      <w:rFonts w:hint="eastAsia"/>
                      <w:bCs/>
                      <w:color w:val="auto"/>
                      <w:szCs w:val="21"/>
                      <w:highlight w:val="none"/>
                    </w:rPr>
                    <w:t>10</w:t>
                  </w:r>
                </w:p>
              </w:tc>
            </w:tr>
            <w:tr w14:paraId="380CF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gridSpan w:val="2"/>
                  <w:vAlign w:val="center"/>
                </w:tcPr>
                <w:p w14:paraId="0A469388">
                  <w:pPr>
                    <w:jc w:val="center"/>
                    <w:rPr>
                      <w:bCs/>
                      <w:color w:val="auto"/>
                      <w:szCs w:val="21"/>
                      <w:highlight w:val="none"/>
                    </w:rPr>
                  </w:pPr>
                  <w:r>
                    <w:rPr>
                      <w:rFonts w:hint="eastAsia"/>
                      <w:bCs/>
                      <w:color w:val="auto"/>
                      <w:szCs w:val="21"/>
                      <w:highlight w:val="none"/>
                    </w:rPr>
                    <w:t>备注</w:t>
                  </w:r>
                </w:p>
              </w:tc>
              <w:tc>
                <w:tcPr>
                  <w:tcW w:w="4590" w:type="pct"/>
                  <w:gridSpan w:val="5"/>
                  <w:vAlign w:val="center"/>
                </w:tcPr>
                <w:p w14:paraId="50967B82">
                  <w:pPr>
                    <w:jc w:val="center"/>
                    <w:rPr>
                      <w:color w:val="auto"/>
                      <w:spacing w:val="-5"/>
                      <w:kern w:val="0"/>
                      <w:szCs w:val="21"/>
                      <w:highlight w:val="none"/>
                      <w:lang w:bidi="he-IL"/>
                    </w:rPr>
                  </w:pPr>
                  <w:r>
                    <w:rPr>
                      <w:rFonts w:hint="eastAsia"/>
                      <w:color w:val="auto"/>
                      <w:spacing w:val="-5"/>
                      <w:kern w:val="0"/>
                      <w:szCs w:val="21"/>
                      <w:highlight w:val="none"/>
                      <w:lang w:bidi="he-IL"/>
                    </w:rPr>
                    <w:t>“＜检出限”表示检测结果低于检测方法最低检出限。</w:t>
                  </w:r>
                </w:p>
              </w:tc>
            </w:tr>
          </w:tbl>
          <w:p w14:paraId="65AF99D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kern w:val="0"/>
                <w:sz w:val="24"/>
                <w:highlight w:val="none"/>
              </w:rPr>
            </w:pPr>
            <w:r>
              <w:rPr>
                <w:rFonts w:hint="default" w:ascii="Times New Roman" w:hAnsi="Times New Roman" w:cs="Times New Roman" w:eastAsiaTheme="minorEastAsia"/>
                <w:color w:val="auto"/>
                <w:kern w:val="0"/>
                <w:sz w:val="24"/>
                <w:highlight w:val="none"/>
              </w:rPr>
              <w:t>根据监测数据可知，区域TSP现状质量浓度能达到</w:t>
            </w:r>
            <w:r>
              <w:rPr>
                <w:rFonts w:hint="default" w:ascii="Times New Roman" w:hAnsi="Times New Roman" w:cs="Times New Roman" w:eastAsiaTheme="minorEastAsia"/>
                <w:color w:val="auto"/>
                <w:sz w:val="24"/>
                <w:highlight w:val="none"/>
              </w:rPr>
              <w:t>《环境空气质量标准》（GB3095-2026）过渡阶段浓度限值二级标准</w:t>
            </w:r>
            <w:r>
              <w:rPr>
                <w:rFonts w:hint="default" w:ascii="Times New Roman" w:hAnsi="Times New Roman" w:cs="Times New Roman" w:eastAsiaTheme="minorEastAsia"/>
                <w:color w:val="auto"/>
                <w:kern w:val="0"/>
                <w:sz w:val="24"/>
                <w:highlight w:val="none"/>
              </w:rPr>
              <w:t>的要求，</w:t>
            </w:r>
            <w:r>
              <w:rPr>
                <w:rFonts w:hint="default" w:ascii="Times New Roman" w:hAnsi="Times New Roman" w:cs="Times New Roman" w:eastAsiaTheme="minorEastAsia"/>
                <w:color w:val="auto"/>
                <w:sz w:val="24"/>
                <w:highlight w:val="none"/>
              </w:rPr>
              <w:t>氨气、硫化氢能够达到《环境影响评价技术导则大气环境》（HJ2.2-2018）中附录D表D1相关标准要求</w:t>
            </w:r>
            <w:r>
              <w:rPr>
                <w:rFonts w:hint="default" w:ascii="Times New Roman" w:hAnsi="Times New Roman" w:cs="Times New Roman" w:eastAsiaTheme="minorEastAsia"/>
                <w:color w:val="auto"/>
                <w:kern w:val="0"/>
                <w:sz w:val="24"/>
                <w:highlight w:val="none"/>
              </w:rPr>
              <w:t>。</w:t>
            </w:r>
          </w:p>
          <w:p w14:paraId="1CAEA60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b/>
                <w:bCs/>
                <w:color w:val="auto"/>
                <w:kern w:val="0"/>
                <w:sz w:val="24"/>
                <w:highlight w:val="none"/>
              </w:rPr>
            </w:pPr>
            <w:r>
              <w:rPr>
                <w:rFonts w:hint="default" w:ascii="Times New Roman" w:hAnsi="Times New Roman" w:cs="Times New Roman" w:eastAsiaTheme="minorEastAsia"/>
                <w:b/>
                <w:bCs/>
                <w:color w:val="auto"/>
                <w:kern w:val="0"/>
                <w:sz w:val="24"/>
                <w:highlight w:val="none"/>
              </w:rPr>
              <w:t>2、地表水环境质量现状</w:t>
            </w:r>
          </w:p>
          <w:p w14:paraId="73232B5C">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cs="Times New Roman" w:eastAsiaTheme="minorEastAsia"/>
                <w:b/>
                <w:bCs/>
                <w:color w:val="auto"/>
                <w:kern w:val="0"/>
                <w:sz w:val="24"/>
                <w:highlight w:val="none"/>
              </w:rPr>
            </w:pPr>
            <w:r>
              <w:rPr>
                <w:rFonts w:hint="default" w:ascii="Times New Roman" w:hAnsi="Times New Roman" w:cs="Times New Roman" w:eastAsiaTheme="minorEastAsia"/>
                <w:b/>
                <w:bCs/>
                <w:color w:val="auto"/>
                <w:kern w:val="0"/>
                <w:sz w:val="24"/>
                <w:highlight w:val="none"/>
              </w:rPr>
              <w:t>（1）地表水环境质量标准</w:t>
            </w:r>
          </w:p>
          <w:p w14:paraId="7A1CD03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kern w:val="0"/>
                <w:sz w:val="24"/>
                <w:highlight w:val="none"/>
              </w:rPr>
            </w:pPr>
            <w:r>
              <w:rPr>
                <w:rFonts w:hint="default" w:ascii="Times New Roman" w:hAnsi="Times New Roman" w:cs="Times New Roman" w:eastAsiaTheme="minorEastAsia"/>
                <w:color w:val="auto"/>
                <w:sz w:val="24"/>
                <w:highlight w:val="none"/>
              </w:rPr>
              <w:t>项目所在区域的最近地表水体为东侧约1980m处的牛栏江，由寻甸县河源至沾益县德泽水库坝址，全长161.5km。属长江流域金沙江水系。根据</w:t>
            </w:r>
            <w:bookmarkStart w:id="47" w:name="_Hlk177210907"/>
            <w:r>
              <w:rPr>
                <w:rFonts w:hint="default" w:ascii="Times New Roman" w:hAnsi="Times New Roman" w:cs="Times New Roman" w:eastAsiaTheme="minorEastAsia"/>
                <w:color w:val="auto"/>
                <w:sz w:val="24"/>
                <w:highlight w:val="none"/>
              </w:rPr>
              <w:t>《昆明市和滇中产业新区水功能区划》</w:t>
            </w:r>
            <w:bookmarkEnd w:id="47"/>
            <w:r>
              <w:rPr>
                <w:rFonts w:hint="default" w:ascii="Times New Roman" w:hAnsi="Times New Roman" w:cs="Times New Roman" w:eastAsiaTheme="minorEastAsia"/>
                <w:color w:val="auto"/>
                <w:sz w:val="24"/>
                <w:highlight w:val="none"/>
              </w:rPr>
              <w:t>（2011-2030）年，牛栏江规划水平年水质目标为Ⅲ类，其中七星桥水文站断面执行《地表水环境质量标准》（GB3838-2002）中</w:t>
            </w:r>
            <w:r>
              <w:rPr>
                <w:rFonts w:hint="default" w:ascii="Times New Roman" w:hAnsi="Times New Roman" w:cs="Times New Roman" w:eastAsiaTheme="minorEastAsia"/>
                <w:bCs/>
                <w:color w:val="auto"/>
                <w:sz w:val="24"/>
                <w:highlight w:val="none"/>
              </w:rPr>
              <w:t>Ⅲ</w:t>
            </w:r>
            <w:r>
              <w:rPr>
                <w:rFonts w:hint="default" w:ascii="Times New Roman" w:hAnsi="Times New Roman" w:cs="Times New Roman" w:eastAsiaTheme="minorEastAsia"/>
                <w:color w:val="auto"/>
                <w:sz w:val="24"/>
                <w:highlight w:val="none"/>
              </w:rPr>
              <w:t>类水质标准</w:t>
            </w:r>
            <w:r>
              <w:rPr>
                <w:rFonts w:hint="default" w:ascii="Times New Roman" w:hAnsi="Times New Roman" w:cs="Times New Roman" w:eastAsiaTheme="minorEastAsia"/>
                <w:color w:val="auto"/>
                <w:kern w:val="0"/>
                <w:sz w:val="24"/>
                <w:highlight w:val="none"/>
              </w:rPr>
              <w:t>。</w:t>
            </w:r>
          </w:p>
          <w:p w14:paraId="27434EB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color w:val="auto"/>
                <w:kern w:val="0"/>
                <w:sz w:val="24"/>
                <w:highlight w:val="none"/>
              </w:rPr>
            </w:pPr>
            <w:r>
              <w:rPr>
                <w:rFonts w:hint="default" w:ascii="Times New Roman" w:hAnsi="Times New Roman" w:cs="Times New Roman" w:eastAsiaTheme="minorEastAsia"/>
                <w:color w:val="auto"/>
                <w:kern w:val="0"/>
                <w:sz w:val="24"/>
                <w:highlight w:val="none"/>
              </w:rPr>
              <w:t>标准值见表3-3。</w:t>
            </w:r>
          </w:p>
          <w:p w14:paraId="5C2F009E">
            <w:pPr>
              <w:ind w:firstLine="422" w:firstLineChars="200"/>
              <w:jc w:val="center"/>
              <w:rPr>
                <w:b/>
                <w:color w:val="auto"/>
                <w:kern w:val="0"/>
                <w:szCs w:val="20"/>
                <w:highlight w:val="none"/>
              </w:rPr>
            </w:pPr>
            <w:r>
              <w:rPr>
                <w:b/>
                <w:color w:val="auto"/>
                <w:kern w:val="0"/>
                <w:szCs w:val="20"/>
                <w:highlight w:val="none"/>
              </w:rPr>
              <w:t>表3-3  地表水环境质量标准  单位：mg/L</w:t>
            </w:r>
          </w:p>
          <w:tbl>
            <w:tblPr>
              <w:tblStyle w:val="2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
              <w:gridCol w:w="1452"/>
              <w:gridCol w:w="1060"/>
              <w:gridCol w:w="909"/>
              <w:gridCol w:w="1524"/>
              <w:gridCol w:w="1060"/>
              <w:gridCol w:w="902"/>
            </w:tblGrid>
            <w:tr w14:paraId="2593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2" w:type="pct"/>
                  <w:vAlign w:val="center"/>
                </w:tcPr>
                <w:p w14:paraId="12379434">
                  <w:pPr>
                    <w:autoSpaceDE w:val="0"/>
                    <w:autoSpaceDN w:val="0"/>
                    <w:adjustRightInd w:val="0"/>
                    <w:snapToGrid w:val="0"/>
                    <w:jc w:val="center"/>
                    <w:textAlignment w:val="baseline"/>
                    <w:rPr>
                      <w:b/>
                      <w:bCs/>
                      <w:color w:val="auto"/>
                      <w:szCs w:val="21"/>
                      <w:highlight w:val="none"/>
                    </w:rPr>
                  </w:pPr>
                  <w:r>
                    <w:rPr>
                      <w:b/>
                      <w:bCs/>
                      <w:color w:val="auto"/>
                      <w:szCs w:val="21"/>
                      <w:highlight w:val="none"/>
                    </w:rPr>
                    <w:t>项目</w:t>
                  </w:r>
                </w:p>
              </w:tc>
              <w:tc>
                <w:tcPr>
                  <w:tcW w:w="874" w:type="pct"/>
                  <w:vAlign w:val="center"/>
                </w:tcPr>
                <w:p w14:paraId="793D4A75">
                  <w:pPr>
                    <w:autoSpaceDE w:val="0"/>
                    <w:autoSpaceDN w:val="0"/>
                    <w:adjustRightInd w:val="0"/>
                    <w:snapToGrid w:val="0"/>
                    <w:jc w:val="center"/>
                    <w:textAlignment w:val="baseline"/>
                    <w:rPr>
                      <w:b/>
                      <w:bCs/>
                      <w:color w:val="auto"/>
                      <w:szCs w:val="21"/>
                      <w:highlight w:val="none"/>
                    </w:rPr>
                  </w:pPr>
                  <w:r>
                    <w:rPr>
                      <w:b/>
                      <w:bCs/>
                      <w:color w:val="auto"/>
                      <w:szCs w:val="21"/>
                      <w:highlight w:val="none"/>
                    </w:rPr>
                    <w:t>pH（无量纲）</w:t>
                  </w:r>
                </w:p>
              </w:tc>
              <w:tc>
                <w:tcPr>
                  <w:tcW w:w="638" w:type="pct"/>
                  <w:vAlign w:val="center"/>
                </w:tcPr>
                <w:p w14:paraId="3F5E53DA">
                  <w:pPr>
                    <w:autoSpaceDE w:val="0"/>
                    <w:autoSpaceDN w:val="0"/>
                    <w:adjustRightInd w:val="0"/>
                    <w:snapToGrid w:val="0"/>
                    <w:jc w:val="center"/>
                    <w:textAlignment w:val="baseline"/>
                    <w:rPr>
                      <w:b/>
                      <w:bCs/>
                      <w:color w:val="auto"/>
                      <w:szCs w:val="21"/>
                      <w:highlight w:val="none"/>
                    </w:rPr>
                  </w:pPr>
                  <w:r>
                    <w:rPr>
                      <w:b/>
                      <w:bCs/>
                      <w:color w:val="auto"/>
                      <w:szCs w:val="21"/>
                      <w:highlight w:val="none"/>
                    </w:rPr>
                    <w:t>COD</w:t>
                  </w:r>
                  <w:r>
                    <w:rPr>
                      <w:b/>
                      <w:bCs/>
                      <w:color w:val="auto"/>
                      <w:szCs w:val="21"/>
                      <w:highlight w:val="none"/>
                      <w:vertAlign w:val="subscript"/>
                    </w:rPr>
                    <w:t>Cr</w:t>
                  </w:r>
                </w:p>
              </w:tc>
              <w:tc>
                <w:tcPr>
                  <w:tcW w:w="547" w:type="pct"/>
                  <w:vAlign w:val="center"/>
                </w:tcPr>
                <w:p w14:paraId="20C3BB06">
                  <w:pPr>
                    <w:autoSpaceDE w:val="0"/>
                    <w:autoSpaceDN w:val="0"/>
                    <w:adjustRightInd w:val="0"/>
                    <w:snapToGrid w:val="0"/>
                    <w:jc w:val="center"/>
                    <w:textAlignment w:val="baseline"/>
                    <w:rPr>
                      <w:b/>
                      <w:bCs/>
                      <w:color w:val="auto"/>
                      <w:szCs w:val="21"/>
                      <w:highlight w:val="none"/>
                    </w:rPr>
                  </w:pPr>
                  <w:r>
                    <w:rPr>
                      <w:b/>
                      <w:bCs/>
                      <w:color w:val="auto"/>
                      <w:szCs w:val="21"/>
                      <w:highlight w:val="none"/>
                    </w:rPr>
                    <w:t>BOD</w:t>
                  </w:r>
                  <w:r>
                    <w:rPr>
                      <w:b/>
                      <w:bCs/>
                      <w:color w:val="auto"/>
                      <w:szCs w:val="21"/>
                      <w:highlight w:val="none"/>
                      <w:vertAlign w:val="subscript"/>
                    </w:rPr>
                    <w:t>5</w:t>
                  </w:r>
                </w:p>
              </w:tc>
              <w:tc>
                <w:tcPr>
                  <w:tcW w:w="917" w:type="pct"/>
                  <w:vAlign w:val="center"/>
                </w:tcPr>
                <w:p w14:paraId="0FEA8D14">
                  <w:pPr>
                    <w:autoSpaceDE w:val="0"/>
                    <w:autoSpaceDN w:val="0"/>
                    <w:adjustRightInd w:val="0"/>
                    <w:snapToGrid w:val="0"/>
                    <w:jc w:val="center"/>
                    <w:textAlignment w:val="baseline"/>
                    <w:rPr>
                      <w:b/>
                      <w:bCs/>
                      <w:color w:val="auto"/>
                      <w:szCs w:val="21"/>
                      <w:highlight w:val="none"/>
                    </w:rPr>
                  </w:pPr>
                  <w:r>
                    <w:rPr>
                      <w:b/>
                      <w:bCs/>
                      <w:color w:val="auto"/>
                      <w:szCs w:val="21"/>
                      <w:highlight w:val="none"/>
                    </w:rPr>
                    <w:t>总磷</w:t>
                  </w:r>
                </w:p>
              </w:tc>
              <w:tc>
                <w:tcPr>
                  <w:tcW w:w="638" w:type="pct"/>
                  <w:vAlign w:val="center"/>
                </w:tcPr>
                <w:p w14:paraId="3432FF13">
                  <w:pPr>
                    <w:autoSpaceDE w:val="0"/>
                    <w:autoSpaceDN w:val="0"/>
                    <w:adjustRightInd w:val="0"/>
                    <w:snapToGrid w:val="0"/>
                    <w:jc w:val="center"/>
                    <w:textAlignment w:val="baseline"/>
                    <w:rPr>
                      <w:b/>
                      <w:bCs/>
                      <w:color w:val="auto"/>
                      <w:szCs w:val="21"/>
                      <w:highlight w:val="none"/>
                    </w:rPr>
                  </w:pPr>
                  <w:r>
                    <w:rPr>
                      <w:b/>
                      <w:bCs/>
                      <w:color w:val="auto"/>
                      <w:szCs w:val="21"/>
                      <w:highlight w:val="none"/>
                    </w:rPr>
                    <w:t>石油类</w:t>
                  </w:r>
                </w:p>
              </w:tc>
              <w:tc>
                <w:tcPr>
                  <w:tcW w:w="542" w:type="pct"/>
                  <w:vAlign w:val="center"/>
                </w:tcPr>
                <w:p w14:paraId="23704855">
                  <w:pPr>
                    <w:autoSpaceDE w:val="0"/>
                    <w:autoSpaceDN w:val="0"/>
                    <w:adjustRightInd w:val="0"/>
                    <w:snapToGrid w:val="0"/>
                    <w:jc w:val="center"/>
                    <w:textAlignment w:val="baseline"/>
                    <w:rPr>
                      <w:b/>
                      <w:bCs/>
                      <w:color w:val="auto"/>
                      <w:szCs w:val="21"/>
                      <w:highlight w:val="none"/>
                    </w:rPr>
                  </w:pPr>
                  <w:r>
                    <w:rPr>
                      <w:b/>
                      <w:bCs/>
                      <w:color w:val="auto"/>
                      <w:szCs w:val="21"/>
                      <w:highlight w:val="none"/>
                    </w:rPr>
                    <w:t>氨氮</w:t>
                  </w:r>
                </w:p>
              </w:tc>
            </w:tr>
            <w:tr w14:paraId="59029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2" w:type="pct"/>
                  <w:vAlign w:val="center"/>
                </w:tcPr>
                <w:p w14:paraId="2BDB1AA0">
                  <w:pPr>
                    <w:autoSpaceDE w:val="0"/>
                    <w:autoSpaceDN w:val="0"/>
                    <w:adjustRightInd w:val="0"/>
                    <w:snapToGrid w:val="0"/>
                    <w:jc w:val="center"/>
                    <w:textAlignment w:val="baseline"/>
                    <w:rPr>
                      <w:color w:val="auto"/>
                      <w:szCs w:val="21"/>
                      <w:highlight w:val="none"/>
                    </w:rPr>
                  </w:pPr>
                  <w:r>
                    <w:rPr>
                      <w:color w:val="auto"/>
                      <w:szCs w:val="21"/>
                      <w:highlight w:val="none"/>
                    </w:rPr>
                    <w:t>Ⅲ标准值</w:t>
                  </w:r>
                </w:p>
              </w:tc>
              <w:tc>
                <w:tcPr>
                  <w:tcW w:w="874" w:type="pct"/>
                  <w:vAlign w:val="center"/>
                </w:tcPr>
                <w:p w14:paraId="0F994405">
                  <w:pPr>
                    <w:autoSpaceDE w:val="0"/>
                    <w:autoSpaceDN w:val="0"/>
                    <w:adjustRightInd w:val="0"/>
                    <w:snapToGrid w:val="0"/>
                    <w:jc w:val="center"/>
                    <w:textAlignment w:val="baseline"/>
                    <w:rPr>
                      <w:color w:val="auto"/>
                      <w:szCs w:val="21"/>
                      <w:highlight w:val="none"/>
                    </w:rPr>
                  </w:pPr>
                  <w:r>
                    <w:rPr>
                      <w:color w:val="auto"/>
                      <w:szCs w:val="21"/>
                      <w:highlight w:val="none"/>
                    </w:rPr>
                    <w:t>6～9</w:t>
                  </w:r>
                </w:p>
              </w:tc>
              <w:tc>
                <w:tcPr>
                  <w:tcW w:w="638" w:type="pct"/>
                  <w:vAlign w:val="center"/>
                </w:tcPr>
                <w:p w14:paraId="05D329C5">
                  <w:pPr>
                    <w:autoSpaceDE w:val="0"/>
                    <w:autoSpaceDN w:val="0"/>
                    <w:adjustRightInd w:val="0"/>
                    <w:snapToGrid w:val="0"/>
                    <w:jc w:val="center"/>
                    <w:textAlignment w:val="baseline"/>
                    <w:rPr>
                      <w:color w:val="auto"/>
                      <w:szCs w:val="21"/>
                      <w:highlight w:val="none"/>
                    </w:rPr>
                  </w:pPr>
                  <w:r>
                    <w:rPr>
                      <w:color w:val="auto"/>
                      <w:szCs w:val="21"/>
                      <w:highlight w:val="none"/>
                    </w:rPr>
                    <w:t>≤20</w:t>
                  </w:r>
                </w:p>
              </w:tc>
              <w:tc>
                <w:tcPr>
                  <w:tcW w:w="547" w:type="pct"/>
                  <w:vAlign w:val="center"/>
                </w:tcPr>
                <w:p w14:paraId="10F615A7">
                  <w:pPr>
                    <w:autoSpaceDE w:val="0"/>
                    <w:autoSpaceDN w:val="0"/>
                    <w:adjustRightInd w:val="0"/>
                    <w:snapToGrid w:val="0"/>
                    <w:jc w:val="center"/>
                    <w:textAlignment w:val="baseline"/>
                    <w:rPr>
                      <w:color w:val="auto"/>
                      <w:szCs w:val="21"/>
                      <w:highlight w:val="none"/>
                    </w:rPr>
                  </w:pPr>
                  <w:r>
                    <w:rPr>
                      <w:color w:val="auto"/>
                      <w:szCs w:val="21"/>
                      <w:highlight w:val="none"/>
                    </w:rPr>
                    <w:t>≤4</w:t>
                  </w:r>
                </w:p>
              </w:tc>
              <w:tc>
                <w:tcPr>
                  <w:tcW w:w="917" w:type="pct"/>
                  <w:vAlign w:val="center"/>
                </w:tcPr>
                <w:p w14:paraId="4BA96C27">
                  <w:pPr>
                    <w:autoSpaceDE w:val="0"/>
                    <w:autoSpaceDN w:val="0"/>
                    <w:adjustRightInd w:val="0"/>
                    <w:snapToGrid w:val="0"/>
                    <w:jc w:val="center"/>
                    <w:textAlignment w:val="baseline"/>
                    <w:rPr>
                      <w:color w:val="auto"/>
                      <w:szCs w:val="21"/>
                      <w:highlight w:val="none"/>
                    </w:rPr>
                  </w:pPr>
                  <w:r>
                    <w:rPr>
                      <w:color w:val="auto"/>
                      <w:szCs w:val="21"/>
                      <w:highlight w:val="none"/>
                    </w:rPr>
                    <w:t>≤0.2</w:t>
                  </w:r>
                </w:p>
                <w:p w14:paraId="3DA6EEC2">
                  <w:pPr>
                    <w:autoSpaceDE w:val="0"/>
                    <w:autoSpaceDN w:val="0"/>
                    <w:adjustRightInd w:val="0"/>
                    <w:snapToGrid w:val="0"/>
                    <w:jc w:val="center"/>
                    <w:textAlignment w:val="baseline"/>
                    <w:rPr>
                      <w:color w:val="auto"/>
                      <w:szCs w:val="21"/>
                      <w:highlight w:val="none"/>
                    </w:rPr>
                  </w:pPr>
                  <w:r>
                    <w:rPr>
                      <w:color w:val="auto"/>
                      <w:szCs w:val="21"/>
                      <w:highlight w:val="none"/>
                    </w:rPr>
                    <w:t>（湖、库0.05）</w:t>
                  </w:r>
                </w:p>
              </w:tc>
              <w:tc>
                <w:tcPr>
                  <w:tcW w:w="638" w:type="pct"/>
                  <w:vAlign w:val="center"/>
                </w:tcPr>
                <w:p w14:paraId="4822531B">
                  <w:pPr>
                    <w:autoSpaceDE w:val="0"/>
                    <w:autoSpaceDN w:val="0"/>
                    <w:adjustRightInd w:val="0"/>
                    <w:snapToGrid w:val="0"/>
                    <w:jc w:val="center"/>
                    <w:textAlignment w:val="baseline"/>
                    <w:rPr>
                      <w:color w:val="auto"/>
                      <w:szCs w:val="21"/>
                      <w:highlight w:val="none"/>
                    </w:rPr>
                  </w:pPr>
                  <w:r>
                    <w:rPr>
                      <w:color w:val="auto"/>
                      <w:szCs w:val="21"/>
                      <w:highlight w:val="none"/>
                    </w:rPr>
                    <w:t>≤0.05</w:t>
                  </w:r>
                </w:p>
              </w:tc>
              <w:tc>
                <w:tcPr>
                  <w:tcW w:w="542" w:type="pct"/>
                  <w:vAlign w:val="center"/>
                </w:tcPr>
                <w:p w14:paraId="67DB0959">
                  <w:pPr>
                    <w:autoSpaceDE w:val="0"/>
                    <w:autoSpaceDN w:val="0"/>
                    <w:adjustRightInd w:val="0"/>
                    <w:snapToGrid w:val="0"/>
                    <w:jc w:val="center"/>
                    <w:textAlignment w:val="baseline"/>
                    <w:rPr>
                      <w:color w:val="auto"/>
                      <w:szCs w:val="21"/>
                      <w:highlight w:val="none"/>
                    </w:rPr>
                  </w:pPr>
                  <w:r>
                    <w:rPr>
                      <w:color w:val="auto"/>
                      <w:szCs w:val="21"/>
                      <w:highlight w:val="none"/>
                    </w:rPr>
                    <w:t>≤1.0</w:t>
                  </w:r>
                </w:p>
              </w:tc>
            </w:tr>
            <w:tr w14:paraId="4770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2" w:type="pct"/>
                  <w:vAlign w:val="center"/>
                </w:tcPr>
                <w:p w14:paraId="52E7D605">
                  <w:pPr>
                    <w:autoSpaceDE w:val="0"/>
                    <w:autoSpaceDN w:val="0"/>
                    <w:adjustRightInd w:val="0"/>
                    <w:snapToGrid w:val="0"/>
                    <w:jc w:val="center"/>
                    <w:textAlignment w:val="baseline"/>
                    <w:rPr>
                      <w:b/>
                      <w:bCs/>
                      <w:color w:val="auto"/>
                      <w:szCs w:val="21"/>
                      <w:highlight w:val="none"/>
                    </w:rPr>
                  </w:pPr>
                  <w:r>
                    <w:rPr>
                      <w:b/>
                      <w:bCs/>
                      <w:color w:val="auto"/>
                      <w:szCs w:val="21"/>
                      <w:highlight w:val="none"/>
                    </w:rPr>
                    <w:t>项目</w:t>
                  </w:r>
                </w:p>
              </w:tc>
              <w:tc>
                <w:tcPr>
                  <w:tcW w:w="874" w:type="pct"/>
                  <w:vAlign w:val="center"/>
                </w:tcPr>
                <w:p w14:paraId="230A61EC">
                  <w:pPr>
                    <w:autoSpaceDE w:val="0"/>
                    <w:autoSpaceDN w:val="0"/>
                    <w:adjustRightInd w:val="0"/>
                    <w:snapToGrid w:val="0"/>
                    <w:jc w:val="center"/>
                    <w:textAlignment w:val="baseline"/>
                    <w:rPr>
                      <w:b/>
                      <w:bCs/>
                      <w:color w:val="auto"/>
                      <w:szCs w:val="21"/>
                      <w:highlight w:val="none"/>
                    </w:rPr>
                  </w:pPr>
                  <w:r>
                    <w:rPr>
                      <w:b/>
                      <w:bCs/>
                      <w:color w:val="auto"/>
                      <w:szCs w:val="21"/>
                      <w:highlight w:val="none"/>
                    </w:rPr>
                    <w:t>汞</w:t>
                  </w:r>
                </w:p>
              </w:tc>
              <w:tc>
                <w:tcPr>
                  <w:tcW w:w="638" w:type="pct"/>
                  <w:vAlign w:val="center"/>
                </w:tcPr>
                <w:p w14:paraId="605B67FC">
                  <w:pPr>
                    <w:autoSpaceDE w:val="0"/>
                    <w:autoSpaceDN w:val="0"/>
                    <w:adjustRightInd w:val="0"/>
                    <w:snapToGrid w:val="0"/>
                    <w:jc w:val="center"/>
                    <w:textAlignment w:val="baseline"/>
                    <w:rPr>
                      <w:b/>
                      <w:bCs/>
                      <w:color w:val="auto"/>
                      <w:szCs w:val="21"/>
                      <w:highlight w:val="none"/>
                    </w:rPr>
                  </w:pPr>
                  <w:r>
                    <w:rPr>
                      <w:b/>
                      <w:bCs/>
                      <w:color w:val="auto"/>
                      <w:szCs w:val="21"/>
                      <w:highlight w:val="none"/>
                    </w:rPr>
                    <w:t>砷</w:t>
                  </w:r>
                </w:p>
              </w:tc>
              <w:tc>
                <w:tcPr>
                  <w:tcW w:w="547" w:type="pct"/>
                  <w:vAlign w:val="center"/>
                </w:tcPr>
                <w:p w14:paraId="2DB112CD">
                  <w:pPr>
                    <w:autoSpaceDE w:val="0"/>
                    <w:autoSpaceDN w:val="0"/>
                    <w:adjustRightInd w:val="0"/>
                    <w:snapToGrid w:val="0"/>
                    <w:jc w:val="center"/>
                    <w:textAlignment w:val="baseline"/>
                    <w:rPr>
                      <w:b/>
                      <w:bCs/>
                      <w:color w:val="auto"/>
                      <w:szCs w:val="21"/>
                      <w:highlight w:val="none"/>
                    </w:rPr>
                  </w:pPr>
                  <w:r>
                    <w:rPr>
                      <w:b/>
                      <w:bCs/>
                      <w:color w:val="auto"/>
                      <w:szCs w:val="21"/>
                      <w:highlight w:val="none"/>
                    </w:rPr>
                    <w:t>六价铬</w:t>
                  </w:r>
                </w:p>
              </w:tc>
              <w:tc>
                <w:tcPr>
                  <w:tcW w:w="917" w:type="pct"/>
                  <w:vAlign w:val="center"/>
                </w:tcPr>
                <w:p w14:paraId="7D2B1DA8">
                  <w:pPr>
                    <w:autoSpaceDE w:val="0"/>
                    <w:autoSpaceDN w:val="0"/>
                    <w:adjustRightInd w:val="0"/>
                    <w:snapToGrid w:val="0"/>
                    <w:jc w:val="center"/>
                    <w:textAlignment w:val="baseline"/>
                    <w:rPr>
                      <w:b/>
                      <w:bCs/>
                      <w:color w:val="auto"/>
                      <w:szCs w:val="21"/>
                      <w:highlight w:val="none"/>
                    </w:rPr>
                  </w:pPr>
                  <w:r>
                    <w:rPr>
                      <w:b/>
                      <w:bCs/>
                      <w:color w:val="auto"/>
                      <w:szCs w:val="21"/>
                      <w:highlight w:val="none"/>
                    </w:rPr>
                    <w:t>铁</w:t>
                  </w:r>
                </w:p>
              </w:tc>
              <w:tc>
                <w:tcPr>
                  <w:tcW w:w="638" w:type="pct"/>
                  <w:vAlign w:val="center"/>
                </w:tcPr>
                <w:p w14:paraId="7A1DB867">
                  <w:pPr>
                    <w:autoSpaceDE w:val="0"/>
                    <w:autoSpaceDN w:val="0"/>
                    <w:adjustRightInd w:val="0"/>
                    <w:snapToGrid w:val="0"/>
                    <w:jc w:val="center"/>
                    <w:textAlignment w:val="baseline"/>
                    <w:rPr>
                      <w:b/>
                      <w:bCs/>
                      <w:color w:val="auto"/>
                      <w:szCs w:val="21"/>
                      <w:highlight w:val="none"/>
                    </w:rPr>
                  </w:pPr>
                  <w:r>
                    <w:rPr>
                      <w:b/>
                      <w:bCs/>
                      <w:color w:val="auto"/>
                      <w:szCs w:val="21"/>
                      <w:highlight w:val="none"/>
                    </w:rPr>
                    <w:t>铅</w:t>
                  </w:r>
                </w:p>
              </w:tc>
              <w:tc>
                <w:tcPr>
                  <w:tcW w:w="542" w:type="pct"/>
                  <w:vAlign w:val="center"/>
                </w:tcPr>
                <w:p w14:paraId="613849B7">
                  <w:pPr>
                    <w:autoSpaceDE w:val="0"/>
                    <w:autoSpaceDN w:val="0"/>
                    <w:adjustRightInd w:val="0"/>
                    <w:snapToGrid w:val="0"/>
                    <w:jc w:val="center"/>
                    <w:textAlignment w:val="baseline"/>
                    <w:rPr>
                      <w:b/>
                      <w:bCs/>
                      <w:color w:val="auto"/>
                      <w:szCs w:val="21"/>
                      <w:highlight w:val="none"/>
                    </w:rPr>
                  </w:pPr>
                  <w:r>
                    <w:rPr>
                      <w:b/>
                      <w:bCs/>
                      <w:color w:val="auto"/>
                      <w:szCs w:val="21"/>
                      <w:highlight w:val="none"/>
                    </w:rPr>
                    <w:t>锰</w:t>
                  </w:r>
                </w:p>
              </w:tc>
            </w:tr>
            <w:tr w14:paraId="479BF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2" w:type="pct"/>
                  <w:vAlign w:val="center"/>
                </w:tcPr>
                <w:p w14:paraId="523CA086">
                  <w:pPr>
                    <w:autoSpaceDE w:val="0"/>
                    <w:autoSpaceDN w:val="0"/>
                    <w:adjustRightInd w:val="0"/>
                    <w:snapToGrid w:val="0"/>
                    <w:jc w:val="center"/>
                    <w:textAlignment w:val="baseline"/>
                    <w:rPr>
                      <w:color w:val="auto"/>
                      <w:szCs w:val="21"/>
                      <w:highlight w:val="none"/>
                    </w:rPr>
                  </w:pPr>
                  <w:r>
                    <w:rPr>
                      <w:color w:val="auto"/>
                      <w:szCs w:val="21"/>
                      <w:highlight w:val="none"/>
                    </w:rPr>
                    <w:t>Ⅲ标准值</w:t>
                  </w:r>
                </w:p>
              </w:tc>
              <w:tc>
                <w:tcPr>
                  <w:tcW w:w="874" w:type="pct"/>
                  <w:vAlign w:val="center"/>
                </w:tcPr>
                <w:p w14:paraId="7AE70945">
                  <w:pPr>
                    <w:autoSpaceDE w:val="0"/>
                    <w:autoSpaceDN w:val="0"/>
                    <w:adjustRightInd w:val="0"/>
                    <w:snapToGrid w:val="0"/>
                    <w:jc w:val="center"/>
                    <w:textAlignment w:val="baseline"/>
                    <w:rPr>
                      <w:color w:val="auto"/>
                      <w:szCs w:val="21"/>
                      <w:highlight w:val="none"/>
                    </w:rPr>
                  </w:pPr>
                  <w:r>
                    <w:rPr>
                      <w:color w:val="auto"/>
                      <w:szCs w:val="21"/>
                      <w:highlight w:val="none"/>
                    </w:rPr>
                    <w:t>≤0.0001</w:t>
                  </w:r>
                </w:p>
              </w:tc>
              <w:tc>
                <w:tcPr>
                  <w:tcW w:w="638" w:type="pct"/>
                  <w:vAlign w:val="center"/>
                </w:tcPr>
                <w:p w14:paraId="0C5B9F0B">
                  <w:pPr>
                    <w:autoSpaceDE w:val="0"/>
                    <w:autoSpaceDN w:val="0"/>
                    <w:adjustRightInd w:val="0"/>
                    <w:snapToGrid w:val="0"/>
                    <w:jc w:val="center"/>
                    <w:textAlignment w:val="baseline"/>
                    <w:rPr>
                      <w:color w:val="auto"/>
                      <w:szCs w:val="21"/>
                      <w:highlight w:val="none"/>
                    </w:rPr>
                  </w:pPr>
                  <w:r>
                    <w:rPr>
                      <w:color w:val="auto"/>
                      <w:szCs w:val="21"/>
                      <w:highlight w:val="none"/>
                    </w:rPr>
                    <w:t>≤0.05</w:t>
                  </w:r>
                </w:p>
              </w:tc>
              <w:tc>
                <w:tcPr>
                  <w:tcW w:w="547" w:type="pct"/>
                  <w:vAlign w:val="center"/>
                </w:tcPr>
                <w:p w14:paraId="31F12FF4">
                  <w:pPr>
                    <w:autoSpaceDE w:val="0"/>
                    <w:autoSpaceDN w:val="0"/>
                    <w:adjustRightInd w:val="0"/>
                    <w:snapToGrid w:val="0"/>
                    <w:jc w:val="center"/>
                    <w:textAlignment w:val="baseline"/>
                    <w:rPr>
                      <w:color w:val="auto"/>
                      <w:szCs w:val="21"/>
                      <w:highlight w:val="none"/>
                    </w:rPr>
                  </w:pPr>
                  <w:r>
                    <w:rPr>
                      <w:color w:val="auto"/>
                      <w:szCs w:val="21"/>
                      <w:highlight w:val="none"/>
                    </w:rPr>
                    <w:t>≤0.05</w:t>
                  </w:r>
                </w:p>
              </w:tc>
              <w:tc>
                <w:tcPr>
                  <w:tcW w:w="917" w:type="pct"/>
                  <w:vAlign w:val="center"/>
                </w:tcPr>
                <w:p w14:paraId="0CC97E02">
                  <w:pPr>
                    <w:autoSpaceDE w:val="0"/>
                    <w:autoSpaceDN w:val="0"/>
                    <w:adjustRightInd w:val="0"/>
                    <w:snapToGrid w:val="0"/>
                    <w:jc w:val="center"/>
                    <w:textAlignment w:val="baseline"/>
                    <w:rPr>
                      <w:color w:val="auto"/>
                      <w:szCs w:val="21"/>
                      <w:highlight w:val="none"/>
                    </w:rPr>
                  </w:pPr>
                  <w:r>
                    <w:rPr>
                      <w:color w:val="auto"/>
                      <w:szCs w:val="21"/>
                      <w:highlight w:val="none"/>
                    </w:rPr>
                    <w:t>≤0.3</w:t>
                  </w:r>
                </w:p>
              </w:tc>
              <w:tc>
                <w:tcPr>
                  <w:tcW w:w="638" w:type="pct"/>
                  <w:vAlign w:val="center"/>
                </w:tcPr>
                <w:p w14:paraId="28F3C874">
                  <w:pPr>
                    <w:autoSpaceDE w:val="0"/>
                    <w:autoSpaceDN w:val="0"/>
                    <w:adjustRightInd w:val="0"/>
                    <w:snapToGrid w:val="0"/>
                    <w:jc w:val="center"/>
                    <w:textAlignment w:val="baseline"/>
                    <w:rPr>
                      <w:color w:val="auto"/>
                      <w:szCs w:val="21"/>
                      <w:highlight w:val="none"/>
                    </w:rPr>
                  </w:pPr>
                  <w:r>
                    <w:rPr>
                      <w:color w:val="auto"/>
                      <w:szCs w:val="21"/>
                      <w:highlight w:val="none"/>
                    </w:rPr>
                    <w:t>≤0.05</w:t>
                  </w:r>
                </w:p>
              </w:tc>
              <w:tc>
                <w:tcPr>
                  <w:tcW w:w="542" w:type="pct"/>
                  <w:vAlign w:val="center"/>
                </w:tcPr>
                <w:p w14:paraId="2B5DC6AF">
                  <w:pPr>
                    <w:autoSpaceDE w:val="0"/>
                    <w:autoSpaceDN w:val="0"/>
                    <w:adjustRightInd w:val="0"/>
                    <w:snapToGrid w:val="0"/>
                    <w:jc w:val="center"/>
                    <w:textAlignment w:val="baseline"/>
                    <w:rPr>
                      <w:color w:val="auto"/>
                      <w:szCs w:val="21"/>
                      <w:highlight w:val="none"/>
                    </w:rPr>
                  </w:pPr>
                  <w:r>
                    <w:rPr>
                      <w:color w:val="auto"/>
                      <w:szCs w:val="21"/>
                      <w:highlight w:val="none"/>
                    </w:rPr>
                    <w:t>≤0.1</w:t>
                  </w:r>
                </w:p>
              </w:tc>
            </w:tr>
            <w:tr w14:paraId="00A76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2" w:type="pct"/>
                  <w:vAlign w:val="center"/>
                </w:tcPr>
                <w:p w14:paraId="459620B3">
                  <w:pPr>
                    <w:autoSpaceDE w:val="0"/>
                    <w:autoSpaceDN w:val="0"/>
                    <w:adjustRightInd w:val="0"/>
                    <w:snapToGrid w:val="0"/>
                    <w:jc w:val="center"/>
                    <w:textAlignment w:val="baseline"/>
                    <w:rPr>
                      <w:b/>
                      <w:bCs/>
                      <w:color w:val="auto"/>
                      <w:szCs w:val="21"/>
                      <w:highlight w:val="none"/>
                    </w:rPr>
                  </w:pPr>
                  <w:r>
                    <w:rPr>
                      <w:b/>
                      <w:bCs/>
                      <w:color w:val="auto"/>
                      <w:szCs w:val="21"/>
                      <w:highlight w:val="none"/>
                    </w:rPr>
                    <w:t>项目</w:t>
                  </w:r>
                </w:p>
              </w:tc>
              <w:tc>
                <w:tcPr>
                  <w:tcW w:w="874" w:type="pct"/>
                  <w:vAlign w:val="center"/>
                </w:tcPr>
                <w:p w14:paraId="2B714839">
                  <w:pPr>
                    <w:autoSpaceDE w:val="0"/>
                    <w:autoSpaceDN w:val="0"/>
                    <w:adjustRightInd w:val="0"/>
                    <w:snapToGrid w:val="0"/>
                    <w:jc w:val="center"/>
                    <w:textAlignment w:val="baseline"/>
                    <w:rPr>
                      <w:b/>
                      <w:bCs/>
                      <w:color w:val="auto"/>
                      <w:szCs w:val="21"/>
                      <w:highlight w:val="none"/>
                    </w:rPr>
                  </w:pPr>
                  <w:r>
                    <w:rPr>
                      <w:b/>
                      <w:bCs/>
                      <w:color w:val="auto"/>
                      <w:szCs w:val="21"/>
                      <w:highlight w:val="none"/>
                    </w:rPr>
                    <w:t>镉</w:t>
                  </w:r>
                </w:p>
              </w:tc>
              <w:tc>
                <w:tcPr>
                  <w:tcW w:w="638" w:type="pct"/>
                  <w:vAlign w:val="center"/>
                </w:tcPr>
                <w:p w14:paraId="33EC7A57">
                  <w:pPr>
                    <w:autoSpaceDE w:val="0"/>
                    <w:autoSpaceDN w:val="0"/>
                    <w:adjustRightInd w:val="0"/>
                    <w:snapToGrid w:val="0"/>
                    <w:jc w:val="center"/>
                    <w:textAlignment w:val="baseline"/>
                    <w:rPr>
                      <w:b/>
                      <w:bCs/>
                      <w:color w:val="auto"/>
                      <w:szCs w:val="21"/>
                      <w:highlight w:val="none"/>
                    </w:rPr>
                  </w:pPr>
                  <w:r>
                    <w:rPr>
                      <w:b/>
                      <w:bCs/>
                      <w:color w:val="auto"/>
                      <w:szCs w:val="21"/>
                      <w:highlight w:val="none"/>
                    </w:rPr>
                    <w:t>锌</w:t>
                  </w:r>
                </w:p>
              </w:tc>
              <w:tc>
                <w:tcPr>
                  <w:tcW w:w="547" w:type="pct"/>
                  <w:vAlign w:val="center"/>
                </w:tcPr>
                <w:p w14:paraId="121E27F6">
                  <w:pPr>
                    <w:autoSpaceDE w:val="0"/>
                    <w:autoSpaceDN w:val="0"/>
                    <w:adjustRightInd w:val="0"/>
                    <w:snapToGrid w:val="0"/>
                    <w:jc w:val="center"/>
                    <w:textAlignment w:val="baseline"/>
                    <w:rPr>
                      <w:b/>
                      <w:bCs/>
                      <w:color w:val="auto"/>
                      <w:szCs w:val="21"/>
                      <w:highlight w:val="none"/>
                    </w:rPr>
                  </w:pPr>
                  <w:r>
                    <w:rPr>
                      <w:b/>
                      <w:bCs/>
                      <w:color w:val="auto"/>
                      <w:szCs w:val="21"/>
                      <w:highlight w:val="none"/>
                    </w:rPr>
                    <w:t>硫化物</w:t>
                  </w:r>
                </w:p>
              </w:tc>
              <w:tc>
                <w:tcPr>
                  <w:tcW w:w="917" w:type="pct"/>
                  <w:vAlign w:val="center"/>
                </w:tcPr>
                <w:p w14:paraId="29EFBF5E">
                  <w:pPr>
                    <w:autoSpaceDE w:val="0"/>
                    <w:autoSpaceDN w:val="0"/>
                    <w:adjustRightInd w:val="0"/>
                    <w:snapToGrid w:val="0"/>
                    <w:jc w:val="center"/>
                    <w:textAlignment w:val="baseline"/>
                    <w:rPr>
                      <w:b/>
                      <w:bCs/>
                      <w:color w:val="auto"/>
                      <w:szCs w:val="21"/>
                      <w:highlight w:val="none"/>
                    </w:rPr>
                  </w:pPr>
                  <w:r>
                    <w:rPr>
                      <w:b/>
                      <w:bCs/>
                      <w:color w:val="auto"/>
                      <w:szCs w:val="21"/>
                      <w:highlight w:val="none"/>
                    </w:rPr>
                    <w:t>氟化物</w:t>
                  </w:r>
                </w:p>
              </w:tc>
              <w:tc>
                <w:tcPr>
                  <w:tcW w:w="638" w:type="pct"/>
                  <w:vAlign w:val="center"/>
                </w:tcPr>
                <w:p w14:paraId="6D8D390F">
                  <w:pPr>
                    <w:autoSpaceDE w:val="0"/>
                    <w:autoSpaceDN w:val="0"/>
                    <w:adjustRightInd w:val="0"/>
                    <w:snapToGrid w:val="0"/>
                    <w:jc w:val="center"/>
                    <w:textAlignment w:val="baseline"/>
                    <w:rPr>
                      <w:b/>
                      <w:bCs/>
                      <w:color w:val="auto"/>
                      <w:szCs w:val="21"/>
                      <w:highlight w:val="none"/>
                    </w:rPr>
                  </w:pPr>
                </w:p>
              </w:tc>
              <w:tc>
                <w:tcPr>
                  <w:tcW w:w="542" w:type="pct"/>
                  <w:vAlign w:val="center"/>
                </w:tcPr>
                <w:p w14:paraId="5DD2F254">
                  <w:pPr>
                    <w:autoSpaceDE w:val="0"/>
                    <w:autoSpaceDN w:val="0"/>
                    <w:adjustRightInd w:val="0"/>
                    <w:snapToGrid w:val="0"/>
                    <w:jc w:val="center"/>
                    <w:textAlignment w:val="baseline"/>
                    <w:rPr>
                      <w:b/>
                      <w:bCs/>
                      <w:color w:val="auto"/>
                      <w:szCs w:val="21"/>
                      <w:highlight w:val="none"/>
                    </w:rPr>
                  </w:pPr>
                </w:p>
              </w:tc>
            </w:tr>
            <w:tr w14:paraId="42297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2" w:type="pct"/>
                  <w:vAlign w:val="center"/>
                </w:tcPr>
                <w:p w14:paraId="30281C63">
                  <w:pPr>
                    <w:autoSpaceDE w:val="0"/>
                    <w:autoSpaceDN w:val="0"/>
                    <w:adjustRightInd w:val="0"/>
                    <w:snapToGrid w:val="0"/>
                    <w:jc w:val="center"/>
                    <w:textAlignment w:val="baseline"/>
                    <w:rPr>
                      <w:color w:val="auto"/>
                      <w:szCs w:val="21"/>
                      <w:highlight w:val="none"/>
                    </w:rPr>
                  </w:pPr>
                  <w:r>
                    <w:rPr>
                      <w:color w:val="auto"/>
                      <w:szCs w:val="21"/>
                      <w:highlight w:val="none"/>
                    </w:rPr>
                    <w:t>Ⅲ标准值</w:t>
                  </w:r>
                </w:p>
              </w:tc>
              <w:tc>
                <w:tcPr>
                  <w:tcW w:w="874" w:type="pct"/>
                  <w:vAlign w:val="center"/>
                </w:tcPr>
                <w:p w14:paraId="0DD5C495">
                  <w:pPr>
                    <w:autoSpaceDE w:val="0"/>
                    <w:autoSpaceDN w:val="0"/>
                    <w:adjustRightInd w:val="0"/>
                    <w:snapToGrid w:val="0"/>
                    <w:jc w:val="center"/>
                    <w:textAlignment w:val="baseline"/>
                    <w:rPr>
                      <w:color w:val="auto"/>
                      <w:szCs w:val="21"/>
                      <w:highlight w:val="none"/>
                    </w:rPr>
                  </w:pPr>
                  <w:r>
                    <w:rPr>
                      <w:color w:val="auto"/>
                      <w:szCs w:val="21"/>
                      <w:highlight w:val="none"/>
                    </w:rPr>
                    <w:t>≤0.005</w:t>
                  </w:r>
                </w:p>
              </w:tc>
              <w:tc>
                <w:tcPr>
                  <w:tcW w:w="638" w:type="pct"/>
                  <w:vAlign w:val="center"/>
                </w:tcPr>
                <w:p w14:paraId="5CE33319">
                  <w:pPr>
                    <w:autoSpaceDE w:val="0"/>
                    <w:autoSpaceDN w:val="0"/>
                    <w:adjustRightInd w:val="0"/>
                    <w:snapToGrid w:val="0"/>
                    <w:jc w:val="center"/>
                    <w:textAlignment w:val="baseline"/>
                    <w:rPr>
                      <w:color w:val="auto"/>
                      <w:szCs w:val="21"/>
                      <w:highlight w:val="none"/>
                    </w:rPr>
                  </w:pPr>
                  <w:r>
                    <w:rPr>
                      <w:color w:val="auto"/>
                      <w:szCs w:val="21"/>
                      <w:highlight w:val="none"/>
                    </w:rPr>
                    <w:t>≤1.0</w:t>
                  </w:r>
                </w:p>
              </w:tc>
              <w:tc>
                <w:tcPr>
                  <w:tcW w:w="547" w:type="pct"/>
                  <w:vAlign w:val="center"/>
                </w:tcPr>
                <w:p w14:paraId="132C39A9">
                  <w:pPr>
                    <w:autoSpaceDE w:val="0"/>
                    <w:autoSpaceDN w:val="0"/>
                    <w:adjustRightInd w:val="0"/>
                    <w:snapToGrid w:val="0"/>
                    <w:jc w:val="center"/>
                    <w:textAlignment w:val="baseline"/>
                    <w:rPr>
                      <w:color w:val="auto"/>
                      <w:szCs w:val="21"/>
                      <w:highlight w:val="none"/>
                    </w:rPr>
                  </w:pPr>
                  <w:r>
                    <w:rPr>
                      <w:color w:val="auto"/>
                      <w:szCs w:val="21"/>
                      <w:highlight w:val="none"/>
                    </w:rPr>
                    <w:t>≤0.2</w:t>
                  </w:r>
                </w:p>
              </w:tc>
              <w:tc>
                <w:tcPr>
                  <w:tcW w:w="917" w:type="pct"/>
                  <w:vAlign w:val="center"/>
                </w:tcPr>
                <w:p w14:paraId="22ACD606">
                  <w:pPr>
                    <w:autoSpaceDE w:val="0"/>
                    <w:autoSpaceDN w:val="0"/>
                    <w:adjustRightInd w:val="0"/>
                    <w:snapToGrid w:val="0"/>
                    <w:jc w:val="center"/>
                    <w:textAlignment w:val="baseline"/>
                    <w:rPr>
                      <w:color w:val="auto"/>
                      <w:szCs w:val="21"/>
                      <w:highlight w:val="none"/>
                    </w:rPr>
                  </w:pPr>
                  <w:r>
                    <w:rPr>
                      <w:color w:val="auto"/>
                      <w:szCs w:val="21"/>
                      <w:highlight w:val="none"/>
                    </w:rPr>
                    <w:t>≤1.0</w:t>
                  </w:r>
                </w:p>
              </w:tc>
              <w:tc>
                <w:tcPr>
                  <w:tcW w:w="638" w:type="pct"/>
                  <w:vAlign w:val="center"/>
                </w:tcPr>
                <w:p w14:paraId="5B9B5E8C">
                  <w:pPr>
                    <w:autoSpaceDE w:val="0"/>
                    <w:autoSpaceDN w:val="0"/>
                    <w:adjustRightInd w:val="0"/>
                    <w:snapToGrid w:val="0"/>
                    <w:jc w:val="center"/>
                    <w:textAlignment w:val="baseline"/>
                    <w:rPr>
                      <w:color w:val="auto"/>
                      <w:szCs w:val="21"/>
                      <w:highlight w:val="none"/>
                    </w:rPr>
                  </w:pPr>
                </w:p>
              </w:tc>
              <w:tc>
                <w:tcPr>
                  <w:tcW w:w="542" w:type="pct"/>
                  <w:vAlign w:val="center"/>
                </w:tcPr>
                <w:p w14:paraId="72870DCD">
                  <w:pPr>
                    <w:autoSpaceDE w:val="0"/>
                    <w:autoSpaceDN w:val="0"/>
                    <w:adjustRightInd w:val="0"/>
                    <w:snapToGrid w:val="0"/>
                    <w:jc w:val="center"/>
                    <w:textAlignment w:val="baseline"/>
                    <w:rPr>
                      <w:color w:val="auto"/>
                      <w:szCs w:val="21"/>
                      <w:highlight w:val="none"/>
                    </w:rPr>
                  </w:pPr>
                </w:p>
              </w:tc>
            </w:tr>
          </w:tbl>
          <w:p w14:paraId="4B96049C">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b/>
                <w:bCs/>
                <w:color w:val="auto"/>
                <w:kern w:val="0"/>
                <w:sz w:val="24"/>
                <w:highlight w:val="none"/>
              </w:rPr>
            </w:pPr>
            <w:r>
              <w:rPr>
                <w:rFonts w:hint="eastAsia"/>
                <w:b/>
                <w:bCs/>
                <w:color w:val="auto"/>
                <w:kern w:val="0"/>
                <w:sz w:val="24"/>
                <w:highlight w:val="none"/>
              </w:rPr>
              <w:t>（2）达标分析</w:t>
            </w:r>
          </w:p>
          <w:p w14:paraId="553BBCA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highlight w:val="none"/>
              </w:rPr>
            </w:pPr>
            <w:r>
              <w:rPr>
                <w:color w:val="auto"/>
                <w:sz w:val="24"/>
                <w:highlight w:val="none"/>
              </w:rPr>
              <w:t>根据</w:t>
            </w:r>
            <w:r>
              <w:rPr>
                <w:bCs/>
                <w:color w:val="auto"/>
                <w:sz w:val="24"/>
                <w:highlight w:val="none"/>
              </w:rPr>
              <w:t>查阅</w:t>
            </w:r>
            <w:r>
              <w:rPr>
                <w:rFonts w:hint="eastAsia"/>
                <w:bCs/>
                <w:color w:val="auto"/>
                <w:sz w:val="24"/>
                <w:highlight w:val="none"/>
              </w:rPr>
              <w:t>昆明市生态环境局2025年6月6日发布的</w:t>
            </w:r>
            <w:r>
              <w:rPr>
                <w:color w:val="auto"/>
                <w:sz w:val="24"/>
                <w:highlight w:val="none"/>
              </w:rPr>
              <w:t>《</w:t>
            </w:r>
            <w:r>
              <w:rPr>
                <w:rFonts w:hint="eastAsia"/>
                <w:color w:val="auto"/>
                <w:sz w:val="24"/>
                <w:highlight w:val="none"/>
              </w:rPr>
              <w:t>2024年度昆明市生态环境状况公报</w:t>
            </w:r>
            <w:r>
              <w:rPr>
                <w:color w:val="auto"/>
                <w:sz w:val="24"/>
                <w:highlight w:val="none"/>
              </w:rPr>
              <w:t>》，</w:t>
            </w:r>
            <w:r>
              <w:rPr>
                <w:rFonts w:hint="eastAsia"/>
                <w:color w:val="auto"/>
                <w:sz w:val="24"/>
                <w:highlight w:val="none"/>
              </w:rPr>
              <w:t>牛栏江七星水文站断面（位于项目区上游，与项目距离约3km）水质</w:t>
            </w:r>
            <w:r>
              <w:rPr>
                <w:color w:val="auto"/>
                <w:sz w:val="24"/>
                <w:highlight w:val="none"/>
              </w:rPr>
              <w:t>能达到《地表水环境质量标准》（GB3838-2002）中</w:t>
            </w:r>
            <w:r>
              <w:rPr>
                <w:bCs/>
                <w:color w:val="auto"/>
                <w:sz w:val="24"/>
                <w:highlight w:val="none"/>
              </w:rPr>
              <w:t>Ⅲ</w:t>
            </w:r>
            <w:r>
              <w:rPr>
                <w:color w:val="auto"/>
                <w:sz w:val="24"/>
                <w:highlight w:val="none"/>
              </w:rPr>
              <w:t>类水质标准。</w:t>
            </w:r>
          </w:p>
          <w:p w14:paraId="6FC1F0D1">
            <w:pPr>
              <w:keepNext w:val="0"/>
              <w:keepLines w:val="0"/>
              <w:pageBreakBefore w:val="0"/>
              <w:widowControl w:val="0"/>
              <w:kinsoku/>
              <w:wordWrap/>
              <w:overflowPunct/>
              <w:topLinePunct w:val="0"/>
              <w:autoSpaceDE/>
              <w:autoSpaceDN/>
              <w:bidi w:val="0"/>
              <w:adjustRightInd/>
              <w:snapToGrid/>
              <w:spacing w:line="440" w:lineRule="exact"/>
              <w:textAlignment w:val="auto"/>
              <w:rPr>
                <w:b/>
                <w:bCs/>
                <w:color w:val="auto"/>
                <w:kern w:val="0"/>
                <w:sz w:val="24"/>
                <w:highlight w:val="none"/>
              </w:rPr>
            </w:pPr>
            <w:r>
              <w:rPr>
                <w:rFonts w:hint="eastAsia"/>
                <w:b/>
                <w:bCs/>
                <w:color w:val="auto"/>
                <w:kern w:val="0"/>
                <w:sz w:val="24"/>
                <w:highlight w:val="none"/>
              </w:rPr>
              <w:t>3</w:t>
            </w:r>
            <w:r>
              <w:rPr>
                <w:b/>
                <w:bCs/>
                <w:color w:val="auto"/>
                <w:kern w:val="0"/>
                <w:sz w:val="24"/>
                <w:highlight w:val="none"/>
              </w:rPr>
              <w:t>、声环境质量现状</w:t>
            </w:r>
          </w:p>
          <w:p w14:paraId="7E407610">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b/>
                <w:color w:val="auto"/>
                <w:kern w:val="0"/>
                <w:sz w:val="24"/>
                <w:highlight w:val="none"/>
              </w:rPr>
            </w:pPr>
            <w:r>
              <w:rPr>
                <w:rFonts w:hint="eastAsia"/>
                <w:b/>
                <w:color w:val="auto"/>
                <w:kern w:val="0"/>
                <w:sz w:val="24"/>
                <w:highlight w:val="none"/>
              </w:rPr>
              <w:t>（1）声环境质量标准</w:t>
            </w:r>
          </w:p>
          <w:p w14:paraId="5DC946A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sz w:val="24"/>
                <w:highlight w:val="none"/>
              </w:rPr>
            </w:pPr>
            <w:r>
              <w:rPr>
                <w:color w:val="auto"/>
                <w:kern w:val="0"/>
                <w:sz w:val="24"/>
                <w:highlight w:val="none"/>
              </w:rPr>
              <w:t>项目位于云南省昆明市寻甸县仁德街道</w:t>
            </w:r>
            <w:r>
              <w:rPr>
                <w:rFonts w:hint="eastAsia"/>
                <w:color w:val="auto"/>
                <w:kern w:val="0"/>
                <w:sz w:val="24"/>
                <w:highlight w:val="none"/>
              </w:rPr>
              <w:t>，</w:t>
            </w:r>
            <w:r>
              <w:rPr>
                <w:rFonts w:hint="eastAsia"/>
                <w:color w:val="auto"/>
                <w:sz w:val="24"/>
                <w:highlight w:val="none"/>
              </w:rPr>
              <w:t>属于乡镇地区，声环境功能区划为2类区，执行《声环境质量标准》（GB3096-2008）2类标准。</w:t>
            </w:r>
          </w:p>
          <w:p w14:paraId="09FE32A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bCs/>
                <w:color w:val="auto"/>
                <w:kern w:val="0"/>
                <w:sz w:val="24"/>
                <w:highlight w:val="none"/>
              </w:rPr>
            </w:pPr>
            <w:r>
              <w:rPr>
                <w:rFonts w:hint="eastAsia"/>
                <w:color w:val="auto"/>
                <w:kern w:val="0"/>
                <w:sz w:val="24"/>
                <w:highlight w:val="none"/>
              </w:rPr>
              <w:t>声环境功能区域</w:t>
            </w:r>
            <w:r>
              <w:rPr>
                <w:rFonts w:hint="eastAsia"/>
                <w:bCs/>
                <w:color w:val="auto"/>
                <w:kern w:val="0"/>
                <w:sz w:val="24"/>
                <w:highlight w:val="none"/>
              </w:rPr>
              <w:t>标准值见表3-4。</w:t>
            </w:r>
          </w:p>
          <w:p w14:paraId="77E93D33">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b/>
                <w:color w:val="auto"/>
                <w:kern w:val="0"/>
                <w:szCs w:val="20"/>
                <w:highlight w:val="none"/>
              </w:rPr>
            </w:pPr>
            <w:r>
              <w:rPr>
                <w:rFonts w:hint="eastAsia"/>
                <w:b/>
                <w:color w:val="auto"/>
                <w:kern w:val="0"/>
                <w:szCs w:val="20"/>
                <w:highlight w:val="none"/>
              </w:rPr>
              <w:t>表3-4  声环境质量标准  单位：dB(A)</w:t>
            </w:r>
          </w:p>
          <w:tbl>
            <w:tblPr>
              <w:tblStyle w:val="2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1"/>
              <w:gridCol w:w="2915"/>
              <w:gridCol w:w="2483"/>
            </w:tblGrid>
            <w:tr w14:paraId="7A565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51" w:type="pct"/>
                  <w:vMerge w:val="restart"/>
                  <w:tcBorders>
                    <w:tl2br w:val="nil"/>
                    <w:tr2bl w:val="nil"/>
                  </w:tcBorders>
                  <w:vAlign w:val="center"/>
                </w:tcPr>
                <w:p w14:paraId="49DDD140">
                  <w:pPr>
                    <w:jc w:val="center"/>
                    <w:rPr>
                      <w:color w:val="auto"/>
                      <w:kern w:val="0"/>
                      <w:szCs w:val="21"/>
                      <w:highlight w:val="none"/>
                    </w:rPr>
                  </w:pPr>
                  <w:r>
                    <w:rPr>
                      <w:color w:val="auto"/>
                      <w:kern w:val="0"/>
                      <w:szCs w:val="21"/>
                      <w:highlight w:val="none"/>
                    </w:rPr>
                    <w:t>声环境功能区类别</w:t>
                  </w:r>
                </w:p>
              </w:tc>
              <w:tc>
                <w:tcPr>
                  <w:tcW w:w="3248" w:type="pct"/>
                  <w:gridSpan w:val="2"/>
                  <w:tcBorders>
                    <w:tl2br w:val="nil"/>
                    <w:tr2bl w:val="nil"/>
                  </w:tcBorders>
                  <w:vAlign w:val="center"/>
                </w:tcPr>
                <w:p w14:paraId="5DB16AAD">
                  <w:pPr>
                    <w:jc w:val="center"/>
                    <w:rPr>
                      <w:color w:val="auto"/>
                      <w:kern w:val="0"/>
                      <w:szCs w:val="21"/>
                      <w:highlight w:val="none"/>
                    </w:rPr>
                  </w:pPr>
                  <w:r>
                    <w:rPr>
                      <w:color w:val="auto"/>
                      <w:kern w:val="0"/>
                      <w:szCs w:val="21"/>
                      <w:highlight w:val="none"/>
                    </w:rPr>
                    <w:t>时段</w:t>
                  </w:r>
                </w:p>
              </w:tc>
            </w:tr>
            <w:tr w14:paraId="17AD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51" w:type="pct"/>
                  <w:vMerge w:val="continue"/>
                  <w:tcBorders>
                    <w:tl2br w:val="nil"/>
                    <w:tr2bl w:val="nil"/>
                  </w:tcBorders>
                  <w:vAlign w:val="center"/>
                </w:tcPr>
                <w:p w14:paraId="5CECE590">
                  <w:pPr>
                    <w:jc w:val="center"/>
                    <w:rPr>
                      <w:color w:val="auto"/>
                      <w:kern w:val="0"/>
                      <w:szCs w:val="21"/>
                      <w:highlight w:val="none"/>
                    </w:rPr>
                  </w:pPr>
                </w:p>
              </w:tc>
              <w:tc>
                <w:tcPr>
                  <w:tcW w:w="1754" w:type="pct"/>
                  <w:tcBorders>
                    <w:tl2br w:val="nil"/>
                    <w:tr2bl w:val="nil"/>
                  </w:tcBorders>
                  <w:vAlign w:val="center"/>
                </w:tcPr>
                <w:p w14:paraId="072FAC31">
                  <w:pPr>
                    <w:jc w:val="center"/>
                    <w:rPr>
                      <w:color w:val="auto"/>
                      <w:kern w:val="0"/>
                      <w:szCs w:val="21"/>
                      <w:highlight w:val="none"/>
                    </w:rPr>
                  </w:pPr>
                  <w:r>
                    <w:rPr>
                      <w:color w:val="auto"/>
                      <w:kern w:val="0"/>
                      <w:szCs w:val="21"/>
                      <w:highlight w:val="none"/>
                    </w:rPr>
                    <w:t>昼间</w:t>
                  </w:r>
                </w:p>
              </w:tc>
              <w:tc>
                <w:tcPr>
                  <w:tcW w:w="1493" w:type="pct"/>
                  <w:tcBorders>
                    <w:tl2br w:val="nil"/>
                    <w:tr2bl w:val="nil"/>
                  </w:tcBorders>
                  <w:vAlign w:val="center"/>
                </w:tcPr>
                <w:p w14:paraId="4AED9656">
                  <w:pPr>
                    <w:jc w:val="center"/>
                    <w:rPr>
                      <w:color w:val="auto"/>
                      <w:kern w:val="0"/>
                      <w:szCs w:val="21"/>
                      <w:highlight w:val="none"/>
                    </w:rPr>
                  </w:pPr>
                  <w:r>
                    <w:rPr>
                      <w:color w:val="auto"/>
                      <w:kern w:val="0"/>
                      <w:szCs w:val="21"/>
                      <w:highlight w:val="none"/>
                    </w:rPr>
                    <w:t>夜间</w:t>
                  </w:r>
                </w:p>
              </w:tc>
            </w:tr>
            <w:tr w14:paraId="7C29B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51" w:type="pct"/>
                  <w:tcBorders>
                    <w:tl2br w:val="nil"/>
                    <w:tr2bl w:val="nil"/>
                  </w:tcBorders>
                  <w:vAlign w:val="center"/>
                </w:tcPr>
                <w:p w14:paraId="6D7552A4">
                  <w:pPr>
                    <w:jc w:val="center"/>
                    <w:rPr>
                      <w:color w:val="auto"/>
                      <w:kern w:val="0"/>
                      <w:szCs w:val="21"/>
                      <w:highlight w:val="none"/>
                    </w:rPr>
                  </w:pPr>
                  <w:r>
                    <w:rPr>
                      <w:rFonts w:hint="eastAsia"/>
                      <w:color w:val="auto"/>
                      <w:kern w:val="0"/>
                      <w:szCs w:val="21"/>
                      <w:highlight w:val="none"/>
                      <w:lang w:val="en-US" w:eastAsia="zh-CN"/>
                    </w:rPr>
                    <w:t>2</w:t>
                  </w:r>
                  <w:r>
                    <w:rPr>
                      <w:color w:val="auto"/>
                      <w:kern w:val="0"/>
                      <w:szCs w:val="21"/>
                      <w:highlight w:val="none"/>
                    </w:rPr>
                    <w:t>类</w:t>
                  </w:r>
                </w:p>
              </w:tc>
              <w:tc>
                <w:tcPr>
                  <w:tcW w:w="1754" w:type="pct"/>
                  <w:tcBorders>
                    <w:tl2br w:val="nil"/>
                    <w:tr2bl w:val="nil"/>
                  </w:tcBorders>
                  <w:vAlign w:val="center"/>
                </w:tcPr>
                <w:p w14:paraId="48F050BE">
                  <w:pPr>
                    <w:jc w:val="center"/>
                    <w:rPr>
                      <w:rFonts w:hint="eastAsia" w:eastAsia="宋体"/>
                      <w:color w:val="auto"/>
                      <w:kern w:val="0"/>
                      <w:szCs w:val="21"/>
                      <w:highlight w:val="none"/>
                      <w:lang w:val="en-US" w:eastAsia="zh-CN"/>
                    </w:rPr>
                  </w:pPr>
                  <w:r>
                    <w:rPr>
                      <w:rFonts w:hint="eastAsia"/>
                      <w:color w:val="auto"/>
                      <w:kern w:val="0"/>
                      <w:szCs w:val="21"/>
                      <w:highlight w:val="none"/>
                    </w:rPr>
                    <w:t>6</w:t>
                  </w:r>
                  <w:r>
                    <w:rPr>
                      <w:rFonts w:hint="eastAsia"/>
                      <w:color w:val="auto"/>
                      <w:kern w:val="0"/>
                      <w:szCs w:val="21"/>
                      <w:highlight w:val="none"/>
                      <w:lang w:val="en-US" w:eastAsia="zh-CN"/>
                    </w:rPr>
                    <w:t>0</w:t>
                  </w:r>
                </w:p>
              </w:tc>
              <w:tc>
                <w:tcPr>
                  <w:tcW w:w="1493" w:type="pct"/>
                  <w:tcBorders>
                    <w:tl2br w:val="nil"/>
                    <w:tr2bl w:val="nil"/>
                  </w:tcBorders>
                  <w:vAlign w:val="center"/>
                </w:tcPr>
                <w:p w14:paraId="465669E8">
                  <w:pPr>
                    <w:jc w:val="center"/>
                    <w:rPr>
                      <w:rFonts w:hint="eastAsia" w:eastAsia="宋体"/>
                      <w:color w:val="auto"/>
                      <w:kern w:val="0"/>
                      <w:szCs w:val="21"/>
                      <w:highlight w:val="none"/>
                      <w:lang w:val="en-US" w:eastAsia="zh-CN"/>
                    </w:rPr>
                  </w:pPr>
                  <w:r>
                    <w:rPr>
                      <w:rFonts w:hint="eastAsia"/>
                      <w:color w:val="auto"/>
                      <w:kern w:val="0"/>
                      <w:szCs w:val="21"/>
                      <w:highlight w:val="none"/>
                    </w:rPr>
                    <w:t>5</w:t>
                  </w:r>
                  <w:r>
                    <w:rPr>
                      <w:rFonts w:hint="eastAsia"/>
                      <w:color w:val="auto"/>
                      <w:kern w:val="0"/>
                      <w:szCs w:val="21"/>
                      <w:highlight w:val="none"/>
                      <w:lang w:val="en-US" w:eastAsia="zh-CN"/>
                    </w:rPr>
                    <w:t>0</w:t>
                  </w:r>
                </w:p>
              </w:tc>
            </w:tr>
          </w:tbl>
          <w:p w14:paraId="6863371D">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b/>
                <w:color w:val="auto"/>
                <w:kern w:val="0"/>
                <w:sz w:val="24"/>
                <w:highlight w:val="none"/>
              </w:rPr>
            </w:pPr>
            <w:r>
              <w:rPr>
                <w:rFonts w:hint="eastAsia"/>
                <w:b/>
                <w:color w:val="auto"/>
                <w:kern w:val="0"/>
                <w:sz w:val="24"/>
                <w:highlight w:val="none"/>
              </w:rPr>
              <w:t>（2）声环境现状质量判定</w:t>
            </w:r>
          </w:p>
          <w:p w14:paraId="67AF8E9F">
            <w:pPr>
              <w:pStyle w:val="22"/>
              <w:keepNext w:val="0"/>
              <w:keepLines w:val="0"/>
              <w:pageBreakBefore w:val="0"/>
              <w:widowControl/>
              <w:kinsoku/>
              <w:wordWrap/>
              <w:overflowPunct/>
              <w:topLinePunct w:val="0"/>
              <w:autoSpaceDE/>
              <w:autoSpaceDN/>
              <w:bidi w:val="0"/>
              <w:adjustRightInd/>
              <w:snapToGrid/>
              <w:spacing w:beforeAutospacing="0" w:afterAutospacing="0" w:line="440" w:lineRule="exact"/>
              <w:ind w:firstLine="480" w:firstLineChars="200"/>
              <w:jc w:val="both"/>
              <w:textAlignment w:val="auto"/>
              <w:rPr>
                <w:rFonts w:hint="eastAsia"/>
                <w:color w:val="auto"/>
                <w:highlight w:val="none"/>
              </w:rPr>
            </w:pPr>
            <w:r>
              <w:rPr>
                <w:rFonts w:hint="eastAsia"/>
                <w:color w:val="auto"/>
                <w:highlight w:val="none"/>
              </w:rPr>
              <w:t>本次评价引用项目《</w:t>
            </w:r>
            <w:r>
              <w:rPr>
                <w:color w:val="auto"/>
                <w:highlight w:val="none"/>
              </w:rPr>
              <w:t>云南錦创环境科技有限公司果蔬废弃物处理项目竣工环境保护验收报告</w:t>
            </w:r>
            <w:r>
              <w:rPr>
                <w:rFonts w:hint="eastAsia"/>
                <w:color w:val="auto"/>
                <w:highlight w:val="none"/>
              </w:rPr>
              <w:t>》：</w:t>
            </w:r>
            <w:r>
              <w:rPr>
                <w:color w:val="auto"/>
                <w:highlight w:val="none"/>
              </w:rPr>
              <w:t>云南</w:t>
            </w:r>
            <w:r>
              <w:rPr>
                <w:rFonts w:hint="eastAsia"/>
                <w:color w:val="auto"/>
                <w:highlight w:val="none"/>
              </w:rPr>
              <w:t>省建筑材料科学研究设计院有限公司</w:t>
            </w:r>
            <w:r>
              <w:rPr>
                <w:color w:val="auto"/>
                <w:highlight w:val="none"/>
              </w:rPr>
              <w:t>202</w:t>
            </w:r>
            <w:r>
              <w:rPr>
                <w:rFonts w:hint="eastAsia"/>
                <w:color w:val="auto"/>
                <w:highlight w:val="none"/>
              </w:rPr>
              <w:t>5</w:t>
            </w:r>
            <w:r>
              <w:rPr>
                <w:color w:val="auto"/>
                <w:highlight w:val="none"/>
              </w:rPr>
              <w:t>年0</w:t>
            </w:r>
            <w:r>
              <w:rPr>
                <w:rFonts w:hint="eastAsia"/>
                <w:color w:val="auto"/>
                <w:highlight w:val="none"/>
              </w:rPr>
              <w:t>2</w:t>
            </w:r>
            <w:r>
              <w:rPr>
                <w:color w:val="auto"/>
                <w:highlight w:val="none"/>
              </w:rPr>
              <w:t>月</w:t>
            </w:r>
            <w:r>
              <w:rPr>
                <w:rFonts w:hint="eastAsia"/>
                <w:color w:val="auto"/>
                <w:highlight w:val="none"/>
              </w:rPr>
              <w:t>5</w:t>
            </w:r>
            <w:r>
              <w:rPr>
                <w:color w:val="auto"/>
                <w:highlight w:val="none"/>
              </w:rPr>
              <w:t>日～202</w:t>
            </w:r>
            <w:r>
              <w:rPr>
                <w:rFonts w:hint="eastAsia"/>
                <w:color w:val="auto"/>
                <w:highlight w:val="none"/>
              </w:rPr>
              <w:t>5</w:t>
            </w:r>
            <w:r>
              <w:rPr>
                <w:color w:val="auto"/>
                <w:highlight w:val="none"/>
              </w:rPr>
              <w:t>年0</w:t>
            </w:r>
            <w:r>
              <w:rPr>
                <w:rFonts w:hint="eastAsia"/>
                <w:color w:val="auto"/>
                <w:highlight w:val="none"/>
              </w:rPr>
              <w:t>2</w:t>
            </w:r>
            <w:r>
              <w:rPr>
                <w:color w:val="auto"/>
                <w:highlight w:val="none"/>
              </w:rPr>
              <w:t>月</w:t>
            </w:r>
            <w:r>
              <w:rPr>
                <w:rFonts w:hint="eastAsia"/>
                <w:color w:val="auto"/>
                <w:highlight w:val="none"/>
              </w:rPr>
              <w:t>6</w:t>
            </w:r>
            <w:r>
              <w:rPr>
                <w:color w:val="auto"/>
                <w:highlight w:val="none"/>
              </w:rPr>
              <w:t>日对评价区进行</w:t>
            </w:r>
            <w:r>
              <w:rPr>
                <w:rFonts w:hint="eastAsia"/>
                <w:color w:val="auto"/>
                <w:highlight w:val="none"/>
              </w:rPr>
              <w:t>的竣工验收</w:t>
            </w:r>
            <w:r>
              <w:rPr>
                <w:color w:val="auto"/>
                <w:highlight w:val="none"/>
              </w:rPr>
              <w:t>检测，</w:t>
            </w:r>
            <w:r>
              <w:rPr>
                <w:rFonts w:hint="eastAsia"/>
                <w:color w:val="auto"/>
                <w:highlight w:val="none"/>
              </w:rPr>
              <w:t>验收期间工况为95%，并于</w:t>
            </w:r>
            <w:r>
              <w:rPr>
                <w:color w:val="auto"/>
                <w:highlight w:val="none"/>
              </w:rPr>
              <w:t>202</w:t>
            </w:r>
            <w:r>
              <w:rPr>
                <w:rFonts w:hint="eastAsia"/>
                <w:color w:val="auto"/>
                <w:highlight w:val="none"/>
              </w:rPr>
              <w:t>5</w:t>
            </w:r>
            <w:r>
              <w:rPr>
                <w:color w:val="auto"/>
                <w:highlight w:val="none"/>
              </w:rPr>
              <w:t>年0</w:t>
            </w:r>
            <w:r>
              <w:rPr>
                <w:rFonts w:hint="eastAsia"/>
                <w:color w:val="auto"/>
                <w:highlight w:val="none"/>
              </w:rPr>
              <w:t>2</w:t>
            </w:r>
            <w:r>
              <w:rPr>
                <w:color w:val="auto"/>
                <w:highlight w:val="none"/>
              </w:rPr>
              <w:t>月</w:t>
            </w:r>
            <w:r>
              <w:rPr>
                <w:rFonts w:hint="eastAsia"/>
                <w:color w:val="auto"/>
                <w:highlight w:val="none"/>
              </w:rPr>
              <w:t>20</w:t>
            </w:r>
            <w:r>
              <w:rPr>
                <w:color w:val="auto"/>
                <w:highlight w:val="none"/>
              </w:rPr>
              <w:t>日出具</w:t>
            </w:r>
            <w:r>
              <w:rPr>
                <w:rFonts w:hint="eastAsia"/>
                <w:color w:val="auto"/>
                <w:highlight w:val="none"/>
              </w:rPr>
              <w:t>了</w:t>
            </w:r>
            <w:r>
              <w:rPr>
                <w:color w:val="auto"/>
                <w:highlight w:val="none"/>
              </w:rPr>
              <w:t>《云南錦创环境科技有限公司果蔬废弃物处理项目</w:t>
            </w:r>
            <w:r>
              <w:rPr>
                <w:rFonts w:hint="eastAsia"/>
                <w:color w:val="auto"/>
                <w:highlight w:val="none"/>
              </w:rPr>
              <w:t>竣工验收</w:t>
            </w:r>
            <w:r>
              <w:rPr>
                <w:color w:val="auto"/>
                <w:highlight w:val="none"/>
              </w:rPr>
              <w:t>检测报告（项目编号：</w:t>
            </w:r>
            <w:r>
              <w:rPr>
                <w:rFonts w:hint="eastAsia"/>
                <w:color w:val="auto"/>
                <w:highlight w:val="none"/>
              </w:rPr>
              <w:t>2025010901</w:t>
            </w:r>
            <w:r>
              <w:rPr>
                <w:color w:val="auto"/>
                <w:highlight w:val="none"/>
              </w:rPr>
              <w:t>）</w:t>
            </w:r>
            <w:r>
              <w:rPr>
                <w:rFonts w:hint="eastAsia"/>
                <w:color w:val="auto"/>
                <w:highlight w:val="none"/>
              </w:rPr>
              <w:t>，详见附件7</w:t>
            </w:r>
            <w:r>
              <w:rPr>
                <w:color w:val="auto"/>
                <w:highlight w:val="none"/>
              </w:rPr>
              <w:t>》，</w:t>
            </w:r>
            <w:r>
              <w:rPr>
                <w:rFonts w:hint="eastAsia"/>
                <w:color w:val="auto"/>
                <w:highlight w:val="none"/>
              </w:rPr>
              <w:t>引用最近监测点位位于拟建新增地块东北侧40m。</w:t>
            </w:r>
          </w:p>
          <w:p w14:paraId="4146450D">
            <w:pPr>
              <w:pStyle w:val="22"/>
              <w:keepNext w:val="0"/>
              <w:keepLines w:val="0"/>
              <w:pageBreakBefore w:val="0"/>
              <w:widowControl/>
              <w:kinsoku/>
              <w:wordWrap/>
              <w:overflowPunct/>
              <w:topLinePunct w:val="0"/>
              <w:autoSpaceDE/>
              <w:autoSpaceDN/>
              <w:bidi w:val="0"/>
              <w:adjustRightInd/>
              <w:snapToGrid/>
              <w:spacing w:beforeAutospacing="0" w:afterAutospacing="0" w:line="440" w:lineRule="exact"/>
              <w:ind w:firstLine="480" w:firstLineChars="200"/>
              <w:jc w:val="both"/>
              <w:textAlignment w:val="auto"/>
              <w:rPr>
                <w:color w:val="auto"/>
                <w:highlight w:val="none"/>
              </w:rPr>
            </w:pPr>
            <w:r>
              <w:rPr>
                <w:color w:val="auto"/>
                <w:highlight w:val="none"/>
              </w:rPr>
              <w:t>检测结果见表3-</w:t>
            </w:r>
            <w:r>
              <w:rPr>
                <w:rFonts w:hint="eastAsia"/>
                <w:color w:val="auto"/>
                <w:highlight w:val="none"/>
              </w:rPr>
              <w:t>5</w:t>
            </w:r>
            <w:r>
              <w:rPr>
                <w:color w:val="auto"/>
                <w:highlight w:val="none"/>
              </w:rPr>
              <w:t>。</w:t>
            </w:r>
          </w:p>
          <w:p w14:paraId="3FD3E4AE">
            <w:pPr>
              <w:pStyle w:val="15"/>
              <w:spacing w:before="48" w:beforeLines="20"/>
              <w:jc w:val="center"/>
              <w:rPr>
                <w:rFonts w:ascii="Times New Roman"/>
                <w:b/>
                <w:bCs/>
                <w:color w:val="auto"/>
                <w:sz w:val="21"/>
                <w:szCs w:val="21"/>
                <w:highlight w:val="none"/>
              </w:rPr>
            </w:pPr>
            <w:r>
              <w:rPr>
                <w:rFonts w:ascii="Times New Roman"/>
                <w:b/>
                <w:bCs/>
                <w:color w:val="auto"/>
                <w:sz w:val="21"/>
                <w:szCs w:val="21"/>
                <w:highlight w:val="none"/>
              </w:rPr>
              <w:t>表</w:t>
            </w:r>
            <w:r>
              <w:rPr>
                <w:rFonts w:hint="eastAsia" w:ascii="Times New Roman"/>
                <w:b/>
                <w:bCs/>
                <w:color w:val="auto"/>
                <w:sz w:val="21"/>
                <w:szCs w:val="21"/>
                <w:highlight w:val="none"/>
              </w:rPr>
              <w:t>3</w:t>
            </w:r>
            <w:r>
              <w:rPr>
                <w:rFonts w:ascii="Times New Roman"/>
                <w:b/>
                <w:bCs/>
                <w:color w:val="auto"/>
                <w:sz w:val="21"/>
                <w:szCs w:val="21"/>
                <w:highlight w:val="none"/>
              </w:rPr>
              <w:t xml:space="preserve">-5 噪声监测结果表 </w:t>
            </w:r>
          </w:p>
          <w:tbl>
            <w:tblPr>
              <w:tblStyle w:val="2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7"/>
              <w:gridCol w:w="2072"/>
              <w:gridCol w:w="1175"/>
              <w:gridCol w:w="532"/>
              <w:gridCol w:w="1277"/>
              <w:gridCol w:w="1363"/>
              <w:gridCol w:w="1362"/>
            </w:tblGrid>
            <w:tr w14:paraId="2A81F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restart"/>
                  <w:tcBorders>
                    <w:top w:val="single" w:color="000000" w:sz="6" w:space="0"/>
                  </w:tcBorders>
                  <w:vAlign w:val="center"/>
                </w:tcPr>
                <w:p w14:paraId="3EF8C2B3">
                  <w:pPr>
                    <w:jc w:val="center"/>
                    <w:rPr>
                      <w:b/>
                      <w:bCs/>
                      <w:color w:val="auto"/>
                      <w:highlight w:val="none"/>
                    </w:rPr>
                  </w:pPr>
                  <w:r>
                    <w:rPr>
                      <w:rFonts w:hint="eastAsia"/>
                      <w:b/>
                      <w:bCs/>
                      <w:color w:val="auto"/>
                      <w:highlight w:val="none"/>
                    </w:rPr>
                    <w:t>检测</w:t>
                  </w:r>
                </w:p>
                <w:p w14:paraId="68521E8C">
                  <w:pPr>
                    <w:jc w:val="center"/>
                    <w:rPr>
                      <w:b/>
                      <w:bCs/>
                      <w:color w:val="auto"/>
                      <w:highlight w:val="none"/>
                    </w:rPr>
                  </w:pPr>
                  <w:r>
                    <w:rPr>
                      <w:rFonts w:hint="eastAsia"/>
                      <w:b/>
                      <w:bCs/>
                      <w:color w:val="auto"/>
                      <w:highlight w:val="none"/>
                    </w:rPr>
                    <w:t>内容</w:t>
                  </w:r>
                </w:p>
              </w:tc>
              <w:tc>
                <w:tcPr>
                  <w:tcW w:w="1246" w:type="pct"/>
                  <w:vMerge w:val="restart"/>
                  <w:tcBorders>
                    <w:top w:val="single" w:color="000000" w:sz="6" w:space="0"/>
                    <w:right w:val="single" w:color="000000" w:sz="6" w:space="0"/>
                  </w:tcBorders>
                  <w:vAlign w:val="center"/>
                </w:tcPr>
                <w:p w14:paraId="316AD2AD">
                  <w:pPr>
                    <w:jc w:val="center"/>
                    <w:rPr>
                      <w:b/>
                      <w:bCs/>
                      <w:color w:val="auto"/>
                      <w:highlight w:val="none"/>
                    </w:rPr>
                  </w:pPr>
                  <w:r>
                    <w:rPr>
                      <w:rFonts w:hint="eastAsia"/>
                      <w:b/>
                      <w:bCs/>
                      <w:color w:val="auto"/>
                      <w:highlight w:val="none"/>
                    </w:rPr>
                    <w:t>检测点位置</w:t>
                  </w:r>
                </w:p>
              </w:tc>
              <w:tc>
                <w:tcPr>
                  <w:tcW w:w="707" w:type="pct"/>
                  <w:vMerge w:val="restart"/>
                  <w:tcBorders>
                    <w:top w:val="single" w:color="000000" w:sz="6" w:space="0"/>
                    <w:left w:val="single" w:color="000000" w:sz="6" w:space="0"/>
                  </w:tcBorders>
                  <w:vAlign w:val="center"/>
                </w:tcPr>
                <w:p w14:paraId="6A210D50">
                  <w:pPr>
                    <w:jc w:val="center"/>
                    <w:rPr>
                      <w:b/>
                      <w:bCs/>
                      <w:color w:val="auto"/>
                      <w:highlight w:val="none"/>
                    </w:rPr>
                  </w:pPr>
                  <w:r>
                    <w:rPr>
                      <w:rFonts w:hint="eastAsia"/>
                      <w:b/>
                      <w:bCs/>
                      <w:color w:val="auto"/>
                      <w:highlight w:val="none"/>
                    </w:rPr>
                    <w:t>检测日期</w:t>
                  </w:r>
                </w:p>
              </w:tc>
              <w:tc>
                <w:tcPr>
                  <w:tcW w:w="1088" w:type="pct"/>
                  <w:gridSpan w:val="2"/>
                  <w:vMerge w:val="restart"/>
                  <w:tcBorders>
                    <w:top w:val="single" w:color="000000" w:sz="6" w:space="0"/>
                  </w:tcBorders>
                  <w:vAlign w:val="center"/>
                </w:tcPr>
                <w:p w14:paraId="1108A76F">
                  <w:pPr>
                    <w:pStyle w:val="109"/>
                    <w:spacing w:before="85"/>
                    <w:jc w:val="center"/>
                    <w:rPr>
                      <w:rFonts w:hint="eastAsia"/>
                      <w:b/>
                      <w:color w:val="auto"/>
                      <w:highlight w:val="none"/>
                    </w:rPr>
                  </w:pPr>
                  <w:r>
                    <w:rPr>
                      <w:rFonts w:hint="eastAsia"/>
                      <w:b/>
                      <w:color w:val="auto"/>
                      <w:highlight w:val="none"/>
                    </w:rPr>
                    <w:t>采样时段</w:t>
                  </w:r>
                </w:p>
              </w:tc>
              <w:tc>
                <w:tcPr>
                  <w:tcW w:w="1639" w:type="pct"/>
                  <w:gridSpan w:val="2"/>
                  <w:tcBorders>
                    <w:top w:val="single" w:color="000000" w:sz="6" w:space="0"/>
                  </w:tcBorders>
                  <w:vAlign w:val="center"/>
                </w:tcPr>
                <w:p w14:paraId="140BF9FC">
                  <w:pPr>
                    <w:pStyle w:val="109"/>
                    <w:spacing w:before="85"/>
                    <w:jc w:val="center"/>
                    <w:rPr>
                      <w:rFonts w:hint="eastAsia"/>
                      <w:b/>
                      <w:color w:val="auto"/>
                      <w:highlight w:val="none"/>
                    </w:rPr>
                  </w:pPr>
                  <w:r>
                    <w:rPr>
                      <w:rFonts w:hint="eastAsia"/>
                      <w:b/>
                      <w:color w:val="auto"/>
                      <w:highlight w:val="none"/>
                    </w:rPr>
                    <w:t xml:space="preserve">检测结果 </w:t>
                  </w:r>
                  <w:r>
                    <w:rPr>
                      <w:b/>
                      <w:color w:val="auto"/>
                      <w:highlight w:val="none"/>
                    </w:rPr>
                    <w:t>Leq[dB</w:t>
                  </w:r>
                  <w:r>
                    <w:rPr>
                      <w:rFonts w:hint="eastAsia"/>
                      <w:b/>
                      <w:color w:val="auto"/>
                      <w:highlight w:val="none"/>
                    </w:rPr>
                    <w:t>（</w:t>
                  </w:r>
                  <w:r>
                    <w:rPr>
                      <w:b/>
                      <w:color w:val="auto"/>
                      <w:highlight w:val="none"/>
                    </w:rPr>
                    <w:t>A</w:t>
                  </w:r>
                  <w:r>
                    <w:rPr>
                      <w:rFonts w:hint="eastAsia"/>
                      <w:b/>
                      <w:color w:val="auto"/>
                      <w:highlight w:val="none"/>
                    </w:rPr>
                    <w:t>）</w:t>
                  </w:r>
                  <w:r>
                    <w:rPr>
                      <w:b/>
                      <w:color w:val="auto"/>
                      <w:highlight w:val="none"/>
                    </w:rPr>
                    <w:t>]</w:t>
                  </w:r>
                </w:p>
              </w:tc>
            </w:tr>
            <w:tr w14:paraId="1B838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continue"/>
                  <w:vAlign w:val="center"/>
                </w:tcPr>
                <w:p w14:paraId="56C3E2C8">
                  <w:pPr>
                    <w:pStyle w:val="109"/>
                    <w:spacing w:before="85"/>
                    <w:rPr>
                      <w:rFonts w:hint="eastAsia"/>
                      <w:color w:val="auto"/>
                      <w:highlight w:val="none"/>
                    </w:rPr>
                  </w:pPr>
                </w:p>
              </w:tc>
              <w:tc>
                <w:tcPr>
                  <w:tcW w:w="1246" w:type="pct"/>
                  <w:vMerge w:val="continue"/>
                  <w:tcBorders>
                    <w:bottom w:val="single" w:color="000000" w:sz="6" w:space="0"/>
                    <w:right w:val="single" w:color="000000" w:sz="6" w:space="0"/>
                  </w:tcBorders>
                  <w:vAlign w:val="center"/>
                </w:tcPr>
                <w:p w14:paraId="33DFE527">
                  <w:pPr>
                    <w:pStyle w:val="109"/>
                    <w:spacing w:before="85"/>
                    <w:rPr>
                      <w:rFonts w:hint="eastAsia"/>
                      <w:color w:val="auto"/>
                      <w:highlight w:val="none"/>
                    </w:rPr>
                  </w:pPr>
                </w:p>
              </w:tc>
              <w:tc>
                <w:tcPr>
                  <w:tcW w:w="707" w:type="pct"/>
                  <w:vMerge w:val="continue"/>
                  <w:tcBorders>
                    <w:left w:val="single" w:color="000000" w:sz="6" w:space="0"/>
                    <w:bottom w:val="single" w:color="000000" w:sz="6" w:space="0"/>
                  </w:tcBorders>
                  <w:vAlign w:val="center"/>
                </w:tcPr>
                <w:p w14:paraId="2F66E27C">
                  <w:pPr>
                    <w:pStyle w:val="109"/>
                    <w:spacing w:before="85"/>
                    <w:rPr>
                      <w:rFonts w:hint="eastAsia"/>
                      <w:color w:val="auto"/>
                      <w:highlight w:val="none"/>
                    </w:rPr>
                  </w:pPr>
                </w:p>
              </w:tc>
              <w:tc>
                <w:tcPr>
                  <w:tcW w:w="1088" w:type="pct"/>
                  <w:gridSpan w:val="2"/>
                  <w:vMerge w:val="continue"/>
                  <w:vAlign w:val="center"/>
                </w:tcPr>
                <w:p w14:paraId="190B764E">
                  <w:pPr>
                    <w:pStyle w:val="109"/>
                    <w:spacing w:before="85"/>
                    <w:rPr>
                      <w:rFonts w:hint="eastAsia"/>
                      <w:color w:val="auto"/>
                      <w:highlight w:val="none"/>
                    </w:rPr>
                  </w:pPr>
                </w:p>
              </w:tc>
              <w:tc>
                <w:tcPr>
                  <w:tcW w:w="820" w:type="pct"/>
                  <w:tcBorders>
                    <w:top w:val="single" w:color="000000" w:sz="6" w:space="0"/>
                  </w:tcBorders>
                  <w:vAlign w:val="center"/>
                </w:tcPr>
                <w:p w14:paraId="67C65E35">
                  <w:pPr>
                    <w:jc w:val="center"/>
                    <w:rPr>
                      <w:color w:val="auto"/>
                      <w:highlight w:val="none"/>
                    </w:rPr>
                  </w:pPr>
                  <w:r>
                    <w:rPr>
                      <w:rFonts w:hint="eastAsia"/>
                      <w:color w:val="auto"/>
                      <w:highlight w:val="none"/>
                    </w:rPr>
                    <w:t>测定值</w:t>
                  </w:r>
                </w:p>
              </w:tc>
              <w:tc>
                <w:tcPr>
                  <w:tcW w:w="819" w:type="pct"/>
                  <w:tcBorders>
                    <w:top w:val="single" w:color="000000" w:sz="6" w:space="0"/>
                  </w:tcBorders>
                  <w:vAlign w:val="center"/>
                </w:tcPr>
                <w:p w14:paraId="40190938">
                  <w:pPr>
                    <w:jc w:val="center"/>
                    <w:rPr>
                      <w:color w:val="auto"/>
                      <w:highlight w:val="none"/>
                    </w:rPr>
                  </w:pPr>
                  <w:r>
                    <w:rPr>
                      <w:rFonts w:hint="eastAsia"/>
                      <w:color w:val="auto"/>
                      <w:highlight w:val="none"/>
                    </w:rPr>
                    <w:t>修约值</w:t>
                  </w:r>
                </w:p>
              </w:tc>
            </w:tr>
            <w:tr w14:paraId="708DE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restart"/>
                  <w:vAlign w:val="center"/>
                </w:tcPr>
                <w:p w14:paraId="20E1C183">
                  <w:pPr>
                    <w:jc w:val="center"/>
                    <w:rPr>
                      <w:color w:val="auto"/>
                      <w:highlight w:val="none"/>
                    </w:rPr>
                  </w:pPr>
                  <w:r>
                    <w:rPr>
                      <w:rFonts w:hint="eastAsia"/>
                      <w:color w:val="auto"/>
                      <w:highlight w:val="none"/>
                    </w:rPr>
                    <w:t>厂界</w:t>
                  </w:r>
                </w:p>
                <w:p w14:paraId="0FC9925D">
                  <w:pPr>
                    <w:jc w:val="center"/>
                    <w:rPr>
                      <w:color w:val="auto"/>
                      <w:highlight w:val="none"/>
                    </w:rPr>
                  </w:pPr>
                  <w:r>
                    <w:rPr>
                      <w:color w:val="auto"/>
                      <w:highlight w:val="none"/>
                    </w:rPr>
                    <w:t>噪声</w:t>
                  </w:r>
                </w:p>
              </w:tc>
              <w:tc>
                <w:tcPr>
                  <w:tcW w:w="1246" w:type="pct"/>
                  <w:vMerge w:val="restart"/>
                  <w:tcBorders>
                    <w:top w:val="single" w:color="000000" w:sz="6" w:space="0"/>
                    <w:right w:val="single" w:color="000000" w:sz="6" w:space="0"/>
                  </w:tcBorders>
                  <w:vAlign w:val="center"/>
                </w:tcPr>
                <w:p w14:paraId="4300B01C">
                  <w:pPr>
                    <w:jc w:val="center"/>
                    <w:outlineLvl w:val="1"/>
                    <w:rPr>
                      <w:color w:val="auto"/>
                      <w:highlight w:val="none"/>
                    </w:rPr>
                  </w:pPr>
                  <w:bookmarkStart w:id="48" w:name="_Toc10476"/>
                  <w:r>
                    <w:rPr>
                      <w:rFonts w:hint="eastAsia"/>
                      <w:color w:val="auto"/>
                      <w:highlight w:val="none"/>
                    </w:rPr>
                    <w:t>N1东侧厂界外1m</w:t>
                  </w:r>
                  <w:bookmarkEnd w:id="48"/>
                </w:p>
              </w:tc>
              <w:tc>
                <w:tcPr>
                  <w:tcW w:w="707" w:type="pct"/>
                  <w:vMerge w:val="restart"/>
                  <w:tcBorders>
                    <w:left w:val="single" w:color="000000" w:sz="6" w:space="0"/>
                    <w:right w:val="single" w:color="000000" w:sz="6" w:space="0"/>
                  </w:tcBorders>
                  <w:vAlign w:val="center"/>
                </w:tcPr>
                <w:p w14:paraId="0C70F01A">
                  <w:pPr>
                    <w:jc w:val="center"/>
                    <w:rPr>
                      <w:color w:val="auto"/>
                      <w:highlight w:val="none"/>
                    </w:rPr>
                  </w:pPr>
                  <w:r>
                    <w:rPr>
                      <w:rFonts w:hint="eastAsia"/>
                      <w:color w:val="auto"/>
                      <w:highlight w:val="none"/>
                    </w:rPr>
                    <w:t>2025.02.05</w:t>
                  </w:r>
                </w:p>
              </w:tc>
              <w:tc>
                <w:tcPr>
                  <w:tcW w:w="320" w:type="pct"/>
                  <w:tcBorders>
                    <w:top w:val="single" w:color="000000" w:sz="6" w:space="0"/>
                    <w:left w:val="single" w:color="000000" w:sz="6" w:space="0"/>
                    <w:bottom w:val="single" w:color="000000" w:sz="6" w:space="0"/>
                    <w:right w:val="single" w:color="000000" w:sz="6" w:space="0"/>
                  </w:tcBorders>
                  <w:vAlign w:val="center"/>
                </w:tcPr>
                <w:p w14:paraId="63B7C553">
                  <w:pPr>
                    <w:jc w:val="center"/>
                    <w:rPr>
                      <w:color w:val="auto"/>
                      <w:highlight w:val="none"/>
                    </w:rPr>
                  </w:pPr>
                  <w:r>
                    <w:rPr>
                      <w:rFonts w:hint="eastAsia"/>
                      <w:color w:val="auto"/>
                      <w:highlight w:val="none"/>
                    </w:rPr>
                    <w:t>昼间</w:t>
                  </w:r>
                </w:p>
              </w:tc>
              <w:tc>
                <w:tcPr>
                  <w:tcW w:w="767" w:type="pct"/>
                  <w:tcBorders>
                    <w:top w:val="single" w:color="000000" w:sz="6" w:space="0"/>
                    <w:left w:val="single" w:color="000000" w:sz="6" w:space="0"/>
                    <w:bottom w:val="single" w:color="000000" w:sz="6" w:space="0"/>
                    <w:right w:val="single" w:color="000000" w:sz="6" w:space="0"/>
                  </w:tcBorders>
                  <w:vAlign w:val="center"/>
                </w:tcPr>
                <w:p w14:paraId="1C19DD9E">
                  <w:pPr>
                    <w:tabs>
                      <w:tab w:val="left" w:pos="6030"/>
                    </w:tabs>
                    <w:jc w:val="center"/>
                    <w:rPr>
                      <w:color w:val="auto"/>
                      <w:highlight w:val="none"/>
                    </w:rPr>
                  </w:pPr>
                  <w:r>
                    <w:rPr>
                      <w:rFonts w:hint="eastAsia"/>
                      <w:color w:val="auto"/>
                      <w:szCs w:val="21"/>
                      <w:highlight w:val="none"/>
                    </w:rPr>
                    <w:t>15:48-15:51</w:t>
                  </w:r>
                </w:p>
              </w:tc>
              <w:tc>
                <w:tcPr>
                  <w:tcW w:w="820" w:type="pct"/>
                  <w:tcBorders>
                    <w:top w:val="single" w:color="000000" w:sz="6" w:space="0"/>
                  </w:tcBorders>
                  <w:vAlign w:val="center"/>
                </w:tcPr>
                <w:p w14:paraId="2757AF6C">
                  <w:pPr>
                    <w:tabs>
                      <w:tab w:val="left" w:pos="6030"/>
                    </w:tabs>
                    <w:jc w:val="center"/>
                    <w:rPr>
                      <w:color w:val="auto"/>
                      <w:highlight w:val="none"/>
                    </w:rPr>
                  </w:pPr>
                  <w:r>
                    <w:rPr>
                      <w:rFonts w:hint="eastAsia"/>
                      <w:color w:val="auto"/>
                      <w:highlight w:val="none"/>
                    </w:rPr>
                    <w:t>55.3</w:t>
                  </w:r>
                </w:p>
              </w:tc>
              <w:tc>
                <w:tcPr>
                  <w:tcW w:w="819" w:type="pct"/>
                  <w:tcBorders>
                    <w:top w:val="single" w:color="000000" w:sz="6" w:space="0"/>
                  </w:tcBorders>
                  <w:vAlign w:val="center"/>
                </w:tcPr>
                <w:p w14:paraId="69F17E79">
                  <w:pPr>
                    <w:tabs>
                      <w:tab w:val="left" w:pos="6030"/>
                    </w:tabs>
                    <w:jc w:val="center"/>
                    <w:rPr>
                      <w:color w:val="auto"/>
                      <w:highlight w:val="none"/>
                    </w:rPr>
                  </w:pPr>
                  <w:r>
                    <w:rPr>
                      <w:rFonts w:hint="eastAsia"/>
                      <w:color w:val="auto"/>
                      <w:highlight w:val="none"/>
                    </w:rPr>
                    <w:t>55</w:t>
                  </w:r>
                </w:p>
              </w:tc>
            </w:tr>
            <w:tr w14:paraId="6F6B8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continue"/>
                  <w:vAlign w:val="center"/>
                </w:tcPr>
                <w:p w14:paraId="0F49BBFC">
                  <w:pPr>
                    <w:jc w:val="center"/>
                    <w:rPr>
                      <w:color w:val="auto"/>
                      <w:highlight w:val="none"/>
                    </w:rPr>
                  </w:pPr>
                </w:p>
              </w:tc>
              <w:tc>
                <w:tcPr>
                  <w:tcW w:w="1246" w:type="pct"/>
                  <w:vMerge w:val="continue"/>
                  <w:tcBorders>
                    <w:bottom w:val="single" w:color="000000" w:sz="6" w:space="0"/>
                    <w:right w:val="single" w:color="000000" w:sz="6" w:space="0"/>
                  </w:tcBorders>
                  <w:vAlign w:val="center"/>
                </w:tcPr>
                <w:p w14:paraId="1ABD6008">
                  <w:pPr>
                    <w:jc w:val="center"/>
                    <w:rPr>
                      <w:color w:val="auto"/>
                      <w:highlight w:val="none"/>
                    </w:rPr>
                  </w:pPr>
                </w:p>
              </w:tc>
              <w:tc>
                <w:tcPr>
                  <w:tcW w:w="707" w:type="pct"/>
                  <w:vMerge w:val="continue"/>
                  <w:tcBorders>
                    <w:left w:val="single" w:color="000000" w:sz="6" w:space="0"/>
                    <w:right w:val="single" w:color="000000" w:sz="6" w:space="0"/>
                  </w:tcBorders>
                  <w:vAlign w:val="center"/>
                </w:tcPr>
                <w:p w14:paraId="6E19D032">
                  <w:pPr>
                    <w:jc w:val="center"/>
                    <w:rPr>
                      <w:color w:val="auto"/>
                      <w:highlight w:val="none"/>
                    </w:rPr>
                  </w:pPr>
                </w:p>
              </w:tc>
              <w:tc>
                <w:tcPr>
                  <w:tcW w:w="320" w:type="pct"/>
                  <w:tcBorders>
                    <w:top w:val="single" w:color="000000" w:sz="6" w:space="0"/>
                    <w:left w:val="single" w:color="000000" w:sz="6" w:space="0"/>
                    <w:right w:val="single" w:color="000000" w:sz="6" w:space="0"/>
                  </w:tcBorders>
                  <w:vAlign w:val="center"/>
                </w:tcPr>
                <w:p w14:paraId="6F54FE54">
                  <w:pPr>
                    <w:jc w:val="center"/>
                    <w:rPr>
                      <w:color w:val="auto"/>
                      <w:highlight w:val="none"/>
                    </w:rPr>
                  </w:pPr>
                  <w:r>
                    <w:rPr>
                      <w:rFonts w:hint="eastAsia"/>
                      <w:color w:val="auto"/>
                      <w:highlight w:val="none"/>
                    </w:rPr>
                    <w:t>夜间</w:t>
                  </w:r>
                </w:p>
              </w:tc>
              <w:tc>
                <w:tcPr>
                  <w:tcW w:w="767" w:type="pct"/>
                  <w:tcBorders>
                    <w:top w:val="single" w:color="000000" w:sz="6" w:space="0"/>
                    <w:left w:val="single" w:color="000000" w:sz="6" w:space="0"/>
                    <w:right w:val="single" w:color="000000" w:sz="6" w:space="0"/>
                  </w:tcBorders>
                  <w:vAlign w:val="center"/>
                </w:tcPr>
                <w:p w14:paraId="2AADD993">
                  <w:pPr>
                    <w:jc w:val="center"/>
                    <w:rPr>
                      <w:color w:val="auto"/>
                      <w:highlight w:val="none"/>
                    </w:rPr>
                  </w:pPr>
                  <w:r>
                    <w:rPr>
                      <w:rFonts w:hint="eastAsia"/>
                      <w:color w:val="auto"/>
                      <w:szCs w:val="21"/>
                      <w:highlight w:val="none"/>
                    </w:rPr>
                    <w:t>22:01-22:04</w:t>
                  </w:r>
                </w:p>
              </w:tc>
              <w:tc>
                <w:tcPr>
                  <w:tcW w:w="820" w:type="pct"/>
                  <w:vAlign w:val="center"/>
                </w:tcPr>
                <w:p w14:paraId="6A809605">
                  <w:pPr>
                    <w:jc w:val="center"/>
                    <w:rPr>
                      <w:color w:val="auto"/>
                      <w:highlight w:val="none"/>
                    </w:rPr>
                  </w:pPr>
                  <w:r>
                    <w:rPr>
                      <w:rFonts w:hint="eastAsia"/>
                      <w:color w:val="auto"/>
                      <w:highlight w:val="none"/>
                    </w:rPr>
                    <w:t>44.6</w:t>
                  </w:r>
                </w:p>
              </w:tc>
              <w:tc>
                <w:tcPr>
                  <w:tcW w:w="819" w:type="pct"/>
                  <w:vAlign w:val="center"/>
                </w:tcPr>
                <w:p w14:paraId="620831CE">
                  <w:pPr>
                    <w:jc w:val="center"/>
                    <w:rPr>
                      <w:color w:val="auto"/>
                      <w:highlight w:val="none"/>
                    </w:rPr>
                  </w:pPr>
                  <w:r>
                    <w:rPr>
                      <w:rFonts w:hint="eastAsia"/>
                      <w:color w:val="auto"/>
                      <w:highlight w:val="none"/>
                    </w:rPr>
                    <w:t>45</w:t>
                  </w:r>
                </w:p>
              </w:tc>
            </w:tr>
            <w:tr w14:paraId="6DB2E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continue"/>
                  <w:vAlign w:val="center"/>
                </w:tcPr>
                <w:p w14:paraId="0BFC83A0">
                  <w:pPr>
                    <w:jc w:val="center"/>
                    <w:rPr>
                      <w:color w:val="auto"/>
                      <w:highlight w:val="none"/>
                    </w:rPr>
                  </w:pPr>
                </w:p>
              </w:tc>
              <w:tc>
                <w:tcPr>
                  <w:tcW w:w="1246" w:type="pct"/>
                  <w:vMerge w:val="restart"/>
                  <w:tcBorders>
                    <w:top w:val="single" w:color="000000" w:sz="6" w:space="0"/>
                    <w:right w:val="single" w:color="000000" w:sz="6" w:space="0"/>
                  </w:tcBorders>
                  <w:vAlign w:val="center"/>
                </w:tcPr>
                <w:p w14:paraId="715248CB">
                  <w:pPr>
                    <w:jc w:val="center"/>
                    <w:outlineLvl w:val="1"/>
                    <w:rPr>
                      <w:color w:val="auto"/>
                      <w:highlight w:val="none"/>
                    </w:rPr>
                  </w:pPr>
                  <w:bookmarkStart w:id="49" w:name="_Toc3836"/>
                  <w:r>
                    <w:rPr>
                      <w:rFonts w:hint="eastAsia"/>
                      <w:color w:val="auto"/>
                      <w:highlight w:val="none"/>
                    </w:rPr>
                    <w:t>N2南侧厂界外1m</w:t>
                  </w:r>
                  <w:bookmarkEnd w:id="49"/>
                </w:p>
              </w:tc>
              <w:tc>
                <w:tcPr>
                  <w:tcW w:w="707" w:type="pct"/>
                  <w:vMerge w:val="continue"/>
                  <w:tcBorders>
                    <w:left w:val="single" w:color="000000" w:sz="6" w:space="0"/>
                    <w:right w:val="single" w:color="000000" w:sz="6" w:space="0"/>
                  </w:tcBorders>
                  <w:vAlign w:val="center"/>
                </w:tcPr>
                <w:p w14:paraId="7CBF925F">
                  <w:pPr>
                    <w:jc w:val="center"/>
                    <w:rPr>
                      <w:color w:val="auto"/>
                      <w:highlight w:val="none"/>
                    </w:rPr>
                  </w:pPr>
                </w:p>
              </w:tc>
              <w:tc>
                <w:tcPr>
                  <w:tcW w:w="320" w:type="pct"/>
                  <w:tcBorders>
                    <w:top w:val="single" w:color="000000" w:sz="6" w:space="0"/>
                    <w:left w:val="single" w:color="000000" w:sz="6" w:space="0"/>
                    <w:right w:val="single" w:color="000000" w:sz="6" w:space="0"/>
                  </w:tcBorders>
                  <w:vAlign w:val="center"/>
                </w:tcPr>
                <w:p w14:paraId="5C5F45D0">
                  <w:pPr>
                    <w:jc w:val="center"/>
                    <w:rPr>
                      <w:color w:val="auto"/>
                      <w:highlight w:val="none"/>
                    </w:rPr>
                  </w:pPr>
                  <w:r>
                    <w:rPr>
                      <w:rFonts w:hint="eastAsia"/>
                      <w:color w:val="auto"/>
                      <w:highlight w:val="none"/>
                    </w:rPr>
                    <w:t>昼间</w:t>
                  </w:r>
                </w:p>
              </w:tc>
              <w:tc>
                <w:tcPr>
                  <w:tcW w:w="767" w:type="pct"/>
                  <w:tcBorders>
                    <w:top w:val="single" w:color="000000" w:sz="6" w:space="0"/>
                    <w:left w:val="single" w:color="000000" w:sz="6" w:space="0"/>
                    <w:right w:val="single" w:color="000000" w:sz="6" w:space="0"/>
                  </w:tcBorders>
                  <w:vAlign w:val="center"/>
                </w:tcPr>
                <w:p w14:paraId="4E062DC7">
                  <w:pPr>
                    <w:tabs>
                      <w:tab w:val="left" w:pos="6030"/>
                    </w:tabs>
                    <w:jc w:val="center"/>
                    <w:rPr>
                      <w:color w:val="auto"/>
                      <w:highlight w:val="none"/>
                    </w:rPr>
                  </w:pPr>
                  <w:r>
                    <w:rPr>
                      <w:rFonts w:hint="eastAsia"/>
                      <w:color w:val="auto"/>
                      <w:szCs w:val="21"/>
                      <w:highlight w:val="none"/>
                    </w:rPr>
                    <w:t>16:10-16:13</w:t>
                  </w:r>
                </w:p>
              </w:tc>
              <w:tc>
                <w:tcPr>
                  <w:tcW w:w="820" w:type="pct"/>
                  <w:vAlign w:val="center"/>
                </w:tcPr>
                <w:p w14:paraId="5E1716BD">
                  <w:pPr>
                    <w:jc w:val="center"/>
                    <w:rPr>
                      <w:color w:val="auto"/>
                      <w:highlight w:val="none"/>
                    </w:rPr>
                  </w:pPr>
                  <w:r>
                    <w:rPr>
                      <w:rFonts w:hint="eastAsia"/>
                      <w:color w:val="auto"/>
                      <w:highlight w:val="none"/>
                    </w:rPr>
                    <w:t>52.2</w:t>
                  </w:r>
                </w:p>
              </w:tc>
              <w:tc>
                <w:tcPr>
                  <w:tcW w:w="819" w:type="pct"/>
                  <w:vAlign w:val="center"/>
                </w:tcPr>
                <w:p w14:paraId="36D03CA2">
                  <w:pPr>
                    <w:jc w:val="center"/>
                    <w:rPr>
                      <w:color w:val="auto"/>
                      <w:highlight w:val="none"/>
                    </w:rPr>
                  </w:pPr>
                  <w:r>
                    <w:rPr>
                      <w:rFonts w:hint="eastAsia"/>
                      <w:color w:val="auto"/>
                      <w:highlight w:val="none"/>
                    </w:rPr>
                    <w:t>52</w:t>
                  </w:r>
                </w:p>
              </w:tc>
            </w:tr>
            <w:tr w14:paraId="123D6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continue"/>
                  <w:vAlign w:val="center"/>
                </w:tcPr>
                <w:p w14:paraId="02B684EB">
                  <w:pPr>
                    <w:jc w:val="center"/>
                    <w:rPr>
                      <w:color w:val="auto"/>
                      <w:highlight w:val="none"/>
                    </w:rPr>
                  </w:pPr>
                </w:p>
              </w:tc>
              <w:tc>
                <w:tcPr>
                  <w:tcW w:w="1246" w:type="pct"/>
                  <w:vMerge w:val="continue"/>
                  <w:tcBorders>
                    <w:bottom w:val="single" w:color="000000" w:sz="6" w:space="0"/>
                    <w:right w:val="single" w:color="000000" w:sz="6" w:space="0"/>
                  </w:tcBorders>
                  <w:vAlign w:val="center"/>
                </w:tcPr>
                <w:p w14:paraId="2F15E13F">
                  <w:pPr>
                    <w:jc w:val="center"/>
                    <w:rPr>
                      <w:color w:val="auto"/>
                      <w:highlight w:val="none"/>
                    </w:rPr>
                  </w:pPr>
                </w:p>
              </w:tc>
              <w:tc>
                <w:tcPr>
                  <w:tcW w:w="707" w:type="pct"/>
                  <w:vMerge w:val="continue"/>
                  <w:tcBorders>
                    <w:left w:val="single" w:color="000000" w:sz="6" w:space="0"/>
                    <w:right w:val="single" w:color="000000" w:sz="6" w:space="0"/>
                  </w:tcBorders>
                  <w:vAlign w:val="center"/>
                </w:tcPr>
                <w:p w14:paraId="756EF85D">
                  <w:pPr>
                    <w:jc w:val="center"/>
                    <w:rPr>
                      <w:color w:val="auto"/>
                      <w:highlight w:val="none"/>
                    </w:rPr>
                  </w:pPr>
                </w:p>
              </w:tc>
              <w:tc>
                <w:tcPr>
                  <w:tcW w:w="320" w:type="pct"/>
                  <w:tcBorders>
                    <w:top w:val="single" w:color="000000" w:sz="6" w:space="0"/>
                    <w:left w:val="single" w:color="000000" w:sz="6" w:space="0"/>
                    <w:right w:val="single" w:color="000000" w:sz="6" w:space="0"/>
                  </w:tcBorders>
                  <w:vAlign w:val="center"/>
                </w:tcPr>
                <w:p w14:paraId="3D3B0DC2">
                  <w:pPr>
                    <w:jc w:val="center"/>
                    <w:rPr>
                      <w:color w:val="auto"/>
                      <w:highlight w:val="none"/>
                    </w:rPr>
                  </w:pPr>
                  <w:r>
                    <w:rPr>
                      <w:rFonts w:hint="eastAsia"/>
                      <w:color w:val="auto"/>
                      <w:highlight w:val="none"/>
                    </w:rPr>
                    <w:t>夜间</w:t>
                  </w:r>
                </w:p>
              </w:tc>
              <w:tc>
                <w:tcPr>
                  <w:tcW w:w="767" w:type="pct"/>
                  <w:tcBorders>
                    <w:top w:val="single" w:color="000000" w:sz="6" w:space="0"/>
                    <w:left w:val="single" w:color="000000" w:sz="6" w:space="0"/>
                    <w:right w:val="single" w:color="000000" w:sz="6" w:space="0"/>
                  </w:tcBorders>
                  <w:vAlign w:val="center"/>
                </w:tcPr>
                <w:p w14:paraId="1D8B9CA0">
                  <w:pPr>
                    <w:jc w:val="center"/>
                    <w:rPr>
                      <w:color w:val="auto"/>
                      <w:highlight w:val="none"/>
                    </w:rPr>
                  </w:pPr>
                  <w:r>
                    <w:rPr>
                      <w:rFonts w:hint="eastAsia"/>
                      <w:color w:val="auto"/>
                      <w:szCs w:val="21"/>
                      <w:highlight w:val="none"/>
                    </w:rPr>
                    <w:t>22:22-22:25</w:t>
                  </w:r>
                </w:p>
              </w:tc>
              <w:tc>
                <w:tcPr>
                  <w:tcW w:w="820" w:type="pct"/>
                  <w:vAlign w:val="center"/>
                </w:tcPr>
                <w:p w14:paraId="1004751A">
                  <w:pPr>
                    <w:jc w:val="center"/>
                    <w:rPr>
                      <w:color w:val="auto"/>
                      <w:highlight w:val="none"/>
                    </w:rPr>
                  </w:pPr>
                  <w:r>
                    <w:rPr>
                      <w:rFonts w:hint="eastAsia"/>
                      <w:color w:val="auto"/>
                      <w:highlight w:val="none"/>
                    </w:rPr>
                    <w:t>41.1</w:t>
                  </w:r>
                </w:p>
              </w:tc>
              <w:tc>
                <w:tcPr>
                  <w:tcW w:w="819" w:type="pct"/>
                  <w:vAlign w:val="center"/>
                </w:tcPr>
                <w:p w14:paraId="160D2B28">
                  <w:pPr>
                    <w:jc w:val="center"/>
                    <w:rPr>
                      <w:color w:val="auto"/>
                      <w:highlight w:val="none"/>
                    </w:rPr>
                  </w:pPr>
                  <w:r>
                    <w:rPr>
                      <w:rFonts w:hint="eastAsia"/>
                      <w:color w:val="auto"/>
                      <w:highlight w:val="none"/>
                    </w:rPr>
                    <w:t>41</w:t>
                  </w:r>
                </w:p>
              </w:tc>
            </w:tr>
            <w:tr w14:paraId="79CC3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continue"/>
                  <w:vAlign w:val="center"/>
                </w:tcPr>
                <w:p w14:paraId="58984606">
                  <w:pPr>
                    <w:jc w:val="center"/>
                    <w:rPr>
                      <w:color w:val="auto"/>
                      <w:highlight w:val="none"/>
                    </w:rPr>
                  </w:pPr>
                </w:p>
              </w:tc>
              <w:tc>
                <w:tcPr>
                  <w:tcW w:w="1246" w:type="pct"/>
                  <w:vMerge w:val="restart"/>
                  <w:tcBorders>
                    <w:right w:val="single" w:color="000000" w:sz="6" w:space="0"/>
                  </w:tcBorders>
                  <w:vAlign w:val="center"/>
                </w:tcPr>
                <w:p w14:paraId="64C32BD8">
                  <w:pPr>
                    <w:jc w:val="center"/>
                    <w:outlineLvl w:val="1"/>
                    <w:rPr>
                      <w:color w:val="auto"/>
                      <w:highlight w:val="none"/>
                    </w:rPr>
                  </w:pPr>
                  <w:bookmarkStart w:id="50" w:name="_Toc911"/>
                  <w:r>
                    <w:rPr>
                      <w:rFonts w:hint="eastAsia"/>
                      <w:color w:val="auto"/>
                      <w:highlight w:val="none"/>
                    </w:rPr>
                    <w:t>N3西侧厂界外1m</w:t>
                  </w:r>
                  <w:bookmarkEnd w:id="50"/>
                </w:p>
              </w:tc>
              <w:tc>
                <w:tcPr>
                  <w:tcW w:w="707" w:type="pct"/>
                  <w:vMerge w:val="continue"/>
                  <w:tcBorders>
                    <w:left w:val="single" w:color="000000" w:sz="6" w:space="0"/>
                    <w:right w:val="single" w:color="000000" w:sz="6" w:space="0"/>
                  </w:tcBorders>
                  <w:vAlign w:val="center"/>
                </w:tcPr>
                <w:p w14:paraId="2E75EB3D">
                  <w:pPr>
                    <w:jc w:val="center"/>
                    <w:rPr>
                      <w:color w:val="auto"/>
                      <w:highlight w:val="none"/>
                    </w:rPr>
                  </w:pPr>
                </w:p>
              </w:tc>
              <w:tc>
                <w:tcPr>
                  <w:tcW w:w="320" w:type="pct"/>
                  <w:tcBorders>
                    <w:top w:val="single" w:color="000000" w:sz="6" w:space="0"/>
                    <w:left w:val="single" w:color="000000" w:sz="6" w:space="0"/>
                    <w:right w:val="single" w:color="000000" w:sz="6" w:space="0"/>
                  </w:tcBorders>
                  <w:vAlign w:val="center"/>
                </w:tcPr>
                <w:p w14:paraId="7CCE60F8">
                  <w:pPr>
                    <w:jc w:val="center"/>
                    <w:rPr>
                      <w:color w:val="auto"/>
                      <w:highlight w:val="none"/>
                    </w:rPr>
                  </w:pPr>
                  <w:r>
                    <w:rPr>
                      <w:rFonts w:hint="eastAsia"/>
                      <w:color w:val="auto"/>
                      <w:highlight w:val="none"/>
                    </w:rPr>
                    <w:t>昼间</w:t>
                  </w:r>
                </w:p>
              </w:tc>
              <w:tc>
                <w:tcPr>
                  <w:tcW w:w="767" w:type="pct"/>
                  <w:tcBorders>
                    <w:top w:val="single" w:color="000000" w:sz="6" w:space="0"/>
                    <w:left w:val="single" w:color="000000" w:sz="6" w:space="0"/>
                    <w:right w:val="single" w:color="000000" w:sz="6" w:space="0"/>
                  </w:tcBorders>
                  <w:vAlign w:val="center"/>
                </w:tcPr>
                <w:p w14:paraId="146AF3D2">
                  <w:pPr>
                    <w:tabs>
                      <w:tab w:val="left" w:pos="6030"/>
                    </w:tabs>
                    <w:jc w:val="center"/>
                    <w:rPr>
                      <w:color w:val="auto"/>
                      <w:highlight w:val="none"/>
                    </w:rPr>
                  </w:pPr>
                  <w:r>
                    <w:rPr>
                      <w:rFonts w:hint="eastAsia"/>
                      <w:color w:val="auto"/>
                      <w:szCs w:val="21"/>
                      <w:highlight w:val="none"/>
                    </w:rPr>
                    <w:t>16:31-16:34</w:t>
                  </w:r>
                </w:p>
              </w:tc>
              <w:tc>
                <w:tcPr>
                  <w:tcW w:w="820" w:type="pct"/>
                  <w:vAlign w:val="center"/>
                </w:tcPr>
                <w:p w14:paraId="66187E27">
                  <w:pPr>
                    <w:jc w:val="center"/>
                    <w:rPr>
                      <w:color w:val="auto"/>
                      <w:highlight w:val="none"/>
                    </w:rPr>
                  </w:pPr>
                  <w:r>
                    <w:rPr>
                      <w:rFonts w:hint="eastAsia"/>
                      <w:color w:val="auto"/>
                      <w:highlight w:val="none"/>
                    </w:rPr>
                    <w:t>53.9</w:t>
                  </w:r>
                </w:p>
              </w:tc>
              <w:tc>
                <w:tcPr>
                  <w:tcW w:w="819" w:type="pct"/>
                  <w:vAlign w:val="center"/>
                </w:tcPr>
                <w:p w14:paraId="54AC8737">
                  <w:pPr>
                    <w:jc w:val="center"/>
                    <w:rPr>
                      <w:color w:val="auto"/>
                      <w:highlight w:val="none"/>
                    </w:rPr>
                  </w:pPr>
                  <w:r>
                    <w:rPr>
                      <w:rFonts w:hint="eastAsia"/>
                      <w:color w:val="auto"/>
                      <w:highlight w:val="none"/>
                    </w:rPr>
                    <w:t>54</w:t>
                  </w:r>
                </w:p>
              </w:tc>
            </w:tr>
            <w:tr w14:paraId="78774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continue"/>
                  <w:vAlign w:val="center"/>
                </w:tcPr>
                <w:p w14:paraId="2B2C3840">
                  <w:pPr>
                    <w:jc w:val="center"/>
                    <w:rPr>
                      <w:color w:val="auto"/>
                      <w:highlight w:val="none"/>
                    </w:rPr>
                  </w:pPr>
                </w:p>
              </w:tc>
              <w:tc>
                <w:tcPr>
                  <w:tcW w:w="1246" w:type="pct"/>
                  <w:vMerge w:val="continue"/>
                  <w:tcBorders>
                    <w:bottom w:val="single" w:color="000000" w:sz="6" w:space="0"/>
                    <w:right w:val="single" w:color="000000" w:sz="6" w:space="0"/>
                  </w:tcBorders>
                  <w:vAlign w:val="center"/>
                </w:tcPr>
                <w:p w14:paraId="5A76BCCD">
                  <w:pPr>
                    <w:jc w:val="center"/>
                    <w:rPr>
                      <w:color w:val="auto"/>
                      <w:highlight w:val="none"/>
                    </w:rPr>
                  </w:pPr>
                </w:p>
              </w:tc>
              <w:tc>
                <w:tcPr>
                  <w:tcW w:w="707" w:type="pct"/>
                  <w:vMerge w:val="continue"/>
                  <w:tcBorders>
                    <w:left w:val="single" w:color="000000" w:sz="6" w:space="0"/>
                    <w:right w:val="single" w:color="000000" w:sz="6" w:space="0"/>
                  </w:tcBorders>
                  <w:vAlign w:val="center"/>
                </w:tcPr>
                <w:p w14:paraId="1835DE3D">
                  <w:pPr>
                    <w:jc w:val="center"/>
                    <w:rPr>
                      <w:color w:val="auto"/>
                      <w:highlight w:val="none"/>
                    </w:rPr>
                  </w:pPr>
                </w:p>
              </w:tc>
              <w:tc>
                <w:tcPr>
                  <w:tcW w:w="320" w:type="pct"/>
                  <w:tcBorders>
                    <w:top w:val="single" w:color="000000" w:sz="6" w:space="0"/>
                    <w:left w:val="single" w:color="000000" w:sz="6" w:space="0"/>
                    <w:right w:val="single" w:color="000000" w:sz="6" w:space="0"/>
                  </w:tcBorders>
                  <w:vAlign w:val="center"/>
                </w:tcPr>
                <w:p w14:paraId="659B94DD">
                  <w:pPr>
                    <w:jc w:val="center"/>
                    <w:rPr>
                      <w:color w:val="auto"/>
                      <w:highlight w:val="none"/>
                    </w:rPr>
                  </w:pPr>
                  <w:r>
                    <w:rPr>
                      <w:rFonts w:hint="eastAsia"/>
                      <w:color w:val="auto"/>
                      <w:highlight w:val="none"/>
                    </w:rPr>
                    <w:t>夜间</w:t>
                  </w:r>
                </w:p>
              </w:tc>
              <w:tc>
                <w:tcPr>
                  <w:tcW w:w="767" w:type="pct"/>
                  <w:tcBorders>
                    <w:top w:val="single" w:color="000000" w:sz="6" w:space="0"/>
                    <w:left w:val="single" w:color="000000" w:sz="6" w:space="0"/>
                    <w:right w:val="single" w:color="000000" w:sz="6" w:space="0"/>
                  </w:tcBorders>
                  <w:vAlign w:val="center"/>
                </w:tcPr>
                <w:p w14:paraId="1CAABFCC">
                  <w:pPr>
                    <w:jc w:val="center"/>
                    <w:rPr>
                      <w:color w:val="auto"/>
                      <w:highlight w:val="none"/>
                    </w:rPr>
                  </w:pPr>
                  <w:r>
                    <w:rPr>
                      <w:rFonts w:hint="eastAsia"/>
                      <w:color w:val="auto"/>
                      <w:szCs w:val="21"/>
                      <w:highlight w:val="none"/>
                    </w:rPr>
                    <w:t>22:43-22:46</w:t>
                  </w:r>
                </w:p>
              </w:tc>
              <w:tc>
                <w:tcPr>
                  <w:tcW w:w="820" w:type="pct"/>
                  <w:vAlign w:val="center"/>
                </w:tcPr>
                <w:p w14:paraId="5D8CC2F5">
                  <w:pPr>
                    <w:jc w:val="center"/>
                    <w:rPr>
                      <w:color w:val="auto"/>
                      <w:highlight w:val="none"/>
                    </w:rPr>
                  </w:pPr>
                  <w:r>
                    <w:rPr>
                      <w:rFonts w:hint="eastAsia"/>
                      <w:color w:val="auto"/>
                      <w:highlight w:val="none"/>
                    </w:rPr>
                    <w:t>42.3</w:t>
                  </w:r>
                </w:p>
              </w:tc>
              <w:tc>
                <w:tcPr>
                  <w:tcW w:w="819" w:type="pct"/>
                  <w:vAlign w:val="center"/>
                </w:tcPr>
                <w:p w14:paraId="7C2026A3">
                  <w:pPr>
                    <w:jc w:val="center"/>
                    <w:rPr>
                      <w:color w:val="auto"/>
                      <w:highlight w:val="none"/>
                    </w:rPr>
                  </w:pPr>
                  <w:r>
                    <w:rPr>
                      <w:rFonts w:hint="eastAsia"/>
                      <w:color w:val="auto"/>
                      <w:highlight w:val="none"/>
                    </w:rPr>
                    <w:t>42</w:t>
                  </w:r>
                </w:p>
              </w:tc>
            </w:tr>
            <w:tr w14:paraId="427BB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continue"/>
                  <w:vAlign w:val="center"/>
                </w:tcPr>
                <w:p w14:paraId="1231FDFB">
                  <w:pPr>
                    <w:jc w:val="center"/>
                    <w:rPr>
                      <w:color w:val="auto"/>
                      <w:highlight w:val="none"/>
                    </w:rPr>
                  </w:pPr>
                </w:p>
              </w:tc>
              <w:tc>
                <w:tcPr>
                  <w:tcW w:w="1246" w:type="pct"/>
                  <w:vMerge w:val="restart"/>
                  <w:tcBorders>
                    <w:right w:val="single" w:color="000000" w:sz="6" w:space="0"/>
                  </w:tcBorders>
                  <w:vAlign w:val="center"/>
                </w:tcPr>
                <w:p w14:paraId="22E94CFE">
                  <w:pPr>
                    <w:jc w:val="center"/>
                    <w:outlineLvl w:val="1"/>
                    <w:rPr>
                      <w:color w:val="auto"/>
                      <w:highlight w:val="none"/>
                    </w:rPr>
                  </w:pPr>
                  <w:bookmarkStart w:id="51" w:name="_Toc24769"/>
                  <w:r>
                    <w:rPr>
                      <w:rFonts w:hint="eastAsia"/>
                      <w:color w:val="auto"/>
                      <w:highlight w:val="none"/>
                    </w:rPr>
                    <w:t>N4北侧厂界外1m</w:t>
                  </w:r>
                  <w:bookmarkEnd w:id="51"/>
                </w:p>
              </w:tc>
              <w:tc>
                <w:tcPr>
                  <w:tcW w:w="707" w:type="pct"/>
                  <w:vMerge w:val="continue"/>
                  <w:tcBorders>
                    <w:left w:val="single" w:color="000000" w:sz="6" w:space="0"/>
                    <w:right w:val="single" w:color="000000" w:sz="6" w:space="0"/>
                  </w:tcBorders>
                  <w:vAlign w:val="center"/>
                </w:tcPr>
                <w:p w14:paraId="6B3B78B3">
                  <w:pPr>
                    <w:jc w:val="center"/>
                    <w:rPr>
                      <w:color w:val="auto"/>
                      <w:highlight w:val="none"/>
                    </w:rPr>
                  </w:pPr>
                </w:p>
              </w:tc>
              <w:tc>
                <w:tcPr>
                  <w:tcW w:w="320" w:type="pct"/>
                  <w:tcBorders>
                    <w:top w:val="single" w:color="000000" w:sz="6" w:space="0"/>
                    <w:left w:val="single" w:color="000000" w:sz="6" w:space="0"/>
                    <w:right w:val="single" w:color="000000" w:sz="6" w:space="0"/>
                  </w:tcBorders>
                  <w:vAlign w:val="center"/>
                </w:tcPr>
                <w:p w14:paraId="63924F5B">
                  <w:pPr>
                    <w:jc w:val="center"/>
                    <w:rPr>
                      <w:color w:val="auto"/>
                      <w:highlight w:val="none"/>
                    </w:rPr>
                  </w:pPr>
                  <w:r>
                    <w:rPr>
                      <w:rFonts w:hint="eastAsia"/>
                      <w:color w:val="auto"/>
                      <w:highlight w:val="none"/>
                    </w:rPr>
                    <w:t>昼间</w:t>
                  </w:r>
                </w:p>
              </w:tc>
              <w:tc>
                <w:tcPr>
                  <w:tcW w:w="767" w:type="pct"/>
                  <w:tcBorders>
                    <w:top w:val="single" w:color="000000" w:sz="6" w:space="0"/>
                    <w:left w:val="single" w:color="000000" w:sz="6" w:space="0"/>
                    <w:right w:val="single" w:color="000000" w:sz="6" w:space="0"/>
                  </w:tcBorders>
                  <w:vAlign w:val="center"/>
                </w:tcPr>
                <w:p w14:paraId="7EFB3849">
                  <w:pPr>
                    <w:tabs>
                      <w:tab w:val="left" w:pos="6030"/>
                    </w:tabs>
                    <w:jc w:val="center"/>
                    <w:rPr>
                      <w:color w:val="auto"/>
                      <w:highlight w:val="none"/>
                    </w:rPr>
                  </w:pPr>
                  <w:r>
                    <w:rPr>
                      <w:rFonts w:hint="eastAsia"/>
                      <w:color w:val="auto"/>
                      <w:szCs w:val="21"/>
                      <w:highlight w:val="none"/>
                    </w:rPr>
                    <w:t>16:54-16:57</w:t>
                  </w:r>
                </w:p>
              </w:tc>
              <w:tc>
                <w:tcPr>
                  <w:tcW w:w="820" w:type="pct"/>
                  <w:vAlign w:val="center"/>
                </w:tcPr>
                <w:p w14:paraId="06AB4DBF">
                  <w:pPr>
                    <w:jc w:val="center"/>
                    <w:rPr>
                      <w:color w:val="auto"/>
                      <w:highlight w:val="none"/>
                    </w:rPr>
                  </w:pPr>
                  <w:r>
                    <w:rPr>
                      <w:rFonts w:hint="eastAsia"/>
                      <w:color w:val="auto"/>
                      <w:highlight w:val="none"/>
                    </w:rPr>
                    <w:t>56.7</w:t>
                  </w:r>
                </w:p>
              </w:tc>
              <w:tc>
                <w:tcPr>
                  <w:tcW w:w="819" w:type="pct"/>
                  <w:vAlign w:val="center"/>
                </w:tcPr>
                <w:p w14:paraId="74D24A5C">
                  <w:pPr>
                    <w:jc w:val="center"/>
                    <w:rPr>
                      <w:color w:val="auto"/>
                      <w:highlight w:val="none"/>
                    </w:rPr>
                  </w:pPr>
                  <w:r>
                    <w:rPr>
                      <w:rFonts w:hint="eastAsia"/>
                      <w:color w:val="auto"/>
                      <w:highlight w:val="none"/>
                    </w:rPr>
                    <w:t>57</w:t>
                  </w:r>
                </w:p>
              </w:tc>
            </w:tr>
            <w:tr w14:paraId="2A516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continue"/>
                  <w:vAlign w:val="center"/>
                </w:tcPr>
                <w:p w14:paraId="1E5700BB">
                  <w:pPr>
                    <w:jc w:val="center"/>
                    <w:rPr>
                      <w:color w:val="auto"/>
                      <w:highlight w:val="none"/>
                    </w:rPr>
                  </w:pPr>
                </w:p>
              </w:tc>
              <w:tc>
                <w:tcPr>
                  <w:tcW w:w="1246" w:type="pct"/>
                  <w:vMerge w:val="continue"/>
                  <w:tcBorders>
                    <w:right w:val="single" w:color="000000" w:sz="6" w:space="0"/>
                  </w:tcBorders>
                  <w:vAlign w:val="center"/>
                </w:tcPr>
                <w:p w14:paraId="0AC3DA9B">
                  <w:pPr>
                    <w:jc w:val="center"/>
                    <w:rPr>
                      <w:color w:val="auto"/>
                      <w:highlight w:val="none"/>
                    </w:rPr>
                  </w:pPr>
                </w:p>
              </w:tc>
              <w:tc>
                <w:tcPr>
                  <w:tcW w:w="707" w:type="pct"/>
                  <w:vMerge w:val="continue"/>
                  <w:tcBorders>
                    <w:left w:val="single" w:color="000000" w:sz="6" w:space="0"/>
                    <w:right w:val="single" w:color="000000" w:sz="6" w:space="0"/>
                  </w:tcBorders>
                  <w:vAlign w:val="center"/>
                </w:tcPr>
                <w:p w14:paraId="16A62987">
                  <w:pPr>
                    <w:jc w:val="center"/>
                    <w:rPr>
                      <w:color w:val="auto"/>
                      <w:highlight w:val="none"/>
                    </w:rPr>
                  </w:pPr>
                </w:p>
              </w:tc>
              <w:tc>
                <w:tcPr>
                  <w:tcW w:w="320" w:type="pct"/>
                  <w:tcBorders>
                    <w:top w:val="single" w:color="000000" w:sz="6" w:space="0"/>
                    <w:left w:val="single" w:color="000000" w:sz="6" w:space="0"/>
                    <w:bottom w:val="single" w:color="000000" w:sz="6" w:space="0"/>
                    <w:right w:val="single" w:color="000000" w:sz="6" w:space="0"/>
                  </w:tcBorders>
                  <w:vAlign w:val="center"/>
                </w:tcPr>
                <w:p w14:paraId="7F93E2E0">
                  <w:pPr>
                    <w:jc w:val="center"/>
                    <w:rPr>
                      <w:color w:val="auto"/>
                      <w:highlight w:val="none"/>
                    </w:rPr>
                  </w:pPr>
                  <w:r>
                    <w:rPr>
                      <w:rFonts w:hint="eastAsia"/>
                      <w:color w:val="auto"/>
                      <w:highlight w:val="none"/>
                    </w:rPr>
                    <w:t>夜间</w:t>
                  </w:r>
                </w:p>
              </w:tc>
              <w:tc>
                <w:tcPr>
                  <w:tcW w:w="767" w:type="pct"/>
                  <w:tcBorders>
                    <w:top w:val="single" w:color="000000" w:sz="6" w:space="0"/>
                    <w:left w:val="single" w:color="000000" w:sz="6" w:space="0"/>
                    <w:bottom w:val="single" w:color="000000" w:sz="6" w:space="0"/>
                    <w:right w:val="single" w:color="000000" w:sz="6" w:space="0"/>
                  </w:tcBorders>
                  <w:vAlign w:val="center"/>
                </w:tcPr>
                <w:p w14:paraId="6773AC79">
                  <w:pPr>
                    <w:jc w:val="center"/>
                    <w:rPr>
                      <w:color w:val="auto"/>
                      <w:highlight w:val="none"/>
                    </w:rPr>
                  </w:pPr>
                  <w:r>
                    <w:rPr>
                      <w:rFonts w:hint="eastAsia"/>
                      <w:color w:val="auto"/>
                      <w:szCs w:val="21"/>
                      <w:highlight w:val="none"/>
                    </w:rPr>
                    <w:t>23:06-23:09</w:t>
                  </w:r>
                </w:p>
              </w:tc>
              <w:tc>
                <w:tcPr>
                  <w:tcW w:w="820" w:type="pct"/>
                  <w:vAlign w:val="center"/>
                </w:tcPr>
                <w:p w14:paraId="5BAC9CF6">
                  <w:pPr>
                    <w:jc w:val="center"/>
                    <w:rPr>
                      <w:color w:val="auto"/>
                      <w:highlight w:val="none"/>
                    </w:rPr>
                  </w:pPr>
                  <w:r>
                    <w:rPr>
                      <w:rFonts w:hint="eastAsia"/>
                      <w:color w:val="auto"/>
                      <w:highlight w:val="none"/>
                    </w:rPr>
                    <w:t>47.1</w:t>
                  </w:r>
                </w:p>
              </w:tc>
              <w:tc>
                <w:tcPr>
                  <w:tcW w:w="819" w:type="pct"/>
                  <w:vAlign w:val="center"/>
                </w:tcPr>
                <w:p w14:paraId="080E5EA4">
                  <w:pPr>
                    <w:jc w:val="center"/>
                    <w:rPr>
                      <w:color w:val="auto"/>
                      <w:highlight w:val="none"/>
                    </w:rPr>
                  </w:pPr>
                  <w:r>
                    <w:rPr>
                      <w:rFonts w:hint="eastAsia"/>
                      <w:color w:val="auto"/>
                      <w:highlight w:val="none"/>
                    </w:rPr>
                    <w:t>47</w:t>
                  </w:r>
                </w:p>
              </w:tc>
            </w:tr>
            <w:tr w14:paraId="14B38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continue"/>
                  <w:vAlign w:val="center"/>
                </w:tcPr>
                <w:p w14:paraId="0F225729">
                  <w:pPr>
                    <w:jc w:val="center"/>
                    <w:rPr>
                      <w:color w:val="auto"/>
                      <w:highlight w:val="none"/>
                    </w:rPr>
                  </w:pPr>
                </w:p>
              </w:tc>
              <w:tc>
                <w:tcPr>
                  <w:tcW w:w="1246" w:type="pct"/>
                  <w:vMerge w:val="restart"/>
                  <w:tcBorders>
                    <w:top w:val="single" w:color="000000" w:sz="6" w:space="0"/>
                    <w:right w:val="single" w:color="000000" w:sz="6" w:space="0"/>
                  </w:tcBorders>
                  <w:vAlign w:val="center"/>
                </w:tcPr>
                <w:p w14:paraId="33767745">
                  <w:pPr>
                    <w:jc w:val="center"/>
                    <w:outlineLvl w:val="1"/>
                    <w:rPr>
                      <w:color w:val="auto"/>
                      <w:highlight w:val="none"/>
                    </w:rPr>
                  </w:pPr>
                  <w:bookmarkStart w:id="52" w:name="_Toc19165"/>
                  <w:r>
                    <w:rPr>
                      <w:rFonts w:hint="eastAsia"/>
                      <w:color w:val="auto"/>
                      <w:highlight w:val="none"/>
                    </w:rPr>
                    <w:t>N1东侧厂界外1m</w:t>
                  </w:r>
                  <w:bookmarkEnd w:id="52"/>
                </w:p>
              </w:tc>
              <w:tc>
                <w:tcPr>
                  <w:tcW w:w="707" w:type="pct"/>
                  <w:vMerge w:val="restart"/>
                  <w:tcBorders>
                    <w:left w:val="single" w:color="000000" w:sz="6" w:space="0"/>
                    <w:right w:val="single" w:color="000000" w:sz="6" w:space="0"/>
                  </w:tcBorders>
                  <w:vAlign w:val="center"/>
                </w:tcPr>
                <w:p w14:paraId="62CA4E75">
                  <w:pPr>
                    <w:jc w:val="center"/>
                    <w:rPr>
                      <w:color w:val="auto"/>
                      <w:highlight w:val="none"/>
                    </w:rPr>
                  </w:pPr>
                  <w:r>
                    <w:rPr>
                      <w:rFonts w:hint="eastAsia"/>
                      <w:color w:val="auto"/>
                      <w:highlight w:val="none"/>
                    </w:rPr>
                    <w:t>2025.02.06</w:t>
                  </w:r>
                </w:p>
              </w:tc>
              <w:tc>
                <w:tcPr>
                  <w:tcW w:w="320" w:type="pct"/>
                  <w:tcBorders>
                    <w:top w:val="single" w:color="000000" w:sz="6" w:space="0"/>
                    <w:left w:val="single" w:color="000000" w:sz="6" w:space="0"/>
                    <w:bottom w:val="single" w:color="000000" w:sz="6" w:space="0"/>
                    <w:right w:val="single" w:color="000000" w:sz="6" w:space="0"/>
                  </w:tcBorders>
                  <w:vAlign w:val="center"/>
                </w:tcPr>
                <w:p w14:paraId="0630C7C8">
                  <w:pPr>
                    <w:jc w:val="center"/>
                    <w:rPr>
                      <w:color w:val="auto"/>
                      <w:highlight w:val="none"/>
                    </w:rPr>
                  </w:pPr>
                  <w:r>
                    <w:rPr>
                      <w:rFonts w:hint="eastAsia"/>
                      <w:color w:val="auto"/>
                      <w:highlight w:val="none"/>
                    </w:rPr>
                    <w:t>昼间</w:t>
                  </w:r>
                </w:p>
              </w:tc>
              <w:tc>
                <w:tcPr>
                  <w:tcW w:w="767" w:type="pct"/>
                  <w:tcBorders>
                    <w:top w:val="single" w:color="000000" w:sz="6" w:space="0"/>
                    <w:left w:val="single" w:color="000000" w:sz="6" w:space="0"/>
                    <w:bottom w:val="single" w:color="000000" w:sz="6" w:space="0"/>
                    <w:right w:val="single" w:color="000000" w:sz="6" w:space="0"/>
                  </w:tcBorders>
                  <w:vAlign w:val="center"/>
                </w:tcPr>
                <w:p w14:paraId="186CFF01">
                  <w:pPr>
                    <w:tabs>
                      <w:tab w:val="left" w:pos="6030"/>
                    </w:tabs>
                    <w:jc w:val="center"/>
                    <w:rPr>
                      <w:color w:val="auto"/>
                      <w:highlight w:val="none"/>
                    </w:rPr>
                  </w:pPr>
                  <w:r>
                    <w:rPr>
                      <w:rFonts w:hint="eastAsia"/>
                      <w:color w:val="auto"/>
                      <w:szCs w:val="21"/>
                      <w:highlight w:val="none"/>
                    </w:rPr>
                    <w:t>14:51-14:54</w:t>
                  </w:r>
                </w:p>
              </w:tc>
              <w:tc>
                <w:tcPr>
                  <w:tcW w:w="820" w:type="pct"/>
                  <w:tcBorders>
                    <w:top w:val="single" w:color="000000" w:sz="6" w:space="0"/>
                  </w:tcBorders>
                  <w:vAlign w:val="center"/>
                </w:tcPr>
                <w:p w14:paraId="287F7772">
                  <w:pPr>
                    <w:tabs>
                      <w:tab w:val="left" w:pos="6030"/>
                    </w:tabs>
                    <w:jc w:val="center"/>
                    <w:rPr>
                      <w:color w:val="auto"/>
                      <w:highlight w:val="none"/>
                    </w:rPr>
                  </w:pPr>
                  <w:r>
                    <w:rPr>
                      <w:rFonts w:hint="eastAsia"/>
                      <w:color w:val="auto"/>
                      <w:highlight w:val="none"/>
                    </w:rPr>
                    <w:t>56.1</w:t>
                  </w:r>
                </w:p>
              </w:tc>
              <w:tc>
                <w:tcPr>
                  <w:tcW w:w="819" w:type="pct"/>
                  <w:tcBorders>
                    <w:top w:val="single" w:color="000000" w:sz="6" w:space="0"/>
                  </w:tcBorders>
                  <w:vAlign w:val="center"/>
                </w:tcPr>
                <w:p w14:paraId="3D161F17">
                  <w:pPr>
                    <w:tabs>
                      <w:tab w:val="left" w:pos="6030"/>
                    </w:tabs>
                    <w:jc w:val="center"/>
                    <w:rPr>
                      <w:color w:val="auto"/>
                      <w:highlight w:val="none"/>
                    </w:rPr>
                  </w:pPr>
                  <w:r>
                    <w:rPr>
                      <w:rFonts w:hint="eastAsia"/>
                      <w:color w:val="auto"/>
                      <w:highlight w:val="none"/>
                    </w:rPr>
                    <w:t>56</w:t>
                  </w:r>
                </w:p>
              </w:tc>
            </w:tr>
            <w:tr w14:paraId="46A48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continue"/>
                  <w:vAlign w:val="center"/>
                </w:tcPr>
                <w:p w14:paraId="45F11533">
                  <w:pPr>
                    <w:jc w:val="center"/>
                    <w:rPr>
                      <w:color w:val="auto"/>
                      <w:highlight w:val="none"/>
                    </w:rPr>
                  </w:pPr>
                </w:p>
              </w:tc>
              <w:tc>
                <w:tcPr>
                  <w:tcW w:w="1246" w:type="pct"/>
                  <w:vMerge w:val="continue"/>
                  <w:tcBorders>
                    <w:bottom w:val="single" w:color="000000" w:sz="6" w:space="0"/>
                    <w:right w:val="single" w:color="000000" w:sz="6" w:space="0"/>
                  </w:tcBorders>
                  <w:vAlign w:val="center"/>
                </w:tcPr>
                <w:p w14:paraId="4CC728A8">
                  <w:pPr>
                    <w:jc w:val="center"/>
                    <w:rPr>
                      <w:color w:val="auto"/>
                      <w:highlight w:val="none"/>
                    </w:rPr>
                  </w:pPr>
                </w:p>
              </w:tc>
              <w:tc>
                <w:tcPr>
                  <w:tcW w:w="707" w:type="pct"/>
                  <w:vMerge w:val="continue"/>
                  <w:tcBorders>
                    <w:left w:val="single" w:color="000000" w:sz="6" w:space="0"/>
                    <w:right w:val="single" w:color="000000" w:sz="6" w:space="0"/>
                  </w:tcBorders>
                  <w:vAlign w:val="center"/>
                </w:tcPr>
                <w:p w14:paraId="0F6F9ACA">
                  <w:pPr>
                    <w:jc w:val="center"/>
                    <w:rPr>
                      <w:color w:val="auto"/>
                      <w:highlight w:val="none"/>
                    </w:rPr>
                  </w:pPr>
                </w:p>
              </w:tc>
              <w:tc>
                <w:tcPr>
                  <w:tcW w:w="320" w:type="pct"/>
                  <w:tcBorders>
                    <w:top w:val="single" w:color="000000" w:sz="6" w:space="0"/>
                    <w:left w:val="single" w:color="000000" w:sz="6" w:space="0"/>
                    <w:right w:val="single" w:color="000000" w:sz="6" w:space="0"/>
                  </w:tcBorders>
                  <w:vAlign w:val="center"/>
                </w:tcPr>
                <w:p w14:paraId="4791DE1F">
                  <w:pPr>
                    <w:jc w:val="center"/>
                    <w:rPr>
                      <w:color w:val="auto"/>
                      <w:highlight w:val="none"/>
                    </w:rPr>
                  </w:pPr>
                  <w:r>
                    <w:rPr>
                      <w:rFonts w:hint="eastAsia"/>
                      <w:color w:val="auto"/>
                      <w:highlight w:val="none"/>
                    </w:rPr>
                    <w:t>夜间</w:t>
                  </w:r>
                </w:p>
              </w:tc>
              <w:tc>
                <w:tcPr>
                  <w:tcW w:w="767" w:type="pct"/>
                  <w:tcBorders>
                    <w:top w:val="single" w:color="000000" w:sz="6" w:space="0"/>
                    <w:left w:val="single" w:color="000000" w:sz="6" w:space="0"/>
                    <w:right w:val="single" w:color="000000" w:sz="6" w:space="0"/>
                  </w:tcBorders>
                  <w:vAlign w:val="center"/>
                </w:tcPr>
                <w:p w14:paraId="42032194">
                  <w:pPr>
                    <w:jc w:val="center"/>
                    <w:rPr>
                      <w:color w:val="auto"/>
                      <w:highlight w:val="none"/>
                    </w:rPr>
                  </w:pPr>
                  <w:r>
                    <w:rPr>
                      <w:rFonts w:hint="eastAsia"/>
                      <w:color w:val="auto"/>
                      <w:szCs w:val="21"/>
                      <w:highlight w:val="none"/>
                    </w:rPr>
                    <w:t>22:04-22:07</w:t>
                  </w:r>
                </w:p>
              </w:tc>
              <w:tc>
                <w:tcPr>
                  <w:tcW w:w="820" w:type="pct"/>
                  <w:vAlign w:val="center"/>
                </w:tcPr>
                <w:p w14:paraId="0D2C0E33">
                  <w:pPr>
                    <w:jc w:val="center"/>
                    <w:rPr>
                      <w:color w:val="auto"/>
                      <w:highlight w:val="none"/>
                    </w:rPr>
                  </w:pPr>
                  <w:r>
                    <w:rPr>
                      <w:rFonts w:hint="eastAsia"/>
                      <w:color w:val="auto"/>
                      <w:highlight w:val="none"/>
                    </w:rPr>
                    <w:t>45.5</w:t>
                  </w:r>
                </w:p>
              </w:tc>
              <w:tc>
                <w:tcPr>
                  <w:tcW w:w="819" w:type="pct"/>
                  <w:vAlign w:val="center"/>
                </w:tcPr>
                <w:p w14:paraId="6E296F6D">
                  <w:pPr>
                    <w:jc w:val="center"/>
                    <w:rPr>
                      <w:color w:val="auto"/>
                      <w:highlight w:val="none"/>
                    </w:rPr>
                  </w:pPr>
                  <w:r>
                    <w:rPr>
                      <w:rFonts w:hint="eastAsia"/>
                      <w:color w:val="auto"/>
                      <w:highlight w:val="none"/>
                    </w:rPr>
                    <w:t>46</w:t>
                  </w:r>
                </w:p>
              </w:tc>
            </w:tr>
            <w:tr w14:paraId="2EA3E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continue"/>
                  <w:vAlign w:val="center"/>
                </w:tcPr>
                <w:p w14:paraId="318B84A8">
                  <w:pPr>
                    <w:jc w:val="center"/>
                    <w:rPr>
                      <w:color w:val="auto"/>
                      <w:highlight w:val="none"/>
                    </w:rPr>
                  </w:pPr>
                </w:p>
              </w:tc>
              <w:tc>
                <w:tcPr>
                  <w:tcW w:w="1246" w:type="pct"/>
                  <w:vMerge w:val="restart"/>
                  <w:tcBorders>
                    <w:top w:val="single" w:color="000000" w:sz="6" w:space="0"/>
                    <w:right w:val="single" w:color="000000" w:sz="6" w:space="0"/>
                  </w:tcBorders>
                  <w:vAlign w:val="center"/>
                </w:tcPr>
                <w:p w14:paraId="506CFD58">
                  <w:pPr>
                    <w:jc w:val="center"/>
                    <w:outlineLvl w:val="1"/>
                    <w:rPr>
                      <w:color w:val="auto"/>
                      <w:highlight w:val="none"/>
                    </w:rPr>
                  </w:pPr>
                  <w:bookmarkStart w:id="53" w:name="_Toc12321"/>
                  <w:r>
                    <w:rPr>
                      <w:rFonts w:hint="eastAsia"/>
                      <w:color w:val="auto"/>
                      <w:highlight w:val="none"/>
                    </w:rPr>
                    <w:t>N2南侧厂界外1m</w:t>
                  </w:r>
                  <w:bookmarkEnd w:id="53"/>
                </w:p>
              </w:tc>
              <w:tc>
                <w:tcPr>
                  <w:tcW w:w="707" w:type="pct"/>
                  <w:vMerge w:val="continue"/>
                  <w:tcBorders>
                    <w:left w:val="single" w:color="000000" w:sz="6" w:space="0"/>
                    <w:right w:val="single" w:color="000000" w:sz="6" w:space="0"/>
                  </w:tcBorders>
                  <w:vAlign w:val="center"/>
                </w:tcPr>
                <w:p w14:paraId="003FEA6C">
                  <w:pPr>
                    <w:jc w:val="center"/>
                    <w:rPr>
                      <w:color w:val="auto"/>
                      <w:highlight w:val="none"/>
                    </w:rPr>
                  </w:pPr>
                </w:p>
              </w:tc>
              <w:tc>
                <w:tcPr>
                  <w:tcW w:w="320" w:type="pct"/>
                  <w:tcBorders>
                    <w:top w:val="single" w:color="000000" w:sz="6" w:space="0"/>
                    <w:left w:val="single" w:color="000000" w:sz="6" w:space="0"/>
                    <w:right w:val="single" w:color="000000" w:sz="6" w:space="0"/>
                  </w:tcBorders>
                  <w:vAlign w:val="center"/>
                </w:tcPr>
                <w:p w14:paraId="2F10CF5B">
                  <w:pPr>
                    <w:jc w:val="center"/>
                    <w:rPr>
                      <w:color w:val="auto"/>
                      <w:highlight w:val="none"/>
                    </w:rPr>
                  </w:pPr>
                  <w:r>
                    <w:rPr>
                      <w:rFonts w:hint="eastAsia"/>
                      <w:color w:val="auto"/>
                      <w:highlight w:val="none"/>
                    </w:rPr>
                    <w:t>昼间</w:t>
                  </w:r>
                </w:p>
              </w:tc>
              <w:tc>
                <w:tcPr>
                  <w:tcW w:w="767" w:type="pct"/>
                  <w:tcBorders>
                    <w:top w:val="single" w:color="000000" w:sz="6" w:space="0"/>
                    <w:left w:val="single" w:color="000000" w:sz="6" w:space="0"/>
                    <w:right w:val="single" w:color="000000" w:sz="6" w:space="0"/>
                  </w:tcBorders>
                  <w:vAlign w:val="center"/>
                </w:tcPr>
                <w:p w14:paraId="32EFB0A6">
                  <w:pPr>
                    <w:tabs>
                      <w:tab w:val="left" w:pos="6030"/>
                    </w:tabs>
                    <w:jc w:val="center"/>
                    <w:rPr>
                      <w:color w:val="auto"/>
                      <w:highlight w:val="none"/>
                    </w:rPr>
                  </w:pPr>
                  <w:r>
                    <w:rPr>
                      <w:rFonts w:hint="eastAsia"/>
                      <w:color w:val="auto"/>
                      <w:szCs w:val="21"/>
                      <w:highlight w:val="none"/>
                    </w:rPr>
                    <w:t>15:14-15:17</w:t>
                  </w:r>
                </w:p>
              </w:tc>
              <w:tc>
                <w:tcPr>
                  <w:tcW w:w="820" w:type="pct"/>
                  <w:vAlign w:val="center"/>
                </w:tcPr>
                <w:p w14:paraId="3058A952">
                  <w:pPr>
                    <w:jc w:val="center"/>
                    <w:rPr>
                      <w:color w:val="auto"/>
                      <w:highlight w:val="none"/>
                    </w:rPr>
                  </w:pPr>
                  <w:r>
                    <w:rPr>
                      <w:rFonts w:hint="eastAsia"/>
                      <w:color w:val="auto"/>
                      <w:highlight w:val="none"/>
                    </w:rPr>
                    <w:t>53.3</w:t>
                  </w:r>
                </w:p>
              </w:tc>
              <w:tc>
                <w:tcPr>
                  <w:tcW w:w="819" w:type="pct"/>
                  <w:vAlign w:val="center"/>
                </w:tcPr>
                <w:p w14:paraId="54648089">
                  <w:pPr>
                    <w:jc w:val="center"/>
                    <w:rPr>
                      <w:color w:val="auto"/>
                      <w:highlight w:val="none"/>
                    </w:rPr>
                  </w:pPr>
                  <w:r>
                    <w:rPr>
                      <w:rFonts w:hint="eastAsia"/>
                      <w:color w:val="auto"/>
                      <w:highlight w:val="none"/>
                    </w:rPr>
                    <w:t>53</w:t>
                  </w:r>
                </w:p>
              </w:tc>
            </w:tr>
            <w:tr w14:paraId="24455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continue"/>
                  <w:vAlign w:val="center"/>
                </w:tcPr>
                <w:p w14:paraId="610D0417">
                  <w:pPr>
                    <w:jc w:val="center"/>
                    <w:rPr>
                      <w:color w:val="auto"/>
                      <w:highlight w:val="none"/>
                    </w:rPr>
                  </w:pPr>
                </w:p>
              </w:tc>
              <w:tc>
                <w:tcPr>
                  <w:tcW w:w="1246" w:type="pct"/>
                  <w:vMerge w:val="continue"/>
                  <w:tcBorders>
                    <w:bottom w:val="single" w:color="000000" w:sz="6" w:space="0"/>
                    <w:right w:val="single" w:color="000000" w:sz="6" w:space="0"/>
                  </w:tcBorders>
                  <w:vAlign w:val="center"/>
                </w:tcPr>
                <w:p w14:paraId="4B62D8D8">
                  <w:pPr>
                    <w:jc w:val="center"/>
                    <w:rPr>
                      <w:color w:val="auto"/>
                      <w:highlight w:val="none"/>
                    </w:rPr>
                  </w:pPr>
                </w:p>
              </w:tc>
              <w:tc>
                <w:tcPr>
                  <w:tcW w:w="707" w:type="pct"/>
                  <w:vMerge w:val="continue"/>
                  <w:tcBorders>
                    <w:left w:val="single" w:color="000000" w:sz="6" w:space="0"/>
                    <w:right w:val="single" w:color="000000" w:sz="6" w:space="0"/>
                  </w:tcBorders>
                  <w:vAlign w:val="center"/>
                </w:tcPr>
                <w:p w14:paraId="2A25C54A">
                  <w:pPr>
                    <w:jc w:val="center"/>
                    <w:rPr>
                      <w:color w:val="auto"/>
                      <w:highlight w:val="none"/>
                    </w:rPr>
                  </w:pPr>
                </w:p>
              </w:tc>
              <w:tc>
                <w:tcPr>
                  <w:tcW w:w="320" w:type="pct"/>
                  <w:tcBorders>
                    <w:top w:val="single" w:color="000000" w:sz="6" w:space="0"/>
                    <w:left w:val="single" w:color="000000" w:sz="6" w:space="0"/>
                    <w:right w:val="single" w:color="000000" w:sz="6" w:space="0"/>
                  </w:tcBorders>
                  <w:vAlign w:val="center"/>
                </w:tcPr>
                <w:p w14:paraId="060E742A">
                  <w:pPr>
                    <w:jc w:val="center"/>
                    <w:rPr>
                      <w:color w:val="auto"/>
                      <w:highlight w:val="none"/>
                    </w:rPr>
                  </w:pPr>
                  <w:r>
                    <w:rPr>
                      <w:rFonts w:hint="eastAsia"/>
                      <w:color w:val="auto"/>
                      <w:highlight w:val="none"/>
                    </w:rPr>
                    <w:t>夜间</w:t>
                  </w:r>
                </w:p>
              </w:tc>
              <w:tc>
                <w:tcPr>
                  <w:tcW w:w="767" w:type="pct"/>
                  <w:tcBorders>
                    <w:top w:val="single" w:color="000000" w:sz="6" w:space="0"/>
                    <w:left w:val="single" w:color="000000" w:sz="6" w:space="0"/>
                    <w:right w:val="single" w:color="000000" w:sz="6" w:space="0"/>
                  </w:tcBorders>
                  <w:vAlign w:val="center"/>
                </w:tcPr>
                <w:p w14:paraId="738B1F49">
                  <w:pPr>
                    <w:jc w:val="center"/>
                    <w:rPr>
                      <w:color w:val="auto"/>
                      <w:highlight w:val="none"/>
                    </w:rPr>
                  </w:pPr>
                  <w:r>
                    <w:rPr>
                      <w:rFonts w:hint="eastAsia"/>
                      <w:color w:val="auto"/>
                      <w:szCs w:val="21"/>
                      <w:highlight w:val="none"/>
                    </w:rPr>
                    <w:t>22:29-22:32</w:t>
                  </w:r>
                </w:p>
              </w:tc>
              <w:tc>
                <w:tcPr>
                  <w:tcW w:w="820" w:type="pct"/>
                  <w:vAlign w:val="center"/>
                </w:tcPr>
                <w:p w14:paraId="3B3C1DEB">
                  <w:pPr>
                    <w:jc w:val="center"/>
                    <w:rPr>
                      <w:color w:val="auto"/>
                      <w:highlight w:val="none"/>
                    </w:rPr>
                  </w:pPr>
                  <w:r>
                    <w:rPr>
                      <w:rFonts w:hint="eastAsia"/>
                      <w:color w:val="auto"/>
                      <w:highlight w:val="none"/>
                    </w:rPr>
                    <w:t>41.7</w:t>
                  </w:r>
                </w:p>
              </w:tc>
              <w:tc>
                <w:tcPr>
                  <w:tcW w:w="819" w:type="pct"/>
                  <w:vAlign w:val="center"/>
                </w:tcPr>
                <w:p w14:paraId="0C549784">
                  <w:pPr>
                    <w:jc w:val="center"/>
                    <w:rPr>
                      <w:color w:val="auto"/>
                      <w:highlight w:val="none"/>
                    </w:rPr>
                  </w:pPr>
                  <w:r>
                    <w:rPr>
                      <w:rFonts w:hint="eastAsia"/>
                      <w:color w:val="auto"/>
                      <w:highlight w:val="none"/>
                    </w:rPr>
                    <w:t>42</w:t>
                  </w:r>
                </w:p>
              </w:tc>
            </w:tr>
            <w:tr w14:paraId="32E6E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continue"/>
                  <w:vAlign w:val="center"/>
                </w:tcPr>
                <w:p w14:paraId="147E9B36">
                  <w:pPr>
                    <w:jc w:val="center"/>
                    <w:rPr>
                      <w:color w:val="auto"/>
                      <w:highlight w:val="none"/>
                    </w:rPr>
                  </w:pPr>
                </w:p>
              </w:tc>
              <w:tc>
                <w:tcPr>
                  <w:tcW w:w="1246" w:type="pct"/>
                  <w:vMerge w:val="restart"/>
                  <w:tcBorders>
                    <w:right w:val="single" w:color="000000" w:sz="6" w:space="0"/>
                  </w:tcBorders>
                  <w:vAlign w:val="center"/>
                </w:tcPr>
                <w:p w14:paraId="5815275B">
                  <w:pPr>
                    <w:jc w:val="center"/>
                    <w:outlineLvl w:val="1"/>
                    <w:rPr>
                      <w:color w:val="auto"/>
                      <w:highlight w:val="none"/>
                    </w:rPr>
                  </w:pPr>
                  <w:bookmarkStart w:id="54" w:name="_Toc23419"/>
                  <w:r>
                    <w:rPr>
                      <w:rFonts w:hint="eastAsia"/>
                      <w:color w:val="auto"/>
                      <w:highlight w:val="none"/>
                    </w:rPr>
                    <w:t>N3西侧厂界外1m</w:t>
                  </w:r>
                  <w:bookmarkEnd w:id="54"/>
                </w:p>
              </w:tc>
              <w:tc>
                <w:tcPr>
                  <w:tcW w:w="707" w:type="pct"/>
                  <w:vMerge w:val="continue"/>
                  <w:tcBorders>
                    <w:left w:val="single" w:color="000000" w:sz="6" w:space="0"/>
                    <w:right w:val="single" w:color="000000" w:sz="6" w:space="0"/>
                  </w:tcBorders>
                  <w:vAlign w:val="center"/>
                </w:tcPr>
                <w:p w14:paraId="3E93A580">
                  <w:pPr>
                    <w:jc w:val="center"/>
                    <w:rPr>
                      <w:color w:val="auto"/>
                      <w:highlight w:val="none"/>
                    </w:rPr>
                  </w:pPr>
                </w:p>
              </w:tc>
              <w:tc>
                <w:tcPr>
                  <w:tcW w:w="320" w:type="pct"/>
                  <w:tcBorders>
                    <w:top w:val="single" w:color="000000" w:sz="6" w:space="0"/>
                    <w:left w:val="single" w:color="000000" w:sz="6" w:space="0"/>
                    <w:right w:val="single" w:color="000000" w:sz="6" w:space="0"/>
                  </w:tcBorders>
                  <w:vAlign w:val="center"/>
                </w:tcPr>
                <w:p w14:paraId="4140F85D">
                  <w:pPr>
                    <w:jc w:val="center"/>
                    <w:rPr>
                      <w:color w:val="auto"/>
                      <w:highlight w:val="none"/>
                    </w:rPr>
                  </w:pPr>
                  <w:r>
                    <w:rPr>
                      <w:rFonts w:hint="eastAsia"/>
                      <w:color w:val="auto"/>
                      <w:highlight w:val="none"/>
                    </w:rPr>
                    <w:t>昼间</w:t>
                  </w:r>
                </w:p>
              </w:tc>
              <w:tc>
                <w:tcPr>
                  <w:tcW w:w="767" w:type="pct"/>
                  <w:tcBorders>
                    <w:top w:val="single" w:color="000000" w:sz="6" w:space="0"/>
                    <w:left w:val="single" w:color="000000" w:sz="6" w:space="0"/>
                    <w:right w:val="single" w:color="000000" w:sz="6" w:space="0"/>
                  </w:tcBorders>
                  <w:vAlign w:val="center"/>
                </w:tcPr>
                <w:p w14:paraId="7484F1F5">
                  <w:pPr>
                    <w:tabs>
                      <w:tab w:val="left" w:pos="6030"/>
                    </w:tabs>
                    <w:jc w:val="center"/>
                    <w:rPr>
                      <w:color w:val="auto"/>
                      <w:highlight w:val="none"/>
                    </w:rPr>
                  </w:pPr>
                  <w:r>
                    <w:rPr>
                      <w:rFonts w:hint="eastAsia"/>
                      <w:color w:val="auto"/>
                      <w:szCs w:val="21"/>
                      <w:highlight w:val="none"/>
                    </w:rPr>
                    <w:t>15:37-15:40</w:t>
                  </w:r>
                </w:p>
              </w:tc>
              <w:tc>
                <w:tcPr>
                  <w:tcW w:w="820" w:type="pct"/>
                  <w:vAlign w:val="center"/>
                </w:tcPr>
                <w:p w14:paraId="2B432C9B">
                  <w:pPr>
                    <w:jc w:val="center"/>
                    <w:rPr>
                      <w:color w:val="auto"/>
                      <w:highlight w:val="none"/>
                    </w:rPr>
                  </w:pPr>
                  <w:r>
                    <w:rPr>
                      <w:rFonts w:hint="eastAsia"/>
                      <w:color w:val="auto"/>
                      <w:highlight w:val="none"/>
                    </w:rPr>
                    <w:t>54.6</w:t>
                  </w:r>
                </w:p>
              </w:tc>
              <w:tc>
                <w:tcPr>
                  <w:tcW w:w="819" w:type="pct"/>
                  <w:vAlign w:val="center"/>
                </w:tcPr>
                <w:p w14:paraId="4B12FFAA">
                  <w:pPr>
                    <w:jc w:val="center"/>
                    <w:rPr>
                      <w:color w:val="auto"/>
                      <w:highlight w:val="none"/>
                    </w:rPr>
                  </w:pPr>
                  <w:r>
                    <w:rPr>
                      <w:rFonts w:hint="eastAsia"/>
                      <w:color w:val="auto"/>
                      <w:highlight w:val="none"/>
                    </w:rPr>
                    <w:t>55</w:t>
                  </w:r>
                </w:p>
              </w:tc>
            </w:tr>
            <w:tr w14:paraId="21E2E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continue"/>
                  <w:vAlign w:val="center"/>
                </w:tcPr>
                <w:p w14:paraId="608F48C3">
                  <w:pPr>
                    <w:jc w:val="center"/>
                    <w:rPr>
                      <w:color w:val="auto"/>
                      <w:highlight w:val="none"/>
                    </w:rPr>
                  </w:pPr>
                </w:p>
              </w:tc>
              <w:tc>
                <w:tcPr>
                  <w:tcW w:w="1246" w:type="pct"/>
                  <w:vMerge w:val="continue"/>
                  <w:tcBorders>
                    <w:bottom w:val="single" w:color="000000" w:sz="6" w:space="0"/>
                    <w:right w:val="single" w:color="000000" w:sz="6" w:space="0"/>
                  </w:tcBorders>
                  <w:vAlign w:val="center"/>
                </w:tcPr>
                <w:p w14:paraId="73E74FBB">
                  <w:pPr>
                    <w:jc w:val="center"/>
                    <w:rPr>
                      <w:color w:val="auto"/>
                      <w:highlight w:val="none"/>
                    </w:rPr>
                  </w:pPr>
                </w:p>
              </w:tc>
              <w:tc>
                <w:tcPr>
                  <w:tcW w:w="707" w:type="pct"/>
                  <w:vMerge w:val="continue"/>
                  <w:tcBorders>
                    <w:left w:val="single" w:color="000000" w:sz="6" w:space="0"/>
                    <w:right w:val="single" w:color="000000" w:sz="6" w:space="0"/>
                  </w:tcBorders>
                  <w:vAlign w:val="center"/>
                </w:tcPr>
                <w:p w14:paraId="0BEAB28C">
                  <w:pPr>
                    <w:jc w:val="center"/>
                    <w:rPr>
                      <w:color w:val="auto"/>
                      <w:highlight w:val="none"/>
                    </w:rPr>
                  </w:pPr>
                </w:p>
              </w:tc>
              <w:tc>
                <w:tcPr>
                  <w:tcW w:w="320" w:type="pct"/>
                  <w:tcBorders>
                    <w:top w:val="single" w:color="000000" w:sz="6" w:space="0"/>
                    <w:left w:val="single" w:color="000000" w:sz="6" w:space="0"/>
                    <w:right w:val="single" w:color="000000" w:sz="6" w:space="0"/>
                  </w:tcBorders>
                  <w:vAlign w:val="center"/>
                </w:tcPr>
                <w:p w14:paraId="45D050D8">
                  <w:pPr>
                    <w:jc w:val="center"/>
                    <w:rPr>
                      <w:color w:val="auto"/>
                      <w:highlight w:val="none"/>
                    </w:rPr>
                  </w:pPr>
                  <w:r>
                    <w:rPr>
                      <w:rFonts w:hint="eastAsia"/>
                      <w:color w:val="auto"/>
                      <w:highlight w:val="none"/>
                    </w:rPr>
                    <w:t>夜间</w:t>
                  </w:r>
                </w:p>
              </w:tc>
              <w:tc>
                <w:tcPr>
                  <w:tcW w:w="767" w:type="pct"/>
                  <w:tcBorders>
                    <w:top w:val="single" w:color="000000" w:sz="6" w:space="0"/>
                    <w:left w:val="single" w:color="000000" w:sz="6" w:space="0"/>
                    <w:right w:val="single" w:color="000000" w:sz="6" w:space="0"/>
                  </w:tcBorders>
                  <w:vAlign w:val="center"/>
                </w:tcPr>
                <w:p w14:paraId="63BA39D8">
                  <w:pPr>
                    <w:jc w:val="center"/>
                    <w:rPr>
                      <w:color w:val="auto"/>
                      <w:highlight w:val="none"/>
                    </w:rPr>
                  </w:pPr>
                  <w:r>
                    <w:rPr>
                      <w:rFonts w:hint="eastAsia"/>
                      <w:color w:val="auto"/>
                      <w:szCs w:val="21"/>
                      <w:highlight w:val="none"/>
                    </w:rPr>
                    <w:t>22:45-22:48</w:t>
                  </w:r>
                </w:p>
              </w:tc>
              <w:tc>
                <w:tcPr>
                  <w:tcW w:w="820" w:type="pct"/>
                  <w:vAlign w:val="center"/>
                </w:tcPr>
                <w:p w14:paraId="7A4A0954">
                  <w:pPr>
                    <w:jc w:val="center"/>
                    <w:rPr>
                      <w:color w:val="auto"/>
                      <w:highlight w:val="none"/>
                    </w:rPr>
                  </w:pPr>
                  <w:r>
                    <w:rPr>
                      <w:rFonts w:hint="eastAsia"/>
                      <w:color w:val="auto"/>
                      <w:highlight w:val="none"/>
                    </w:rPr>
                    <w:t>43.1</w:t>
                  </w:r>
                </w:p>
              </w:tc>
              <w:tc>
                <w:tcPr>
                  <w:tcW w:w="819" w:type="pct"/>
                  <w:vAlign w:val="center"/>
                </w:tcPr>
                <w:p w14:paraId="0554D102">
                  <w:pPr>
                    <w:jc w:val="center"/>
                    <w:rPr>
                      <w:color w:val="auto"/>
                      <w:highlight w:val="none"/>
                    </w:rPr>
                  </w:pPr>
                  <w:r>
                    <w:rPr>
                      <w:rFonts w:hint="eastAsia"/>
                      <w:color w:val="auto"/>
                      <w:highlight w:val="none"/>
                    </w:rPr>
                    <w:t>43</w:t>
                  </w:r>
                </w:p>
              </w:tc>
            </w:tr>
            <w:tr w14:paraId="596FF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317" w:type="pct"/>
                  <w:vMerge w:val="continue"/>
                  <w:vAlign w:val="center"/>
                </w:tcPr>
                <w:p w14:paraId="189EC1FB">
                  <w:pPr>
                    <w:jc w:val="center"/>
                    <w:rPr>
                      <w:color w:val="auto"/>
                      <w:highlight w:val="none"/>
                    </w:rPr>
                  </w:pPr>
                </w:p>
              </w:tc>
              <w:tc>
                <w:tcPr>
                  <w:tcW w:w="1246" w:type="pct"/>
                  <w:vMerge w:val="restart"/>
                  <w:tcBorders>
                    <w:right w:val="single" w:color="000000" w:sz="6" w:space="0"/>
                  </w:tcBorders>
                  <w:vAlign w:val="center"/>
                </w:tcPr>
                <w:p w14:paraId="1D847933">
                  <w:pPr>
                    <w:jc w:val="center"/>
                    <w:outlineLvl w:val="1"/>
                    <w:rPr>
                      <w:color w:val="auto"/>
                      <w:highlight w:val="none"/>
                    </w:rPr>
                  </w:pPr>
                  <w:bookmarkStart w:id="55" w:name="_Toc13869"/>
                  <w:r>
                    <w:rPr>
                      <w:rFonts w:hint="eastAsia"/>
                      <w:color w:val="auto"/>
                      <w:highlight w:val="none"/>
                    </w:rPr>
                    <w:t>N4北侧厂界外1m</w:t>
                  </w:r>
                  <w:bookmarkEnd w:id="55"/>
                </w:p>
              </w:tc>
              <w:tc>
                <w:tcPr>
                  <w:tcW w:w="707" w:type="pct"/>
                  <w:vMerge w:val="continue"/>
                  <w:tcBorders>
                    <w:left w:val="single" w:color="000000" w:sz="6" w:space="0"/>
                    <w:right w:val="single" w:color="000000" w:sz="6" w:space="0"/>
                  </w:tcBorders>
                  <w:vAlign w:val="center"/>
                </w:tcPr>
                <w:p w14:paraId="7E2A6A26">
                  <w:pPr>
                    <w:jc w:val="center"/>
                    <w:rPr>
                      <w:color w:val="auto"/>
                      <w:highlight w:val="none"/>
                    </w:rPr>
                  </w:pPr>
                </w:p>
              </w:tc>
              <w:tc>
                <w:tcPr>
                  <w:tcW w:w="320" w:type="pct"/>
                  <w:tcBorders>
                    <w:top w:val="single" w:color="000000" w:sz="6" w:space="0"/>
                    <w:left w:val="single" w:color="000000" w:sz="6" w:space="0"/>
                    <w:right w:val="single" w:color="000000" w:sz="6" w:space="0"/>
                  </w:tcBorders>
                  <w:vAlign w:val="center"/>
                </w:tcPr>
                <w:p w14:paraId="3C371EBA">
                  <w:pPr>
                    <w:jc w:val="center"/>
                    <w:rPr>
                      <w:color w:val="auto"/>
                      <w:highlight w:val="none"/>
                    </w:rPr>
                  </w:pPr>
                  <w:r>
                    <w:rPr>
                      <w:rFonts w:hint="eastAsia"/>
                      <w:color w:val="auto"/>
                      <w:highlight w:val="none"/>
                    </w:rPr>
                    <w:t>昼间</w:t>
                  </w:r>
                </w:p>
              </w:tc>
              <w:tc>
                <w:tcPr>
                  <w:tcW w:w="767" w:type="pct"/>
                  <w:tcBorders>
                    <w:top w:val="single" w:color="000000" w:sz="6" w:space="0"/>
                    <w:left w:val="single" w:color="000000" w:sz="6" w:space="0"/>
                    <w:right w:val="single" w:color="000000" w:sz="6" w:space="0"/>
                  </w:tcBorders>
                  <w:vAlign w:val="center"/>
                </w:tcPr>
                <w:p w14:paraId="29A2A734">
                  <w:pPr>
                    <w:tabs>
                      <w:tab w:val="left" w:pos="6030"/>
                    </w:tabs>
                    <w:jc w:val="center"/>
                    <w:rPr>
                      <w:color w:val="auto"/>
                      <w:highlight w:val="none"/>
                    </w:rPr>
                  </w:pPr>
                  <w:r>
                    <w:rPr>
                      <w:rFonts w:hint="eastAsia"/>
                      <w:color w:val="auto"/>
                      <w:szCs w:val="21"/>
                      <w:highlight w:val="none"/>
                    </w:rPr>
                    <w:t>16:03-16:06</w:t>
                  </w:r>
                </w:p>
              </w:tc>
              <w:tc>
                <w:tcPr>
                  <w:tcW w:w="820" w:type="pct"/>
                  <w:vAlign w:val="center"/>
                </w:tcPr>
                <w:p w14:paraId="5FF5435D">
                  <w:pPr>
                    <w:jc w:val="center"/>
                    <w:rPr>
                      <w:color w:val="auto"/>
                      <w:highlight w:val="none"/>
                    </w:rPr>
                  </w:pPr>
                  <w:r>
                    <w:rPr>
                      <w:rFonts w:hint="eastAsia"/>
                      <w:color w:val="auto"/>
                      <w:highlight w:val="none"/>
                    </w:rPr>
                    <w:t>57.5</w:t>
                  </w:r>
                </w:p>
              </w:tc>
              <w:tc>
                <w:tcPr>
                  <w:tcW w:w="819" w:type="pct"/>
                  <w:vAlign w:val="center"/>
                </w:tcPr>
                <w:p w14:paraId="5F263FF1">
                  <w:pPr>
                    <w:jc w:val="center"/>
                    <w:rPr>
                      <w:color w:val="auto"/>
                      <w:highlight w:val="none"/>
                    </w:rPr>
                  </w:pPr>
                  <w:r>
                    <w:rPr>
                      <w:rFonts w:hint="eastAsia"/>
                      <w:color w:val="auto"/>
                      <w:highlight w:val="none"/>
                    </w:rPr>
                    <w:t>58</w:t>
                  </w:r>
                </w:p>
              </w:tc>
            </w:tr>
            <w:tr w14:paraId="41258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317" w:type="pct"/>
                  <w:vMerge w:val="continue"/>
                  <w:vAlign w:val="center"/>
                </w:tcPr>
                <w:p w14:paraId="373330CC">
                  <w:pPr>
                    <w:jc w:val="center"/>
                    <w:rPr>
                      <w:color w:val="auto"/>
                      <w:highlight w:val="none"/>
                    </w:rPr>
                  </w:pPr>
                </w:p>
              </w:tc>
              <w:tc>
                <w:tcPr>
                  <w:tcW w:w="1246" w:type="pct"/>
                  <w:vMerge w:val="continue"/>
                  <w:tcBorders>
                    <w:right w:val="single" w:color="000000" w:sz="6" w:space="0"/>
                  </w:tcBorders>
                  <w:vAlign w:val="center"/>
                </w:tcPr>
                <w:p w14:paraId="41E3D37B">
                  <w:pPr>
                    <w:jc w:val="center"/>
                    <w:rPr>
                      <w:color w:val="auto"/>
                      <w:highlight w:val="none"/>
                    </w:rPr>
                  </w:pPr>
                </w:p>
              </w:tc>
              <w:tc>
                <w:tcPr>
                  <w:tcW w:w="707" w:type="pct"/>
                  <w:vMerge w:val="continue"/>
                  <w:tcBorders>
                    <w:left w:val="single" w:color="000000" w:sz="6" w:space="0"/>
                    <w:right w:val="single" w:color="000000" w:sz="6" w:space="0"/>
                  </w:tcBorders>
                  <w:vAlign w:val="center"/>
                </w:tcPr>
                <w:p w14:paraId="5C34F990">
                  <w:pPr>
                    <w:jc w:val="center"/>
                    <w:rPr>
                      <w:color w:val="auto"/>
                      <w:highlight w:val="none"/>
                    </w:rPr>
                  </w:pPr>
                </w:p>
              </w:tc>
              <w:tc>
                <w:tcPr>
                  <w:tcW w:w="320" w:type="pct"/>
                  <w:tcBorders>
                    <w:top w:val="single" w:color="000000" w:sz="6" w:space="0"/>
                    <w:left w:val="single" w:color="000000" w:sz="6" w:space="0"/>
                    <w:bottom w:val="single" w:color="000000" w:sz="6" w:space="0"/>
                    <w:right w:val="single" w:color="000000" w:sz="6" w:space="0"/>
                  </w:tcBorders>
                  <w:vAlign w:val="center"/>
                </w:tcPr>
                <w:p w14:paraId="7756E805">
                  <w:pPr>
                    <w:jc w:val="center"/>
                    <w:rPr>
                      <w:color w:val="auto"/>
                      <w:highlight w:val="none"/>
                    </w:rPr>
                  </w:pPr>
                  <w:r>
                    <w:rPr>
                      <w:rFonts w:hint="eastAsia"/>
                      <w:color w:val="auto"/>
                      <w:highlight w:val="none"/>
                    </w:rPr>
                    <w:t>夜间</w:t>
                  </w:r>
                </w:p>
              </w:tc>
              <w:tc>
                <w:tcPr>
                  <w:tcW w:w="767" w:type="pct"/>
                  <w:tcBorders>
                    <w:top w:val="single" w:color="000000" w:sz="6" w:space="0"/>
                    <w:left w:val="single" w:color="000000" w:sz="6" w:space="0"/>
                    <w:bottom w:val="single" w:color="000000" w:sz="6" w:space="0"/>
                    <w:right w:val="single" w:color="000000" w:sz="6" w:space="0"/>
                  </w:tcBorders>
                  <w:vAlign w:val="center"/>
                </w:tcPr>
                <w:p w14:paraId="5C0FF86F">
                  <w:pPr>
                    <w:jc w:val="center"/>
                    <w:rPr>
                      <w:color w:val="auto"/>
                      <w:highlight w:val="none"/>
                    </w:rPr>
                  </w:pPr>
                  <w:r>
                    <w:rPr>
                      <w:rFonts w:hint="eastAsia"/>
                      <w:color w:val="auto"/>
                      <w:szCs w:val="21"/>
                      <w:highlight w:val="none"/>
                    </w:rPr>
                    <w:t>23:10-23:13</w:t>
                  </w:r>
                </w:p>
              </w:tc>
              <w:tc>
                <w:tcPr>
                  <w:tcW w:w="820" w:type="pct"/>
                  <w:vAlign w:val="center"/>
                </w:tcPr>
                <w:p w14:paraId="6BBA9476">
                  <w:pPr>
                    <w:jc w:val="center"/>
                    <w:rPr>
                      <w:color w:val="auto"/>
                      <w:highlight w:val="none"/>
                    </w:rPr>
                  </w:pPr>
                  <w:r>
                    <w:rPr>
                      <w:rFonts w:hint="eastAsia"/>
                      <w:color w:val="auto"/>
                      <w:highlight w:val="none"/>
                    </w:rPr>
                    <w:t>46.9</w:t>
                  </w:r>
                </w:p>
              </w:tc>
              <w:tc>
                <w:tcPr>
                  <w:tcW w:w="819" w:type="pct"/>
                  <w:vAlign w:val="center"/>
                </w:tcPr>
                <w:p w14:paraId="6FDE6069">
                  <w:pPr>
                    <w:jc w:val="center"/>
                    <w:rPr>
                      <w:color w:val="auto"/>
                      <w:highlight w:val="none"/>
                    </w:rPr>
                  </w:pPr>
                  <w:r>
                    <w:rPr>
                      <w:rFonts w:hint="eastAsia"/>
                      <w:color w:val="auto"/>
                      <w:highlight w:val="none"/>
                    </w:rPr>
                    <w:t>47</w:t>
                  </w:r>
                </w:p>
              </w:tc>
            </w:tr>
          </w:tbl>
          <w:p w14:paraId="4B85B9D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highlight w:val="none"/>
              </w:rPr>
            </w:pPr>
            <w:r>
              <w:rPr>
                <w:color w:val="auto"/>
                <w:sz w:val="24"/>
                <w:highlight w:val="none"/>
              </w:rPr>
              <w:t>根据表3-</w:t>
            </w:r>
            <w:r>
              <w:rPr>
                <w:rFonts w:hint="eastAsia"/>
                <w:color w:val="auto"/>
                <w:sz w:val="24"/>
                <w:highlight w:val="none"/>
              </w:rPr>
              <w:t>5</w:t>
            </w:r>
            <w:r>
              <w:rPr>
                <w:color w:val="auto"/>
                <w:sz w:val="24"/>
                <w:highlight w:val="none"/>
              </w:rPr>
              <w:t>，</w:t>
            </w:r>
            <w:r>
              <w:rPr>
                <w:rFonts w:hint="eastAsia"/>
                <w:color w:val="auto"/>
                <w:sz w:val="24"/>
                <w:highlight w:val="none"/>
              </w:rPr>
              <w:t>拟建</w:t>
            </w:r>
            <w:r>
              <w:rPr>
                <w:color w:val="auto"/>
                <w:sz w:val="24"/>
                <w:highlight w:val="none"/>
              </w:rPr>
              <w:t>项目区</w:t>
            </w:r>
            <w:r>
              <w:rPr>
                <w:rFonts w:hint="eastAsia"/>
                <w:color w:val="auto"/>
                <w:sz w:val="24"/>
                <w:highlight w:val="none"/>
              </w:rPr>
              <w:t>附近</w:t>
            </w:r>
            <w:r>
              <w:rPr>
                <w:color w:val="auto"/>
                <w:sz w:val="24"/>
                <w:highlight w:val="none"/>
              </w:rPr>
              <w:t>的</w:t>
            </w:r>
            <w:r>
              <w:rPr>
                <w:rFonts w:hint="eastAsia"/>
                <w:color w:val="auto"/>
                <w:sz w:val="24"/>
                <w:highlight w:val="none"/>
                <w:lang w:val="en-US" w:eastAsia="zh-CN"/>
              </w:rPr>
              <w:t>现</w:t>
            </w:r>
            <w:r>
              <w:rPr>
                <w:rFonts w:hint="eastAsia"/>
                <w:color w:val="auto"/>
                <w:sz w:val="24"/>
                <w:highlight w:val="none"/>
              </w:rPr>
              <w:t>厂区</w:t>
            </w:r>
            <w:r>
              <w:rPr>
                <w:color w:val="auto"/>
                <w:sz w:val="24"/>
                <w:highlight w:val="none"/>
              </w:rPr>
              <w:t>四个</w:t>
            </w:r>
            <w:r>
              <w:rPr>
                <w:rFonts w:hint="eastAsia"/>
                <w:color w:val="auto"/>
                <w:sz w:val="24"/>
                <w:highlight w:val="none"/>
              </w:rPr>
              <w:t>监测点位</w:t>
            </w:r>
            <w:r>
              <w:rPr>
                <w:color w:val="auto"/>
                <w:sz w:val="24"/>
                <w:highlight w:val="none"/>
              </w:rPr>
              <w:t>的</w:t>
            </w:r>
            <w:r>
              <w:rPr>
                <w:rFonts w:hint="eastAsia"/>
                <w:color w:val="auto"/>
                <w:sz w:val="24"/>
                <w:highlight w:val="none"/>
              </w:rPr>
              <w:t>声环境质量均达到《声环境质量标准》（GB3096-2008）2类标准限值，项目所在地声环境质量现状满足2类声环境功能区要求。</w:t>
            </w:r>
          </w:p>
          <w:p w14:paraId="26973C1E">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left"/>
              <w:textAlignment w:val="auto"/>
              <w:rPr>
                <w:b/>
                <w:bCs/>
                <w:color w:val="auto"/>
                <w:kern w:val="0"/>
                <w:sz w:val="24"/>
                <w:highlight w:val="none"/>
              </w:rPr>
            </w:pPr>
            <w:r>
              <w:rPr>
                <w:rFonts w:hint="eastAsia"/>
                <w:b/>
                <w:bCs/>
                <w:color w:val="auto"/>
                <w:kern w:val="0"/>
                <w:sz w:val="24"/>
                <w:highlight w:val="none"/>
                <w:lang w:val="en-US" w:eastAsia="zh-CN"/>
              </w:rPr>
              <w:t>4、</w:t>
            </w:r>
            <w:r>
              <w:rPr>
                <w:rFonts w:hint="eastAsia"/>
                <w:b/>
                <w:bCs/>
                <w:color w:val="auto"/>
                <w:kern w:val="0"/>
                <w:sz w:val="24"/>
                <w:highlight w:val="none"/>
              </w:rPr>
              <w:t>地下水环境质量现状</w:t>
            </w:r>
          </w:p>
          <w:p w14:paraId="1F4482D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eastAsia="宋体"/>
                <w:color w:val="auto"/>
                <w:kern w:val="0"/>
                <w:sz w:val="24"/>
                <w:highlight w:val="none"/>
                <w:lang w:eastAsia="zh-CN" w:bidi="ar"/>
              </w:rPr>
            </w:pPr>
            <w:r>
              <w:rPr>
                <w:color w:val="auto"/>
                <w:sz w:val="24"/>
                <w:highlight w:val="none"/>
              </w:rPr>
              <w:t>根据2021年《建设项目环境影响报告表编制技术指南（污染影响类）》，</w:t>
            </w:r>
            <w:r>
              <w:rPr>
                <w:rFonts w:hint="eastAsia"/>
                <w:color w:val="auto"/>
                <w:sz w:val="24"/>
                <w:highlight w:val="none"/>
              </w:rPr>
              <w:t>原则上不开展地下水环境质量现状调查，</w:t>
            </w:r>
            <w:r>
              <w:rPr>
                <w:rFonts w:hint="eastAsia"/>
                <w:bCs/>
                <w:color w:val="auto"/>
                <w:sz w:val="24"/>
                <w:highlight w:val="none"/>
              </w:rPr>
              <w:t>但本项目</w:t>
            </w:r>
            <w:r>
              <w:rPr>
                <w:color w:val="auto"/>
                <w:kern w:val="0"/>
                <w:sz w:val="24"/>
                <w:highlight w:val="none"/>
                <w:lang w:bidi="ar"/>
              </w:rPr>
              <w:t>非正常工况</w:t>
            </w:r>
            <w:r>
              <w:rPr>
                <w:rFonts w:hint="eastAsia"/>
                <w:color w:val="auto"/>
                <w:kern w:val="0"/>
                <w:sz w:val="24"/>
                <w:highlight w:val="none"/>
                <w:lang w:bidi="ar"/>
              </w:rPr>
              <w:t>下</w:t>
            </w:r>
            <w:r>
              <w:rPr>
                <w:color w:val="auto"/>
                <w:kern w:val="0"/>
                <w:sz w:val="24"/>
                <w:highlight w:val="none"/>
                <w:lang w:bidi="ar"/>
              </w:rPr>
              <w:t>废水或危险废物</w:t>
            </w:r>
            <w:r>
              <w:rPr>
                <w:rFonts w:hint="eastAsia"/>
                <w:color w:val="auto"/>
                <w:kern w:val="0"/>
                <w:sz w:val="24"/>
                <w:highlight w:val="none"/>
                <w:lang w:bidi="ar"/>
              </w:rPr>
              <w:t>泄漏下</w:t>
            </w:r>
            <w:r>
              <w:rPr>
                <w:color w:val="auto"/>
                <w:kern w:val="0"/>
                <w:sz w:val="24"/>
                <w:highlight w:val="none"/>
                <w:lang w:bidi="ar"/>
              </w:rPr>
              <w:t>渗</w:t>
            </w:r>
            <w:r>
              <w:rPr>
                <w:rFonts w:hint="eastAsia"/>
                <w:color w:val="auto"/>
                <w:kern w:val="0"/>
                <w:sz w:val="24"/>
                <w:highlight w:val="none"/>
                <w:lang w:bidi="ar"/>
              </w:rPr>
              <w:t>会污染地下水，</w:t>
            </w:r>
            <w:r>
              <w:rPr>
                <w:color w:val="auto"/>
                <w:sz w:val="24"/>
                <w:highlight w:val="none"/>
              </w:rPr>
              <w:t>存在</w:t>
            </w:r>
            <w:r>
              <w:rPr>
                <w:color w:val="auto"/>
                <w:kern w:val="0"/>
                <w:sz w:val="24"/>
                <w:highlight w:val="none"/>
                <w:lang w:bidi="ar"/>
              </w:rPr>
              <w:t>地下水污染途径</w:t>
            </w:r>
            <w:r>
              <w:rPr>
                <w:rFonts w:hint="eastAsia"/>
                <w:color w:val="auto"/>
                <w:kern w:val="0"/>
                <w:sz w:val="24"/>
                <w:highlight w:val="none"/>
                <w:lang w:eastAsia="zh-CN" w:bidi="ar"/>
              </w:rPr>
              <w:t>，为了解项目区周边地</w:t>
            </w:r>
            <w:r>
              <w:rPr>
                <w:rFonts w:hint="eastAsia"/>
                <w:color w:val="auto"/>
                <w:kern w:val="0"/>
                <w:sz w:val="24"/>
                <w:highlight w:val="none"/>
                <w:lang w:val="en-US" w:eastAsia="zh-CN" w:bidi="ar"/>
              </w:rPr>
              <w:t>下水</w:t>
            </w:r>
            <w:r>
              <w:rPr>
                <w:rFonts w:hint="eastAsia"/>
                <w:color w:val="auto"/>
                <w:kern w:val="0"/>
                <w:sz w:val="24"/>
                <w:highlight w:val="none"/>
                <w:lang w:eastAsia="zh-CN" w:bidi="ar"/>
              </w:rPr>
              <w:t>环境质量现状，环评委托中博源检测（云南）有限公司于202</w:t>
            </w:r>
            <w:r>
              <w:rPr>
                <w:rFonts w:hint="eastAsia"/>
                <w:color w:val="auto"/>
                <w:kern w:val="0"/>
                <w:sz w:val="24"/>
                <w:highlight w:val="none"/>
                <w:lang w:val="en-US" w:eastAsia="zh-CN" w:bidi="ar"/>
              </w:rPr>
              <w:t>6</w:t>
            </w:r>
            <w:r>
              <w:rPr>
                <w:rFonts w:hint="eastAsia"/>
                <w:color w:val="auto"/>
                <w:kern w:val="0"/>
                <w:sz w:val="24"/>
                <w:highlight w:val="none"/>
                <w:lang w:eastAsia="zh-CN" w:bidi="ar"/>
              </w:rPr>
              <w:t>年</w:t>
            </w:r>
            <w:r>
              <w:rPr>
                <w:rFonts w:hint="eastAsia"/>
                <w:color w:val="auto"/>
                <w:kern w:val="0"/>
                <w:sz w:val="24"/>
                <w:highlight w:val="none"/>
                <w:lang w:val="en-US" w:eastAsia="zh-CN" w:bidi="ar"/>
              </w:rPr>
              <w:t>8</w:t>
            </w:r>
            <w:r>
              <w:rPr>
                <w:rFonts w:hint="eastAsia"/>
                <w:color w:val="auto"/>
                <w:kern w:val="0"/>
                <w:sz w:val="24"/>
                <w:highlight w:val="none"/>
                <w:lang w:eastAsia="zh-CN" w:bidi="ar"/>
              </w:rPr>
              <w:t>月</w:t>
            </w:r>
            <w:r>
              <w:rPr>
                <w:rFonts w:hint="eastAsia"/>
                <w:color w:val="auto"/>
                <w:kern w:val="0"/>
                <w:sz w:val="24"/>
                <w:highlight w:val="none"/>
                <w:lang w:val="en-US" w:eastAsia="zh-CN" w:bidi="ar"/>
              </w:rPr>
              <w:t>7</w:t>
            </w:r>
            <w:r>
              <w:rPr>
                <w:rFonts w:hint="eastAsia"/>
                <w:color w:val="auto"/>
                <w:kern w:val="0"/>
                <w:sz w:val="24"/>
                <w:highlight w:val="none"/>
                <w:lang w:eastAsia="zh-CN" w:bidi="ar"/>
              </w:rPr>
              <w:t>日</w:t>
            </w:r>
            <w:r>
              <w:rPr>
                <w:rFonts w:hint="eastAsia"/>
                <w:color w:val="auto"/>
                <w:kern w:val="0"/>
                <w:sz w:val="24"/>
                <w:highlight w:val="none"/>
                <w:lang w:val="en-US" w:eastAsia="zh-CN" w:bidi="ar"/>
              </w:rPr>
              <w:t>-8日</w:t>
            </w:r>
            <w:r>
              <w:rPr>
                <w:rFonts w:hint="eastAsia"/>
                <w:color w:val="auto"/>
                <w:kern w:val="0"/>
                <w:sz w:val="24"/>
                <w:highlight w:val="none"/>
                <w:lang w:eastAsia="zh-CN" w:bidi="ar"/>
              </w:rPr>
              <w:t>对</w:t>
            </w:r>
            <w:r>
              <w:rPr>
                <w:rFonts w:hint="eastAsia"/>
                <w:color w:val="auto"/>
                <w:kern w:val="0"/>
                <w:sz w:val="24"/>
                <w:highlight w:val="none"/>
                <w:lang w:val="en-US" w:eastAsia="zh-CN" w:bidi="ar"/>
              </w:rPr>
              <w:t>区域地下水（大法古村水井，</w:t>
            </w:r>
            <w:r>
              <w:rPr>
                <w:rFonts w:hint="eastAsia"/>
                <w:color w:val="auto"/>
                <w:sz w:val="24"/>
                <w:highlight w:val="none"/>
              </w:rPr>
              <w:t>该水井主要功能为灌溉，位于公司下游约600m</w:t>
            </w:r>
            <w:r>
              <w:rPr>
                <w:rFonts w:hint="eastAsia"/>
                <w:color w:val="auto"/>
                <w:kern w:val="0"/>
                <w:sz w:val="24"/>
                <w:highlight w:val="none"/>
                <w:lang w:val="en-US" w:eastAsia="zh-CN" w:bidi="ar"/>
              </w:rPr>
              <w:t>）</w:t>
            </w:r>
            <w:r>
              <w:rPr>
                <w:rFonts w:hint="eastAsia"/>
                <w:color w:val="auto"/>
                <w:kern w:val="0"/>
                <w:sz w:val="24"/>
                <w:highlight w:val="none"/>
                <w:lang w:eastAsia="zh-CN" w:bidi="ar"/>
              </w:rPr>
              <w:t>进行</w:t>
            </w:r>
            <w:r>
              <w:rPr>
                <w:rFonts w:hint="eastAsia"/>
                <w:color w:val="auto"/>
                <w:kern w:val="0"/>
                <w:sz w:val="24"/>
                <w:highlight w:val="none"/>
                <w:lang w:val="en-US" w:eastAsia="zh-CN" w:bidi="ar"/>
              </w:rPr>
              <w:t>了</w:t>
            </w:r>
            <w:r>
              <w:rPr>
                <w:rFonts w:hint="eastAsia"/>
                <w:color w:val="auto"/>
                <w:kern w:val="0"/>
                <w:sz w:val="24"/>
                <w:highlight w:val="none"/>
                <w:lang w:eastAsia="zh-CN" w:bidi="ar"/>
              </w:rPr>
              <w:t>现状监测，监测情况如下：</w:t>
            </w:r>
          </w:p>
          <w:p w14:paraId="12EA0DD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highlight w:val="none"/>
              </w:rPr>
            </w:pPr>
            <w:r>
              <w:rPr>
                <w:rFonts w:hint="eastAsia"/>
                <w:color w:val="auto"/>
                <w:sz w:val="24"/>
                <w:highlight w:val="none"/>
              </w:rPr>
              <w:t>具体详见附图6。</w:t>
            </w:r>
          </w:p>
          <w:p w14:paraId="38209FE8">
            <w:pPr>
              <w:jc w:val="center"/>
              <w:rPr>
                <w:b/>
                <w:bCs/>
                <w:color w:val="auto"/>
                <w:szCs w:val="21"/>
                <w:highlight w:val="none"/>
              </w:rPr>
            </w:pPr>
            <w:r>
              <w:rPr>
                <w:b/>
                <w:bCs/>
                <w:color w:val="auto"/>
                <w:szCs w:val="21"/>
                <w:highlight w:val="none"/>
              </w:rPr>
              <w:t>表</w:t>
            </w:r>
            <w:r>
              <w:rPr>
                <w:rFonts w:hint="eastAsia"/>
                <w:b/>
                <w:bCs/>
                <w:color w:val="auto"/>
                <w:szCs w:val="21"/>
                <w:highlight w:val="none"/>
              </w:rPr>
              <w:t>3</w:t>
            </w:r>
            <w:r>
              <w:rPr>
                <w:b/>
                <w:bCs/>
                <w:color w:val="auto"/>
                <w:szCs w:val="21"/>
                <w:highlight w:val="none"/>
              </w:rPr>
              <w:t>-</w:t>
            </w:r>
            <w:r>
              <w:rPr>
                <w:rFonts w:hint="eastAsia"/>
                <w:b/>
                <w:bCs/>
                <w:color w:val="auto"/>
                <w:szCs w:val="21"/>
                <w:highlight w:val="none"/>
              </w:rPr>
              <w:t>6</w:t>
            </w:r>
            <w:r>
              <w:rPr>
                <w:b/>
                <w:bCs/>
                <w:color w:val="auto"/>
                <w:szCs w:val="21"/>
                <w:highlight w:val="none"/>
              </w:rPr>
              <w:t xml:space="preserve">   </w:t>
            </w:r>
            <w:r>
              <w:rPr>
                <w:b/>
                <w:color w:val="auto"/>
                <w:szCs w:val="21"/>
                <w:highlight w:val="none"/>
              </w:rPr>
              <w:t>地</w:t>
            </w:r>
            <w:r>
              <w:rPr>
                <w:rFonts w:hint="eastAsia"/>
                <w:b/>
                <w:color w:val="auto"/>
                <w:szCs w:val="21"/>
                <w:highlight w:val="none"/>
              </w:rPr>
              <w:t>下</w:t>
            </w:r>
            <w:r>
              <w:rPr>
                <w:b/>
                <w:color w:val="auto"/>
                <w:szCs w:val="21"/>
                <w:highlight w:val="none"/>
              </w:rPr>
              <w:t>水检测结果一览表</w:t>
            </w:r>
          </w:p>
          <w:tbl>
            <w:tblPr>
              <w:tblStyle w:val="26"/>
              <w:tblW w:w="84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6"/>
              <w:gridCol w:w="2231"/>
              <w:gridCol w:w="2196"/>
              <w:gridCol w:w="912"/>
              <w:gridCol w:w="720"/>
            </w:tblGrid>
            <w:tr w14:paraId="55ED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56A35B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color w:val="auto"/>
                      <w:szCs w:val="21"/>
                      <w:highlight w:val="none"/>
                    </w:rPr>
                  </w:pPr>
                  <w:r>
                    <w:rPr>
                      <w:rFonts w:hint="eastAsia" w:ascii="宋体" w:hAnsi="宋体" w:cs="宋体"/>
                      <w:bCs/>
                      <w:color w:val="auto"/>
                      <w:szCs w:val="21"/>
                      <w:highlight w:val="none"/>
                      <w:lang w:bidi="ar"/>
                    </w:rPr>
                    <w:t>检测点位</w:t>
                  </w:r>
                </w:p>
              </w:tc>
              <w:tc>
                <w:tcPr>
                  <w:tcW w:w="4427" w:type="dxa"/>
                  <w:gridSpan w:val="2"/>
                  <w:tcBorders>
                    <w:top w:val="single" w:color="auto" w:sz="4" w:space="0"/>
                    <w:left w:val="single" w:color="auto" w:sz="4" w:space="0"/>
                    <w:bottom w:val="single" w:color="auto" w:sz="4" w:space="0"/>
                    <w:right w:val="single" w:color="auto" w:sz="4" w:space="0"/>
                  </w:tcBorders>
                  <w:vAlign w:val="center"/>
                </w:tcPr>
                <w:p w14:paraId="5402BD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rFonts w:hint="eastAsia" w:ascii="宋体" w:hAnsi="宋体" w:cs="宋体"/>
                      <w:color w:val="auto"/>
                      <w:szCs w:val="21"/>
                      <w:highlight w:val="none"/>
                      <w:lang w:bidi="ar"/>
                    </w:rPr>
                    <w:t>大法古村水井</w:t>
                  </w:r>
                </w:p>
              </w:tc>
              <w:tc>
                <w:tcPr>
                  <w:tcW w:w="912" w:type="dxa"/>
                  <w:vMerge w:val="restart"/>
                  <w:tcBorders>
                    <w:top w:val="single" w:color="auto" w:sz="4" w:space="0"/>
                    <w:left w:val="single" w:color="auto" w:sz="4" w:space="0"/>
                    <w:bottom w:val="single" w:color="auto" w:sz="4" w:space="0"/>
                    <w:right w:val="single" w:color="auto" w:sz="4" w:space="0"/>
                  </w:tcBorders>
                  <w:vAlign w:val="center"/>
                </w:tcPr>
                <w:p w14:paraId="0822E9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标准值</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14:paraId="3E54CA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达标情况</w:t>
                  </w:r>
                </w:p>
              </w:tc>
            </w:tr>
            <w:tr w14:paraId="47CD8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133ED1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color w:val="auto"/>
                      <w:szCs w:val="21"/>
                      <w:highlight w:val="none"/>
                    </w:rPr>
                  </w:pPr>
                  <w:r>
                    <w:rPr>
                      <w:rFonts w:hint="eastAsia" w:ascii="宋体" w:hAnsi="宋体" w:cs="宋体"/>
                      <w:bCs/>
                      <w:color w:val="auto"/>
                      <w:szCs w:val="21"/>
                      <w:highlight w:val="none"/>
                      <w:lang w:bidi="ar"/>
                    </w:rPr>
                    <w:t>采样日期</w:t>
                  </w:r>
                  <w:r>
                    <w:rPr>
                      <w:bCs/>
                      <w:color w:val="auto"/>
                      <w:szCs w:val="21"/>
                      <w:highlight w:val="none"/>
                      <w:lang w:bidi="ar"/>
                    </w:rPr>
                    <w:t>/</w:t>
                  </w:r>
                  <w:r>
                    <w:rPr>
                      <w:rFonts w:hint="eastAsia" w:ascii="宋体" w:hAnsi="宋体" w:cs="宋体"/>
                      <w:bCs/>
                      <w:color w:val="auto"/>
                      <w:szCs w:val="21"/>
                      <w:highlight w:val="none"/>
                      <w:lang w:bidi="ar"/>
                    </w:rPr>
                    <w:t>接样日期</w:t>
                  </w:r>
                </w:p>
              </w:tc>
              <w:tc>
                <w:tcPr>
                  <w:tcW w:w="2231" w:type="dxa"/>
                  <w:tcBorders>
                    <w:top w:val="single" w:color="auto" w:sz="4" w:space="0"/>
                    <w:left w:val="single" w:color="auto" w:sz="4" w:space="0"/>
                    <w:bottom w:val="single" w:color="auto" w:sz="4" w:space="0"/>
                    <w:right w:val="single" w:color="auto" w:sz="4" w:space="0"/>
                  </w:tcBorders>
                  <w:vAlign w:val="center"/>
                </w:tcPr>
                <w:p w14:paraId="6BF5A9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2026/8/7</w:t>
                  </w:r>
                </w:p>
              </w:tc>
              <w:tc>
                <w:tcPr>
                  <w:tcW w:w="2196" w:type="dxa"/>
                  <w:tcBorders>
                    <w:top w:val="single" w:color="auto" w:sz="4" w:space="0"/>
                    <w:left w:val="single" w:color="auto" w:sz="4" w:space="0"/>
                    <w:bottom w:val="single" w:color="auto" w:sz="4" w:space="0"/>
                    <w:right w:val="single" w:color="auto" w:sz="4" w:space="0"/>
                  </w:tcBorders>
                  <w:vAlign w:val="center"/>
                </w:tcPr>
                <w:p w14:paraId="4A6713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2026/8/8</w:t>
                  </w:r>
                </w:p>
              </w:tc>
              <w:tc>
                <w:tcPr>
                  <w:tcW w:w="912" w:type="dxa"/>
                  <w:vMerge w:val="continue"/>
                  <w:tcBorders>
                    <w:top w:val="single" w:color="auto" w:sz="4" w:space="0"/>
                    <w:left w:val="single" w:color="auto" w:sz="4" w:space="0"/>
                    <w:bottom w:val="single" w:color="auto" w:sz="4" w:space="0"/>
                    <w:right w:val="single" w:color="auto" w:sz="4" w:space="0"/>
                  </w:tcBorders>
                  <w:vAlign w:val="center"/>
                </w:tcPr>
                <w:p w14:paraId="6F635F79">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sz w:val="20"/>
                      <w:szCs w:val="20"/>
                      <w:highlight w:val="none"/>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14:paraId="5252A695">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sz w:val="20"/>
                      <w:szCs w:val="20"/>
                      <w:highlight w:val="none"/>
                    </w:rPr>
                  </w:pPr>
                </w:p>
              </w:tc>
            </w:tr>
            <w:tr w14:paraId="36A4A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l2br w:val="single" w:color="auto" w:sz="4" w:space="0"/>
                  </w:tcBorders>
                  <w:vAlign w:val="center"/>
                </w:tcPr>
                <w:p w14:paraId="327E1ABB">
                  <w:pPr>
                    <w:keepNext w:val="0"/>
                    <w:keepLines w:val="0"/>
                    <w:pageBreakBefore w:val="0"/>
                    <w:widowControl w:val="0"/>
                    <w:kinsoku/>
                    <w:wordWrap/>
                    <w:overflowPunct/>
                    <w:topLinePunct w:val="0"/>
                    <w:autoSpaceDE/>
                    <w:autoSpaceDN/>
                    <w:bidi w:val="0"/>
                    <w:adjustRightInd/>
                    <w:snapToGrid/>
                    <w:spacing w:line="320" w:lineRule="exact"/>
                    <w:jc w:val="right"/>
                    <w:textAlignment w:val="auto"/>
                    <w:rPr>
                      <w:bCs/>
                      <w:color w:val="auto"/>
                      <w:szCs w:val="21"/>
                      <w:highlight w:val="none"/>
                    </w:rPr>
                  </w:pPr>
                  <w:r>
                    <w:rPr>
                      <w:rFonts w:hint="eastAsia" w:ascii="宋体" w:hAnsi="宋体" w:cs="宋体"/>
                      <w:bCs/>
                      <w:color w:val="auto"/>
                      <w:szCs w:val="21"/>
                      <w:highlight w:val="none"/>
                      <w:lang w:val="en-US" w:eastAsia="zh-CN" w:bidi="ar"/>
                    </w:rPr>
                    <w:t xml:space="preserve">          </w:t>
                  </w:r>
                  <w:r>
                    <w:rPr>
                      <w:rFonts w:hint="eastAsia" w:ascii="宋体" w:hAnsi="宋体" w:cs="宋体"/>
                      <w:bCs/>
                      <w:color w:val="auto"/>
                      <w:szCs w:val="21"/>
                      <w:highlight w:val="none"/>
                      <w:lang w:bidi="ar"/>
                    </w:rPr>
                    <w:t>样品状态</w:t>
                  </w:r>
                </w:p>
                <w:p w14:paraId="2AD44509">
                  <w:pPr>
                    <w:keepNext w:val="0"/>
                    <w:keepLines w:val="0"/>
                    <w:pageBreakBefore w:val="0"/>
                    <w:widowControl w:val="0"/>
                    <w:kinsoku/>
                    <w:wordWrap/>
                    <w:overflowPunct/>
                    <w:topLinePunct w:val="0"/>
                    <w:autoSpaceDE/>
                    <w:autoSpaceDN/>
                    <w:bidi w:val="0"/>
                    <w:adjustRightInd/>
                    <w:snapToGrid/>
                    <w:spacing w:line="320" w:lineRule="exact"/>
                    <w:textAlignment w:val="auto"/>
                    <w:rPr>
                      <w:bCs/>
                      <w:color w:val="auto"/>
                      <w:szCs w:val="21"/>
                      <w:highlight w:val="none"/>
                    </w:rPr>
                  </w:pPr>
                  <w:r>
                    <w:rPr>
                      <w:rFonts w:hint="eastAsia" w:ascii="宋体" w:hAnsi="宋体" w:cs="宋体"/>
                      <w:bCs/>
                      <w:color w:val="auto"/>
                      <w:szCs w:val="21"/>
                      <w:highlight w:val="none"/>
                      <w:lang w:bidi="ar"/>
                    </w:rPr>
                    <w:t>项目</w:t>
                  </w:r>
                </w:p>
              </w:tc>
              <w:tc>
                <w:tcPr>
                  <w:tcW w:w="2231" w:type="dxa"/>
                  <w:tcBorders>
                    <w:top w:val="single" w:color="auto" w:sz="4" w:space="0"/>
                    <w:left w:val="single" w:color="auto" w:sz="4" w:space="0"/>
                    <w:bottom w:val="single" w:color="auto" w:sz="4" w:space="0"/>
                    <w:right w:val="single" w:color="auto" w:sz="4" w:space="0"/>
                  </w:tcBorders>
                  <w:vAlign w:val="center"/>
                </w:tcPr>
                <w:p w14:paraId="2C6940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color w:val="auto"/>
                      <w:szCs w:val="21"/>
                      <w:highlight w:val="none"/>
                    </w:rPr>
                  </w:pPr>
                  <w:r>
                    <w:rPr>
                      <w:rFonts w:hint="eastAsia" w:ascii="宋体" w:hAnsi="宋体" w:cs="宋体"/>
                      <w:bCs/>
                      <w:color w:val="auto"/>
                      <w:szCs w:val="21"/>
                      <w:highlight w:val="none"/>
                      <w:lang w:bidi="ar"/>
                    </w:rPr>
                    <w:t>无色、无味、透明</w:t>
                  </w:r>
                </w:p>
              </w:tc>
              <w:tc>
                <w:tcPr>
                  <w:tcW w:w="2196" w:type="dxa"/>
                  <w:tcBorders>
                    <w:top w:val="single" w:color="auto" w:sz="4" w:space="0"/>
                    <w:left w:val="single" w:color="auto" w:sz="4" w:space="0"/>
                    <w:bottom w:val="single" w:color="auto" w:sz="4" w:space="0"/>
                    <w:right w:val="single" w:color="auto" w:sz="4" w:space="0"/>
                  </w:tcBorders>
                  <w:vAlign w:val="center"/>
                </w:tcPr>
                <w:p w14:paraId="5CDF9D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color w:val="auto"/>
                      <w:szCs w:val="21"/>
                      <w:highlight w:val="none"/>
                    </w:rPr>
                  </w:pPr>
                  <w:r>
                    <w:rPr>
                      <w:rFonts w:hint="eastAsia" w:ascii="宋体" w:hAnsi="宋体" w:cs="宋体"/>
                      <w:bCs/>
                      <w:color w:val="auto"/>
                      <w:szCs w:val="21"/>
                      <w:highlight w:val="none"/>
                      <w:lang w:bidi="ar"/>
                    </w:rPr>
                    <w:t>无色、无味、透明</w:t>
                  </w:r>
                </w:p>
              </w:tc>
              <w:tc>
                <w:tcPr>
                  <w:tcW w:w="912" w:type="dxa"/>
                  <w:vMerge w:val="continue"/>
                  <w:tcBorders>
                    <w:top w:val="single" w:color="auto" w:sz="4" w:space="0"/>
                    <w:left w:val="single" w:color="auto" w:sz="4" w:space="0"/>
                    <w:bottom w:val="single" w:color="auto" w:sz="4" w:space="0"/>
                    <w:right w:val="single" w:color="auto" w:sz="4" w:space="0"/>
                  </w:tcBorders>
                  <w:vAlign w:val="center"/>
                </w:tcPr>
                <w:p w14:paraId="09BA4200">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sz w:val="20"/>
                      <w:szCs w:val="20"/>
                      <w:highlight w:val="none"/>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14:paraId="4982B69E">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sz w:val="20"/>
                      <w:szCs w:val="20"/>
                      <w:highlight w:val="none"/>
                    </w:rPr>
                  </w:pPr>
                </w:p>
              </w:tc>
            </w:tr>
            <w:tr w14:paraId="41A9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65164A52">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pH</w:t>
                  </w:r>
                  <w:r>
                    <w:rPr>
                      <w:rFonts w:hint="eastAsia" w:ascii="宋体" w:hAnsi="宋体" w:cs="宋体"/>
                      <w:color w:val="auto"/>
                      <w:kern w:val="2"/>
                      <w:sz w:val="21"/>
                      <w:szCs w:val="21"/>
                      <w:highlight w:val="none"/>
                      <w:lang w:bidi="ar"/>
                    </w:rPr>
                    <w:t>（无量纲）</w:t>
                  </w:r>
                </w:p>
              </w:tc>
              <w:tc>
                <w:tcPr>
                  <w:tcW w:w="2231" w:type="dxa"/>
                  <w:tcBorders>
                    <w:top w:val="single" w:color="auto" w:sz="4" w:space="0"/>
                    <w:left w:val="single" w:color="auto" w:sz="4" w:space="0"/>
                    <w:bottom w:val="single" w:color="auto" w:sz="4" w:space="0"/>
                    <w:right w:val="single" w:color="auto" w:sz="4" w:space="0"/>
                  </w:tcBorders>
                  <w:vAlign w:val="center"/>
                </w:tcPr>
                <w:p w14:paraId="232E27B9">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7.2</w:t>
                  </w:r>
                </w:p>
              </w:tc>
              <w:tc>
                <w:tcPr>
                  <w:tcW w:w="2196" w:type="dxa"/>
                  <w:tcBorders>
                    <w:top w:val="single" w:color="auto" w:sz="4" w:space="0"/>
                    <w:left w:val="single" w:color="auto" w:sz="4" w:space="0"/>
                    <w:bottom w:val="single" w:color="auto" w:sz="4" w:space="0"/>
                    <w:right w:val="single" w:color="auto" w:sz="4" w:space="0"/>
                  </w:tcBorders>
                  <w:vAlign w:val="center"/>
                </w:tcPr>
                <w:p w14:paraId="3CB6A851">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7.3</w:t>
                  </w:r>
                </w:p>
              </w:tc>
              <w:tc>
                <w:tcPr>
                  <w:tcW w:w="912" w:type="dxa"/>
                  <w:tcBorders>
                    <w:top w:val="single" w:color="auto" w:sz="4" w:space="0"/>
                    <w:left w:val="single" w:color="auto" w:sz="4" w:space="0"/>
                    <w:bottom w:val="single" w:color="auto" w:sz="4" w:space="0"/>
                    <w:right w:val="single" w:color="auto" w:sz="4" w:space="0"/>
                  </w:tcBorders>
                  <w:vAlign w:val="center"/>
                </w:tcPr>
                <w:p w14:paraId="46640989">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6.5~8.5</w:t>
                  </w:r>
                </w:p>
              </w:tc>
              <w:tc>
                <w:tcPr>
                  <w:tcW w:w="720" w:type="dxa"/>
                  <w:tcBorders>
                    <w:top w:val="single" w:color="auto" w:sz="4" w:space="0"/>
                    <w:left w:val="single" w:color="auto" w:sz="4" w:space="0"/>
                    <w:bottom w:val="single" w:color="auto" w:sz="4" w:space="0"/>
                    <w:right w:val="single" w:color="auto" w:sz="4" w:space="0"/>
                  </w:tcBorders>
                  <w:vAlign w:val="center"/>
                </w:tcPr>
                <w:p w14:paraId="06CEAC02">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达标</w:t>
                  </w:r>
                </w:p>
              </w:tc>
            </w:tr>
            <w:tr w14:paraId="02FFE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1D48517D">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水温（</w:t>
                  </w:r>
                  <w:r>
                    <w:rPr>
                      <w:color w:val="auto"/>
                      <w:kern w:val="2"/>
                      <w:sz w:val="21"/>
                      <w:szCs w:val="21"/>
                      <w:highlight w:val="none"/>
                      <w:lang w:bidi="ar"/>
                    </w:rPr>
                    <w:t>℃</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7A6AEB3E">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16.2-16.6</w:t>
                  </w:r>
                </w:p>
              </w:tc>
              <w:tc>
                <w:tcPr>
                  <w:tcW w:w="2196" w:type="dxa"/>
                  <w:tcBorders>
                    <w:top w:val="single" w:color="auto" w:sz="4" w:space="0"/>
                    <w:left w:val="single" w:color="auto" w:sz="4" w:space="0"/>
                    <w:bottom w:val="single" w:color="auto" w:sz="4" w:space="0"/>
                    <w:right w:val="single" w:color="auto" w:sz="4" w:space="0"/>
                  </w:tcBorders>
                  <w:vAlign w:val="center"/>
                </w:tcPr>
                <w:p w14:paraId="72CFAA9F">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16.0-16.4</w:t>
                  </w:r>
                </w:p>
              </w:tc>
              <w:tc>
                <w:tcPr>
                  <w:tcW w:w="912" w:type="dxa"/>
                  <w:tcBorders>
                    <w:top w:val="single" w:color="auto" w:sz="4" w:space="0"/>
                    <w:left w:val="single" w:color="auto" w:sz="4" w:space="0"/>
                    <w:bottom w:val="single" w:color="auto" w:sz="4" w:space="0"/>
                    <w:right w:val="single" w:color="auto" w:sz="4" w:space="0"/>
                  </w:tcBorders>
                  <w:vAlign w:val="center"/>
                </w:tcPr>
                <w:p w14:paraId="23D194C4">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w:t>
                  </w:r>
                </w:p>
              </w:tc>
              <w:tc>
                <w:tcPr>
                  <w:tcW w:w="720" w:type="dxa"/>
                  <w:tcBorders>
                    <w:top w:val="single" w:color="auto" w:sz="4" w:space="0"/>
                    <w:left w:val="single" w:color="auto" w:sz="4" w:space="0"/>
                    <w:bottom w:val="single" w:color="auto" w:sz="4" w:space="0"/>
                    <w:right w:val="single" w:color="auto" w:sz="4" w:space="0"/>
                  </w:tcBorders>
                  <w:vAlign w:val="center"/>
                </w:tcPr>
                <w:p w14:paraId="3A44F88C">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w:t>
                  </w:r>
                </w:p>
              </w:tc>
            </w:tr>
            <w:tr w14:paraId="1106F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2E848812">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硝酸盐（以</w:t>
                  </w:r>
                  <w:r>
                    <w:rPr>
                      <w:color w:val="auto"/>
                      <w:kern w:val="2"/>
                      <w:sz w:val="21"/>
                      <w:szCs w:val="21"/>
                      <w:highlight w:val="none"/>
                      <w:lang w:bidi="ar"/>
                    </w:rPr>
                    <w:t>N</w:t>
                  </w:r>
                  <w:r>
                    <w:rPr>
                      <w:rFonts w:hint="eastAsia" w:ascii="宋体" w:hAnsi="宋体" w:cs="宋体"/>
                      <w:color w:val="auto"/>
                      <w:kern w:val="2"/>
                      <w:sz w:val="21"/>
                      <w:szCs w:val="21"/>
                      <w:highlight w:val="none"/>
                      <w:lang w:bidi="ar"/>
                    </w:rPr>
                    <w:t>计）</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2D64F8A7">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0.37-0.41</w:t>
                  </w:r>
                </w:p>
              </w:tc>
              <w:tc>
                <w:tcPr>
                  <w:tcW w:w="2196" w:type="dxa"/>
                  <w:tcBorders>
                    <w:top w:val="single" w:color="auto" w:sz="4" w:space="0"/>
                    <w:left w:val="single" w:color="auto" w:sz="4" w:space="0"/>
                    <w:bottom w:val="single" w:color="auto" w:sz="4" w:space="0"/>
                    <w:right w:val="single" w:color="auto" w:sz="4" w:space="0"/>
                  </w:tcBorders>
                  <w:vAlign w:val="center"/>
                </w:tcPr>
                <w:p w14:paraId="15A3EE8B">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0.39-0.41</w:t>
                  </w:r>
                </w:p>
              </w:tc>
              <w:tc>
                <w:tcPr>
                  <w:tcW w:w="912" w:type="dxa"/>
                  <w:tcBorders>
                    <w:top w:val="single" w:color="auto" w:sz="4" w:space="0"/>
                    <w:left w:val="single" w:color="auto" w:sz="4" w:space="0"/>
                    <w:bottom w:val="single" w:color="auto" w:sz="4" w:space="0"/>
                    <w:right w:val="single" w:color="auto" w:sz="4" w:space="0"/>
                  </w:tcBorders>
                  <w:vAlign w:val="center"/>
                </w:tcPr>
                <w:p w14:paraId="4D031619">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20</w:t>
                  </w:r>
                </w:p>
              </w:tc>
              <w:tc>
                <w:tcPr>
                  <w:tcW w:w="720" w:type="dxa"/>
                  <w:tcBorders>
                    <w:top w:val="single" w:color="auto" w:sz="4" w:space="0"/>
                    <w:left w:val="single" w:color="auto" w:sz="4" w:space="0"/>
                    <w:bottom w:val="single" w:color="auto" w:sz="4" w:space="0"/>
                    <w:right w:val="single" w:color="auto" w:sz="4" w:space="0"/>
                  </w:tcBorders>
                  <w:vAlign w:val="center"/>
                </w:tcPr>
                <w:p w14:paraId="0A73A1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7AA0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53DE9AC1">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亚硝酸盐（以</w:t>
                  </w:r>
                  <w:r>
                    <w:rPr>
                      <w:color w:val="auto"/>
                      <w:kern w:val="2"/>
                      <w:sz w:val="21"/>
                      <w:szCs w:val="21"/>
                      <w:highlight w:val="none"/>
                      <w:lang w:bidi="ar"/>
                    </w:rPr>
                    <w:t>N</w:t>
                  </w:r>
                  <w:r>
                    <w:rPr>
                      <w:rFonts w:hint="eastAsia" w:ascii="宋体" w:hAnsi="宋体" w:cs="宋体"/>
                      <w:color w:val="auto"/>
                      <w:kern w:val="2"/>
                      <w:sz w:val="21"/>
                      <w:szCs w:val="21"/>
                      <w:highlight w:val="none"/>
                      <w:lang w:bidi="ar"/>
                    </w:rPr>
                    <w:t>计）</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1DE3BACD">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0.010-0.013</w:t>
                  </w:r>
                </w:p>
              </w:tc>
              <w:tc>
                <w:tcPr>
                  <w:tcW w:w="2196" w:type="dxa"/>
                  <w:tcBorders>
                    <w:top w:val="single" w:color="auto" w:sz="4" w:space="0"/>
                    <w:left w:val="single" w:color="auto" w:sz="4" w:space="0"/>
                    <w:bottom w:val="single" w:color="auto" w:sz="4" w:space="0"/>
                    <w:right w:val="single" w:color="auto" w:sz="4" w:space="0"/>
                  </w:tcBorders>
                  <w:vAlign w:val="center"/>
                </w:tcPr>
                <w:p w14:paraId="44821866">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0.011-0.014</w:t>
                  </w:r>
                </w:p>
              </w:tc>
              <w:tc>
                <w:tcPr>
                  <w:tcW w:w="912" w:type="dxa"/>
                  <w:tcBorders>
                    <w:top w:val="single" w:color="auto" w:sz="4" w:space="0"/>
                    <w:left w:val="single" w:color="auto" w:sz="4" w:space="0"/>
                    <w:bottom w:val="single" w:color="auto" w:sz="4" w:space="0"/>
                    <w:right w:val="single" w:color="auto" w:sz="4" w:space="0"/>
                  </w:tcBorders>
                  <w:vAlign w:val="center"/>
                </w:tcPr>
                <w:p w14:paraId="4DEED74C">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1</w:t>
                  </w:r>
                </w:p>
              </w:tc>
              <w:tc>
                <w:tcPr>
                  <w:tcW w:w="720" w:type="dxa"/>
                  <w:tcBorders>
                    <w:top w:val="single" w:color="auto" w:sz="4" w:space="0"/>
                    <w:left w:val="single" w:color="auto" w:sz="4" w:space="0"/>
                    <w:bottom w:val="single" w:color="auto" w:sz="4" w:space="0"/>
                    <w:right w:val="single" w:color="auto" w:sz="4" w:space="0"/>
                  </w:tcBorders>
                  <w:vAlign w:val="center"/>
                </w:tcPr>
                <w:p w14:paraId="5EC65B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4071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7F4A6056">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硫酸盐</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635EC4F1">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14-16</w:t>
                  </w:r>
                </w:p>
              </w:tc>
              <w:tc>
                <w:tcPr>
                  <w:tcW w:w="2196" w:type="dxa"/>
                  <w:tcBorders>
                    <w:top w:val="single" w:color="auto" w:sz="4" w:space="0"/>
                    <w:left w:val="single" w:color="auto" w:sz="4" w:space="0"/>
                    <w:bottom w:val="single" w:color="auto" w:sz="4" w:space="0"/>
                    <w:right w:val="single" w:color="auto" w:sz="4" w:space="0"/>
                  </w:tcBorders>
                  <w:vAlign w:val="center"/>
                </w:tcPr>
                <w:p w14:paraId="45B63B93">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color w:val="auto"/>
                      <w:kern w:val="2"/>
                      <w:sz w:val="21"/>
                      <w:szCs w:val="21"/>
                      <w:highlight w:val="none"/>
                      <w:lang w:val="en-US" w:eastAsia="zh-CN"/>
                    </w:rPr>
                    <w:t>15-17</w:t>
                  </w:r>
                </w:p>
              </w:tc>
              <w:tc>
                <w:tcPr>
                  <w:tcW w:w="912" w:type="dxa"/>
                  <w:tcBorders>
                    <w:top w:val="single" w:color="auto" w:sz="4" w:space="0"/>
                    <w:left w:val="single" w:color="auto" w:sz="4" w:space="0"/>
                    <w:bottom w:val="single" w:color="auto" w:sz="4" w:space="0"/>
                    <w:right w:val="single" w:color="auto" w:sz="4" w:space="0"/>
                  </w:tcBorders>
                  <w:vAlign w:val="center"/>
                </w:tcPr>
                <w:p w14:paraId="7B185110">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250</w:t>
                  </w:r>
                </w:p>
              </w:tc>
              <w:tc>
                <w:tcPr>
                  <w:tcW w:w="720" w:type="dxa"/>
                  <w:tcBorders>
                    <w:top w:val="single" w:color="auto" w:sz="4" w:space="0"/>
                    <w:left w:val="single" w:color="auto" w:sz="4" w:space="0"/>
                    <w:bottom w:val="single" w:color="auto" w:sz="4" w:space="0"/>
                    <w:right w:val="single" w:color="auto" w:sz="4" w:space="0"/>
                  </w:tcBorders>
                  <w:vAlign w:val="center"/>
                </w:tcPr>
                <w:p w14:paraId="6EEACA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1310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6BBB8EFC">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氯化物</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15694E23">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10-12</w:t>
                  </w:r>
                </w:p>
              </w:tc>
              <w:tc>
                <w:tcPr>
                  <w:tcW w:w="2196" w:type="dxa"/>
                  <w:tcBorders>
                    <w:top w:val="single" w:color="auto" w:sz="4" w:space="0"/>
                    <w:left w:val="single" w:color="auto" w:sz="4" w:space="0"/>
                    <w:bottom w:val="single" w:color="auto" w:sz="4" w:space="0"/>
                    <w:right w:val="single" w:color="auto" w:sz="4" w:space="0"/>
                  </w:tcBorders>
                  <w:vAlign w:val="center"/>
                </w:tcPr>
                <w:p w14:paraId="03E76079">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10-12</w:t>
                  </w:r>
                </w:p>
              </w:tc>
              <w:tc>
                <w:tcPr>
                  <w:tcW w:w="912" w:type="dxa"/>
                  <w:tcBorders>
                    <w:top w:val="single" w:color="auto" w:sz="4" w:space="0"/>
                    <w:left w:val="single" w:color="auto" w:sz="4" w:space="0"/>
                    <w:bottom w:val="single" w:color="auto" w:sz="4" w:space="0"/>
                    <w:right w:val="single" w:color="auto" w:sz="4" w:space="0"/>
                  </w:tcBorders>
                  <w:vAlign w:val="center"/>
                </w:tcPr>
                <w:p w14:paraId="5E6CA792">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250</w:t>
                  </w:r>
                </w:p>
              </w:tc>
              <w:tc>
                <w:tcPr>
                  <w:tcW w:w="720" w:type="dxa"/>
                  <w:tcBorders>
                    <w:top w:val="single" w:color="auto" w:sz="4" w:space="0"/>
                    <w:left w:val="single" w:color="auto" w:sz="4" w:space="0"/>
                    <w:bottom w:val="single" w:color="auto" w:sz="4" w:space="0"/>
                    <w:right w:val="single" w:color="auto" w:sz="4" w:space="0"/>
                  </w:tcBorders>
                  <w:vAlign w:val="center"/>
                </w:tcPr>
                <w:p w14:paraId="09656C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67D28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78628941">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NH</w:t>
                  </w:r>
                  <w:r>
                    <w:rPr>
                      <w:color w:val="auto"/>
                      <w:kern w:val="2"/>
                      <w:sz w:val="21"/>
                      <w:szCs w:val="21"/>
                      <w:highlight w:val="none"/>
                      <w:vertAlign w:val="subscript"/>
                      <w:lang w:bidi="ar"/>
                    </w:rPr>
                    <w:t>3</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7738740D">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0.408-0.420</w:t>
                  </w:r>
                </w:p>
              </w:tc>
              <w:tc>
                <w:tcPr>
                  <w:tcW w:w="2196" w:type="dxa"/>
                  <w:tcBorders>
                    <w:top w:val="single" w:color="auto" w:sz="4" w:space="0"/>
                    <w:left w:val="single" w:color="auto" w:sz="4" w:space="0"/>
                    <w:bottom w:val="single" w:color="auto" w:sz="4" w:space="0"/>
                    <w:right w:val="single" w:color="auto" w:sz="4" w:space="0"/>
                  </w:tcBorders>
                  <w:vAlign w:val="center"/>
                </w:tcPr>
                <w:p w14:paraId="4BC91739">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0.414-0.423</w:t>
                  </w:r>
                </w:p>
              </w:tc>
              <w:tc>
                <w:tcPr>
                  <w:tcW w:w="912" w:type="dxa"/>
                  <w:tcBorders>
                    <w:top w:val="single" w:color="auto" w:sz="4" w:space="0"/>
                    <w:left w:val="single" w:color="auto" w:sz="4" w:space="0"/>
                    <w:bottom w:val="single" w:color="auto" w:sz="4" w:space="0"/>
                    <w:right w:val="single" w:color="auto" w:sz="4" w:space="0"/>
                  </w:tcBorders>
                  <w:vAlign w:val="center"/>
                </w:tcPr>
                <w:p w14:paraId="7C8CD353">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0.5</w:t>
                  </w:r>
                </w:p>
              </w:tc>
              <w:tc>
                <w:tcPr>
                  <w:tcW w:w="720" w:type="dxa"/>
                  <w:tcBorders>
                    <w:top w:val="single" w:color="auto" w:sz="4" w:space="0"/>
                    <w:left w:val="single" w:color="auto" w:sz="4" w:space="0"/>
                    <w:bottom w:val="single" w:color="auto" w:sz="4" w:space="0"/>
                    <w:right w:val="single" w:color="auto" w:sz="4" w:space="0"/>
                  </w:tcBorders>
                  <w:vAlign w:val="center"/>
                </w:tcPr>
                <w:p w14:paraId="41940D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25D2B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11AECE9C">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总硬度（以碳酸钙计）</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7A38F130">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88-89</w:t>
                  </w:r>
                </w:p>
              </w:tc>
              <w:tc>
                <w:tcPr>
                  <w:tcW w:w="2196" w:type="dxa"/>
                  <w:tcBorders>
                    <w:top w:val="single" w:color="auto" w:sz="4" w:space="0"/>
                    <w:left w:val="single" w:color="auto" w:sz="4" w:space="0"/>
                    <w:bottom w:val="single" w:color="auto" w:sz="4" w:space="0"/>
                    <w:right w:val="single" w:color="auto" w:sz="4" w:space="0"/>
                  </w:tcBorders>
                  <w:vAlign w:val="center"/>
                </w:tcPr>
                <w:p w14:paraId="7589B951">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88-90</w:t>
                  </w:r>
                </w:p>
              </w:tc>
              <w:tc>
                <w:tcPr>
                  <w:tcW w:w="912" w:type="dxa"/>
                  <w:tcBorders>
                    <w:top w:val="single" w:color="auto" w:sz="4" w:space="0"/>
                    <w:left w:val="single" w:color="auto" w:sz="4" w:space="0"/>
                    <w:bottom w:val="single" w:color="auto" w:sz="4" w:space="0"/>
                    <w:right w:val="single" w:color="auto" w:sz="4" w:space="0"/>
                  </w:tcBorders>
                  <w:vAlign w:val="center"/>
                </w:tcPr>
                <w:p w14:paraId="3F97546F">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450</w:t>
                  </w:r>
                </w:p>
              </w:tc>
              <w:tc>
                <w:tcPr>
                  <w:tcW w:w="720" w:type="dxa"/>
                  <w:tcBorders>
                    <w:top w:val="single" w:color="auto" w:sz="4" w:space="0"/>
                    <w:left w:val="single" w:color="auto" w:sz="4" w:space="0"/>
                    <w:bottom w:val="single" w:color="auto" w:sz="4" w:space="0"/>
                    <w:right w:val="single" w:color="auto" w:sz="4" w:space="0"/>
                  </w:tcBorders>
                  <w:vAlign w:val="center"/>
                </w:tcPr>
                <w:p w14:paraId="2B8EF1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52FE2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1FA79D48">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溶解性总固体</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7C49A4AD">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165-172</w:t>
                  </w:r>
                </w:p>
              </w:tc>
              <w:tc>
                <w:tcPr>
                  <w:tcW w:w="2196" w:type="dxa"/>
                  <w:tcBorders>
                    <w:top w:val="single" w:color="auto" w:sz="4" w:space="0"/>
                    <w:left w:val="single" w:color="auto" w:sz="4" w:space="0"/>
                    <w:bottom w:val="single" w:color="auto" w:sz="4" w:space="0"/>
                    <w:right w:val="single" w:color="auto" w:sz="4" w:space="0"/>
                  </w:tcBorders>
                  <w:vAlign w:val="center"/>
                </w:tcPr>
                <w:p w14:paraId="303F72AA">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165-172</w:t>
                  </w:r>
                </w:p>
              </w:tc>
              <w:tc>
                <w:tcPr>
                  <w:tcW w:w="912" w:type="dxa"/>
                  <w:tcBorders>
                    <w:top w:val="single" w:color="auto" w:sz="4" w:space="0"/>
                    <w:left w:val="single" w:color="auto" w:sz="4" w:space="0"/>
                    <w:bottom w:val="single" w:color="auto" w:sz="4" w:space="0"/>
                    <w:right w:val="single" w:color="auto" w:sz="4" w:space="0"/>
                  </w:tcBorders>
                  <w:vAlign w:val="center"/>
                </w:tcPr>
                <w:p w14:paraId="0D1EBA4E">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1000</w:t>
                  </w:r>
                </w:p>
              </w:tc>
              <w:tc>
                <w:tcPr>
                  <w:tcW w:w="720" w:type="dxa"/>
                  <w:tcBorders>
                    <w:top w:val="single" w:color="auto" w:sz="4" w:space="0"/>
                    <w:left w:val="single" w:color="auto" w:sz="4" w:space="0"/>
                    <w:bottom w:val="single" w:color="auto" w:sz="4" w:space="0"/>
                    <w:right w:val="single" w:color="auto" w:sz="4" w:space="0"/>
                  </w:tcBorders>
                  <w:vAlign w:val="center"/>
                </w:tcPr>
                <w:p w14:paraId="6EDDED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27F8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7BE3AE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细菌总数(CFU/mL)</w:t>
                  </w:r>
                </w:p>
              </w:tc>
              <w:tc>
                <w:tcPr>
                  <w:tcW w:w="2231" w:type="dxa"/>
                  <w:tcBorders>
                    <w:top w:val="single" w:color="auto" w:sz="4" w:space="0"/>
                    <w:left w:val="single" w:color="auto" w:sz="4" w:space="0"/>
                    <w:bottom w:val="single" w:color="auto" w:sz="4" w:space="0"/>
                    <w:right w:val="single" w:color="auto" w:sz="4" w:space="0"/>
                  </w:tcBorders>
                  <w:vAlign w:val="center"/>
                </w:tcPr>
                <w:p w14:paraId="68B3833E">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17-21</w:t>
                  </w:r>
                </w:p>
              </w:tc>
              <w:tc>
                <w:tcPr>
                  <w:tcW w:w="2196" w:type="dxa"/>
                  <w:tcBorders>
                    <w:top w:val="single" w:color="auto" w:sz="4" w:space="0"/>
                    <w:left w:val="single" w:color="auto" w:sz="4" w:space="0"/>
                    <w:bottom w:val="single" w:color="auto" w:sz="4" w:space="0"/>
                    <w:right w:val="single" w:color="auto" w:sz="4" w:space="0"/>
                  </w:tcBorders>
                  <w:vAlign w:val="center"/>
                </w:tcPr>
                <w:p w14:paraId="49BEC1A8">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20-22</w:t>
                  </w:r>
                </w:p>
              </w:tc>
              <w:tc>
                <w:tcPr>
                  <w:tcW w:w="912" w:type="dxa"/>
                  <w:tcBorders>
                    <w:top w:val="single" w:color="auto" w:sz="4" w:space="0"/>
                    <w:left w:val="single" w:color="auto" w:sz="4" w:space="0"/>
                    <w:bottom w:val="single" w:color="auto" w:sz="4" w:space="0"/>
                    <w:right w:val="single" w:color="auto" w:sz="4" w:space="0"/>
                  </w:tcBorders>
                  <w:vAlign w:val="center"/>
                </w:tcPr>
                <w:p w14:paraId="36182598">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100</w:t>
                  </w:r>
                </w:p>
              </w:tc>
              <w:tc>
                <w:tcPr>
                  <w:tcW w:w="720" w:type="dxa"/>
                  <w:tcBorders>
                    <w:top w:val="single" w:color="auto" w:sz="4" w:space="0"/>
                    <w:left w:val="single" w:color="auto" w:sz="4" w:space="0"/>
                    <w:bottom w:val="single" w:color="auto" w:sz="4" w:space="0"/>
                    <w:right w:val="single" w:color="auto" w:sz="4" w:space="0"/>
                  </w:tcBorders>
                  <w:vAlign w:val="center"/>
                </w:tcPr>
                <w:p w14:paraId="576710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69A38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11545B9F">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总大肠菌群</w:t>
                  </w:r>
                  <w:r>
                    <w:rPr>
                      <w:rFonts w:hint="eastAsia" w:ascii="宋体" w:hAnsi="宋体" w:cs="宋体"/>
                      <w:color w:val="auto"/>
                      <w:sz w:val="21"/>
                      <w:szCs w:val="21"/>
                      <w:highlight w:val="none"/>
                      <w:lang w:bidi="ar"/>
                    </w:rPr>
                    <w:t>（</w:t>
                  </w:r>
                  <w:r>
                    <w:rPr>
                      <w:color w:val="auto"/>
                      <w:kern w:val="2"/>
                      <w:sz w:val="21"/>
                      <w:szCs w:val="21"/>
                      <w:highlight w:val="none"/>
                      <w:lang w:bidi="ar"/>
                    </w:rPr>
                    <w:t>MPN/</w:t>
                  </w:r>
                  <w:r>
                    <w:rPr>
                      <w:rFonts w:hint="eastAsia"/>
                      <w:color w:val="auto"/>
                      <w:kern w:val="2"/>
                      <w:sz w:val="21"/>
                      <w:szCs w:val="21"/>
                      <w:highlight w:val="none"/>
                      <w:lang w:val="en-US" w:eastAsia="zh-CN" w:bidi="ar"/>
                    </w:rPr>
                    <w:t>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6C4BAA3E">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未检出-10</w:t>
                  </w:r>
                </w:p>
              </w:tc>
              <w:tc>
                <w:tcPr>
                  <w:tcW w:w="2196" w:type="dxa"/>
                  <w:tcBorders>
                    <w:top w:val="single" w:color="auto" w:sz="4" w:space="0"/>
                    <w:left w:val="single" w:color="auto" w:sz="4" w:space="0"/>
                    <w:bottom w:val="single" w:color="auto" w:sz="4" w:space="0"/>
                    <w:right w:val="single" w:color="auto" w:sz="4" w:space="0"/>
                  </w:tcBorders>
                  <w:vAlign w:val="center"/>
                </w:tcPr>
                <w:p w14:paraId="2DCEF14E">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color w:val="auto"/>
                      <w:kern w:val="2"/>
                      <w:sz w:val="21"/>
                      <w:szCs w:val="21"/>
                      <w:highlight w:val="none"/>
                      <w:lang w:val="en-US" w:eastAsia="zh-CN"/>
                    </w:rPr>
                    <w:t>未检出-10</w:t>
                  </w:r>
                </w:p>
              </w:tc>
              <w:tc>
                <w:tcPr>
                  <w:tcW w:w="912" w:type="dxa"/>
                  <w:tcBorders>
                    <w:top w:val="single" w:color="auto" w:sz="4" w:space="0"/>
                    <w:left w:val="single" w:color="auto" w:sz="4" w:space="0"/>
                    <w:bottom w:val="single" w:color="auto" w:sz="4" w:space="0"/>
                    <w:right w:val="single" w:color="auto" w:sz="4" w:space="0"/>
                  </w:tcBorders>
                  <w:vAlign w:val="center"/>
                </w:tcPr>
                <w:p w14:paraId="770BFCA6">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eastAsia="宋体"/>
                      <w:color w:val="auto"/>
                      <w:kern w:val="2"/>
                      <w:sz w:val="21"/>
                      <w:szCs w:val="21"/>
                      <w:highlight w:val="none"/>
                      <w:lang w:val="en-US" w:eastAsia="zh-CN"/>
                    </w:rPr>
                  </w:pPr>
                  <w:r>
                    <w:rPr>
                      <w:color w:val="auto"/>
                      <w:kern w:val="2"/>
                      <w:sz w:val="21"/>
                      <w:szCs w:val="21"/>
                      <w:highlight w:val="none"/>
                      <w:lang w:bidi="ar"/>
                    </w:rPr>
                    <w:t>3</w:t>
                  </w:r>
                  <w:r>
                    <w:rPr>
                      <w:rFonts w:hint="eastAsia"/>
                      <w:color w:val="auto"/>
                      <w:kern w:val="2"/>
                      <w:sz w:val="21"/>
                      <w:szCs w:val="21"/>
                      <w:highlight w:val="none"/>
                      <w:lang w:val="en-US" w:eastAsia="zh-CN" w:bidi="ar"/>
                    </w:rPr>
                    <w:t>0</w:t>
                  </w:r>
                </w:p>
              </w:tc>
              <w:tc>
                <w:tcPr>
                  <w:tcW w:w="720" w:type="dxa"/>
                  <w:tcBorders>
                    <w:top w:val="single" w:color="auto" w:sz="4" w:space="0"/>
                    <w:left w:val="single" w:color="auto" w:sz="4" w:space="0"/>
                    <w:bottom w:val="single" w:color="auto" w:sz="4" w:space="0"/>
                    <w:right w:val="single" w:color="auto" w:sz="4" w:space="0"/>
                  </w:tcBorders>
                  <w:vAlign w:val="center"/>
                </w:tcPr>
                <w:p w14:paraId="21E858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5162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4214EFB3">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氟化物</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383C84D0">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0.05L</w:t>
                  </w:r>
                </w:p>
              </w:tc>
              <w:tc>
                <w:tcPr>
                  <w:tcW w:w="2196" w:type="dxa"/>
                  <w:tcBorders>
                    <w:top w:val="single" w:color="auto" w:sz="4" w:space="0"/>
                    <w:left w:val="single" w:color="auto" w:sz="4" w:space="0"/>
                    <w:bottom w:val="single" w:color="auto" w:sz="4" w:space="0"/>
                    <w:right w:val="single" w:color="auto" w:sz="4" w:space="0"/>
                  </w:tcBorders>
                  <w:vAlign w:val="center"/>
                </w:tcPr>
                <w:p w14:paraId="04BFF0CA">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color w:val="auto"/>
                      <w:kern w:val="2"/>
                      <w:sz w:val="21"/>
                      <w:szCs w:val="21"/>
                      <w:highlight w:val="none"/>
                      <w:lang w:val="en-US" w:eastAsia="zh-CN"/>
                    </w:rPr>
                    <w:t>0.05L</w:t>
                  </w:r>
                </w:p>
              </w:tc>
              <w:tc>
                <w:tcPr>
                  <w:tcW w:w="912" w:type="dxa"/>
                  <w:tcBorders>
                    <w:top w:val="single" w:color="auto" w:sz="4" w:space="0"/>
                    <w:left w:val="single" w:color="auto" w:sz="4" w:space="0"/>
                    <w:bottom w:val="single" w:color="auto" w:sz="4" w:space="0"/>
                    <w:right w:val="single" w:color="auto" w:sz="4" w:space="0"/>
                  </w:tcBorders>
                  <w:vAlign w:val="center"/>
                </w:tcPr>
                <w:p w14:paraId="528524F6">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1</w:t>
                  </w:r>
                </w:p>
              </w:tc>
              <w:tc>
                <w:tcPr>
                  <w:tcW w:w="720" w:type="dxa"/>
                  <w:tcBorders>
                    <w:top w:val="single" w:color="auto" w:sz="4" w:space="0"/>
                    <w:left w:val="single" w:color="auto" w:sz="4" w:space="0"/>
                    <w:bottom w:val="single" w:color="auto" w:sz="4" w:space="0"/>
                    <w:right w:val="single" w:color="auto" w:sz="4" w:space="0"/>
                  </w:tcBorders>
                  <w:vAlign w:val="center"/>
                </w:tcPr>
                <w:p w14:paraId="58E7D8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13E3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4C869D5A">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高锰酸盐指数</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634F6F1E">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1.9-2.0</w:t>
                  </w:r>
                </w:p>
              </w:tc>
              <w:tc>
                <w:tcPr>
                  <w:tcW w:w="2196" w:type="dxa"/>
                  <w:tcBorders>
                    <w:top w:val="single" w:color="auto" w:sz="4" w:space="0"/>
                    <w:left w:val="single" w:color="auto" w:sz="4" w:space="0"/>
                    <w:bottom w:val="single" w:color="auto" w:sz="4" w:space="0"/>
                    <w:right w:val="single" w:color="auto" w:sz="4" w:space="0"/>
                  </w:tcBorders>
                  <w:vAlign w:val="center"/>
                </w:tcPr>
                <w:p w14:paraId="7966C18A">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1.88-1.94</w:t>
                  </w:r>
                </w:p>
              </w:tc>
              <w:tc>
                <w:tcPr>
                  <w:tcW w:w="912" w:type="dxa"/>
                  <w:tcBorders>
                    <w:top w:val="single" w:color="auto" w:sz="4" w:space="0"/>
                    <w:left w:val="single" w:color="auto" w:sz="4" w:space="0"/>
                    <w:bottom w:val="single" w:color="auto" w:sz="4" w:space="0"/>
                    <w:right w:val="single" w:color="auto" w:sz="4" w:space="0"/>
                  </w:tcBorders>
                  <w:vAlign w:val="center"/>
                </w:tcPr>
                <w:p w14:paraId="761BBDB2">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eastAsia="宋体"/>
                      <w:color w:val="auto"/>
                      <w:kern w:val="2"/>
                      <w:sz w:val="21"/>
                      <w:szCs w:val="21"/>
                      <w:highlight w:val="none"/>
                      <w:lang w:val="en-US" w:eastAsia="zh-CN"/>
                    </w:rPr>
                  </w:pPr>
                  <w:r>
                    <w:rPr>
                      <w:rFonts w:hint="eastAsia"/>
                      <w:color w:val="auto"/>
                      <w:kern w:val="2"/>
                      <w:sz w:val="21"/>
                      <w:szCs w:val="21"/>
                      <w:highlight w:val="none"/>
                      <w:lang w:val="en-US" w:eastAsia="zh-CN"/>
                    </w:rPr>
                    <w:t>3</w:t>
                  </w:r>
                </w:p>
              </w:tc>
              <w:tc>
                <w:tcPr>
                  <w:tcW w:w="720" w:type="dxa"/>
                  <w:tcBorders>
                    <w:top w:val="single" w:color="auto" w:sz="4" w:space="0"/>
                    <w:left w:val="single" w:color="auto" w:sz="4" w:space="0"/>
                    <w:bottom w:val="single" w:color="auto" w:sz="4" w:space="0"/>
                    <w:right w:val="single" w:color="auto" w:sz="4" w:space="0"/>
                  </w:tcBorders>
                  <w:vAlign w:val="center"/>
                </w:tcPr>
                <w:p w14:paraId="21494B87">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eastAsia="宋体"/>
                      <w:color w:val="auto"/>
                      <w:kern w:val="2"/>
                      <w:sz w:val="21"/>
                      <w:szCs w:val="21"/>
                      <w:highlight w:val="none"/>
                      <w:lang w:val="en-US" w:eastAsia="zh-CN"/>
                    </w:rPr>
                  </w:pPr>
                  <w:r>
                    <w:rPr>
                      <w:rFonts w:hint="eastAsia"/>
                      <w:color w:val="auto"/>
                      <w:kern w:val="2"/>
                      <w:sz w:val="21"/>
                      <w:szCs w:val="21"/>
                      <w:highlight w:val="none"/>
                      <w:lang w:val="en-US" w:eastAsia="zh-CN"/>
                    </w:rPr>
                    <w:t>达标</w:t>
                  </w:r>
                </w:p>
              </w:tc>
            </w:tr>
            <w:tr w14:paraId="38154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117DA924">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氰化物</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1CCE86D9">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color w:val="auto"/>
                      <w:kern w:val="2"/>
                      <w:sz w:val="21"/>
                      <w:szCs w:val="21"/>
                      <w:highlight w:val="none"/>
                    </w:rPr>
                    <w:t>0.004L</w:t>
                  </w:r>
                </w:p>
              </w:tc>
              <w:tc>
                <w:tcPr>
                  <w:tcW w:w="2196" w:type="dxa"/>
                  <w:tcBorders>
                    <w:top w:val="single" w:color="auto" w:sz="4" w:space="0"/>
                    <w:left w:val="single" w:color="auto" w:sz="4" w:space="0"/>
                    <w:bottom w:val="single" w:color="auto" w:sz="4" w:space="0"/>
                    <w:right w:val="single" w:color="auto" w:sz="4" w:space="0"/>
                  </w:tcBorders>
                  <w:vAlign w:val="center"/>
                </w:tcPr>
                <w:p w14:paraId="3A17F239">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color w:val="auto"/>
                      <w:kern w:val="2"/>
                      <w:sz w:val="21"/>
                      <w:szCs w:val="21"/>
                      <w:highlight w:val="none"/>
                    </w:rPr>
                    <w:t>0.004L</w:t>
                  </w:r>
                </w:p>
              </w:tc>
              <w:tc>
                <w:tcPr>
                  <w:tcW w:w="912" w:type="dxa"/>
                  <w:tcBorders>
                    <w:top w:val="single" w:color="auto" w:sz="4" w:space="0"/>
                    <w:left w:val="single" w:color="auto" w:sz="4" w:space="0"/>
                    <w:bottom w:val="single" w:color="auto" w:sz="4" w:space="0"/>
                    <w:right w:val="single" w:color="auto" w:sz="4" w:space="0"/>
                  </w:tcBorders>
                  <w:vAlign w:val="center"/>
                </w:tcPr>
                <w:p w14:paraId="43B441CF">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0.05</w:t>
                  </w:r>
                </w:p>
              </w:tc>
              <w:tc>
                <w:tcPr>
                  <w:tcW w:w="720" w:type="dxa"/>
                  <w:tcBorders>
                    <w:top w:val="single" w:color="auto" w:sz="4" w:space="0"/>
                    <w:left w:val="single" w:color="auto" w:sz="4" w:space="0"/>
                    <w:bottom w:val="single" w:color="auto" w:sz="4" w:space="0"/>
                    <w:right w:val="single" w:color="auto" w:sz="4" w:space="0"/>
                  </w:tcBorders>
                  <w:vAlign w:val="center"/>
                </w:tcPr>
                <w:p w14:paraId="754D78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0217F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22C6E1F1">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硫化物</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42D69E23">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Times New Roman" w:hAnsi="Times New Roman" w:cs="Times New Roman"/>
                      <w:b w:val="0"/>
                      <w:bCs w:val="0"/>
                      <w:color w:val="auto"/>
                      <w:kern w:val="2"/>
                      <w:sz w:val="21"/>
                      <w:szCs w:val="21"/>
                      <w:highlight w:val="none"/>
                      <w:vertAlign w:val="baseline"/>
                      <w:lang w:val="en-US" w:eastAsia="zh-CN" w:bidi="ar-SA"/>
                    </w:rPr>
                    <w:t>0.003L</w:t>
                  </w:r>
                </w:p>
              </w:tc>
              <w:tc>
                <w:tcPr>
                  <w:tcW w:w="2196" w:type="dxa"/>
                  <w:tcBorders>
                    <w:top w:val="single" w:color="auto" w:sz="4" w:space="0"/>
                    <w:left w:val="single" w:color="auto" w:sz="4" w:space="0"/>
                    <w:bottom w:val="single" w:color="auto" w:sz="4" w:space="0"/>
                    <w:right w:val="single" w:color="auto" w:sz="4" w:space="0"/>
                  </w:tcBorders>
                  <w:vAlign w:val="center"/>
                </w:tcPr>
                <w:p w14:paraId="3E7D7869">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Times New Roman" w:hAnsi="Times New Roman" w:cs="Times New Roman"/>
                      <w:b w:val="0"/>
                      <w:bCs w:val="0"/>
                      <w:color w:val="auto"/>
                      <w:kern w:val="2"/>
                      <w:sz w:val="21"/>
                      <w:szCs w:val="21"/>
                      <w:highlight w:val="none"/>
                      <w:vertAlign w:val="baseline"/>
                      <w:lang w:val="en-US" w:eastAsia="zh-CN" w:bidi="ar-SA"/>
                    </w:rPr>
                    <w:t>0.003L</w:t>
                  </w:r>
                </w:p>
              </w:tc>
              <w:tc>
                <w:tcPr>
                  <w:tcW w:w="912" w:type="dxa"/>
                  <w:tcBorders>
                    <w:top w:val="single" w:color="auto" w:sz="4" w:space="0"/>
                    <w:left w:val="single" w:color="auto" w:sz="4" w:space="0"/>
                    <w:bottom w:val="single" w:color="auto" w:sz="4" w:space="0"/>
                    <w:right w:val="single" w:color="auto" w:sz="4" w:space="0"/>
                  </w:tcBorders>
                  <w:vAlign w:val="center"/>
                </w:tcPr>
                <w:p w14:paraId="6E8129DC">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0.02</w:t>
                  </w:r>
                </w:p>
              </w:tc>
              <w:tc>
                <w:tcPr>
                  <w:tcW w:w="720" w:type="dxa"/>
                  <w:tcBorders>
                    <w:top w:val="single" w:color="auto" w:sz="4" w:space="0"/>
                    <w:left w:val="single" w:color="auto" w:sz="4" w:space="0"/>
                    <w:bottom w:val="single" w:color="auto" w:sz="4" w:space="0"/>
                    <w:right w:val="single" w:color="auto" w:sz="4" w:space="0"/>
                  </w:tcBorders>
                  <w:vAlign w:val="center"/>
                </w:tcPr>
                <w:p w14:paraId="6C2FD5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24A2E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74C20573">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六价铬</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52580D94">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Times New Roman" w:hAnsi="Times New Roman" w:cs="Times New Roman"/>
                      <w:b w:val="0"/>
                      <w:bCs w:val="0"/>
                      <w:color w:val="auto"/>
                      <w:kern w:val="2"/>
                      <w:sz w:val="21"/>
                      <w:szCs w:val="21"/>
                      <w:highlight w:val="none"/>
                      <w:vertAlign w:val="baseline"/>
                      <w:lang w:val="en-US" w:eastAsia="zh-CN" w:bidi="ar-SA"/>
                    </w:rPr>
                    <w:t>0.004L</w:t>
                  </w:r>
                </w:p>
              </w:tc>
              <w:tc>
                <w:tcPr>
                  <w:tcW w:w="2196" w:type="dxa"/>
                  <w:tcBorders>
                    <w:top w:val="single" w:color="auto" w:sz="4" w:space="0"/>
                    <w:left w:val="single" w:color="auto" w:sz="4" w:space="0"/>
                    <w:bottom w:val="single" w:color="auto" w:sz="4" w:space="0"/>
                    <w:right w:val="single" w:color="auto" w:sz="4" w:space="0"/>
                  </w:tcBorders>
                  <w:vAlign w:val="center"/>
                </w:tcPr>
                <w:p w14:paraId="170DC9E6">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Times New Roman" w:hAnsi="Times New Roman" w:cs="Times New Roman"/>
                      <w:b w:val="0"/>
                      <w:bCs w:val="0"/>
                      <w:color w:val="auto"/>
                      <w:kern w:val="2"/>
                      <w:sz w:val="21"/>
                      <w:szCs w:val="21"/>
                      <w:highlight w:val="none"/>
                      <w:vertAlign w:val="baseline"/>
                      <w:lang w:val="en-US" w:eastAsia="zh-CN" w:bidi="ar-SA"/>
                    </w:rPr>
                    <w:t>0.004L</w:t>
                  </w:r>
                </w:p>
              </w:tc>
              <w:tc>
                <w:tcPr>
                  <w:tcW w:w="912" w:type="dxa"/>
                  <w:tcBorders>
                    <w:top w:val="single" w:color="auto" w:sz="4" w:space="0"/>
                    <w:left w:val="single" w:color="auto" w:sz="4" w:space="0"/>
                    <w:bottom w:val="single" w:color="auto" w:sz="4" w:space="0"/>
                    <w:right w:val="single" w:color="auto" w:sz="4" w:space="0"/>
                  </w:tcBorders>
                  <w:vAlign w:val="center"/>
                </w:tcPr>
                <w:p w14:paraId="07073BF3">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0.05</w:t>
                  </w:r>
                </w:p>
              </w:tc>
              <w:tc>
                <w:tcPr>
                  <w:tcW w:w="720" w:type="dxa"/>
                  <w:tcBorders>
                    <w:top w:val="single" w:color="auto" w:sz="4" w:space="0"/>
                    <w:left w:val="single" w:color="auto" w:sz="4" w:space="0"/>
                    <w:bottom w:val="single" w:color="auto" w:sz="4" w:space="0"/>
                    <w:right w:val="single" w:color="auto" w:sz="4" w:space="0"/>
                  </w:tcBorders>
                  <w:vAlign w:val="center"/>
                </w:tcPr>
                <w:p w14:paraId="3B9380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3691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19D53C00">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挥发酚</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246B80E7">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Times New Roman" w:hAnsi="Times New Roman" w:cs="Times New Roman"/>
                      <w:b w:val="0"/>
                      <w:bCs w:val="0"/>
                      <w:color w:val="auto"/>
                      <w:kern w:val="2"/>
                      <w:sz w:val="21"/>
                      <w:szCs w:val="21"/>
                      <w:highlight w:val="none"/>
                      <w:vertAlign w:val="baseline"/>
                      <w:lang w:val="en-US" w:eastAsia="zh-CN" w:bidi="ar-SA"/>
                    </w:rPr>
                    <w:t>0.0003L</w:t>
                  </w:r>
                </w:p>
              </w:tc>
              <w:tc>
                <w:tcPr>
                  <w:tcW w:w="2196" w:type="dxa"/>
                  <w:tcBorders>
                    <w:top w:val="single" w:color="auto" w:sz="4" w:space="0"/>
                    <w:left w:val="single" w:color="auto" w:sz="4" w:space="0"/>
                    <w:bottom w:val="single" w:color="auto" w:sz="4" w:space="0"/>
                    <w:right w:val="single" w:color="auto" w:sz="4" w:space="0"/>
                  </w:tcBorders>
                  <w:vAlign w:val="center"/>
                </w:tcPr>
                <w:p w14:paraId="4B3CDA89">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Times New Roman" w:hAnsi="Times New Roman" w:cs="Times New Roman"/>
                      <w:b w:val="0"/>
                      <w:bCs w:val="0"/>
                      <w:color w:val="auto"/>
                      <w:kern w:val="2"/>
                      <w:sz w:val="21"/>
                      <w:szCs w:val="21"/>
                      <w:highlight w:val="none"/>
                      <w:vertAlign w:val="baseline"/>
                      <w:lang w:val="en-US" w:eastAsia="zh-CN" w:bidi="ar-SA"/>
                    </w:rPr>
                    <w:t>0.0003L</w:t>
                  </w:r>
                </w:p>
              </w:tc>
              <w:tc>
                <w:tcPr>
                  <w:tcW w:w="912" w:type="dxa"/>
                  <w:tcBorders>
                    <w:top w:val="single" w:color="auto" w:sz="4" w:space="0"/>
                    <w:left w:val="single" w:color="auto" w:sz="4" w:space="0"/>
                    <w:bottom w:val="single" w:color="auto" w:sz="4" w:space="0"/>
                    <w:right w:val="single" w:color="auto" w:sz="4" w:space="0"/>
                  </w:tcBorders>
                  <w:vAlign w:val="center"/>
                </w:tcPr>
                <w:p w14:paraId="78989195">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0.002</w:t>
                  </w:r>
                </w:p>
              </w:tc>
              <w:tc>
                <w:tcPr>
                  <w:tcW w:w="720" w:type="dxa"/>
                  <w:tcBorders>
                    <w:top w:val="single" w:color="auto" w:sz="4" w:space="0"/>
                    <w:left w:val="single" w:color="auto" w:sz="4" w:space="0"/>
                    <w:bottom w:val="single" w:color="auto" w:sz="4" w:space="0"/>
                    <w:right w:val="single" w:color="auto" w:sz="4" w:space="0"/>
                  </w:tcBorders>
                  <w:vAlign w:val="center"/>
                </w:tcPr>
                <w:p w14:paraId="1015FC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210FB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0504680C">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铅</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151847FD">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Times New Roman" w:hAnsi="Times New Roman" w:cs="Times New Roman"/>
                      <w:b w:val="0"/>
                      <w:bCs w:val="0"/>
                      <w:color w:val="auto"/>
                      <w:kern w:val="2"/>
                      <w:sz w:val="21"/>
                      <w:szCs w:val="21"/>
                      <w:highlight w:val="none"/>
                      <w:vertAlign w:val="baseline"/>
                      <w:lang w:val="en-US" w:eastAsia="zh-CN" w:bidi="ar-SA"/>
                    </w:rPr>
                    <w:t>0.0025L</w:t>
                  </w:r>
                </w:p>
              </w:tc>
              <w:tc>
                <w:tcPr>
                  <w:tcW w:w="2196" w:type="dxa"/>
                  <w:tcBorders>
                    <w:top w:val="single" w:color="auto" w:sz="4" w:space="0"/>
                    <w:left w:val="single" w:color="auto" w:sz="4" w:space="0"/>
                    <w:bottom w:val="single" w:color="auto" w:sz="4" w:space="0"/>
                    <w:right w:val="single" w:color="auto" w:sz="4" w:space="0"/>
                  </w:tcBorders>
                  <w:vAlign w:val="center"/>
                </w:tcPr>
                <w:p w14:paraId="5F8E6E27">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Times New Roman" w:hAnsi="Times New Roman" w:cs="Times New Roman"/>
                      <w:b w:val="0"/>
                      <w:bCs w:val="0"/>
                      <w:color w:val="auto"/>
                      <w:kern w:val="2"/>
                      <w:sz w:val="21"/>
                      <w:szCs w:val="21"/>
                      <w:highlight w:val="none"/>
                      <w:vertAlign w:val="baseline"/>
                      <w:lang w:val="en-US" w:eastAsia="zh-CN" w:bidi="ar-SA"/>
                    </w:rPr>
                    <w:t>0.0025L</w:t>
                  </w:r>
                </w:p>
              </w:tc>
              <w:tc>
                <w:tcPr>
                  <w:tcW w:w="912" w:type="dxa"/>
                  <w:tcBorders>
                    <w:top w:val="single" w:color="auto" w:sz="4" w:space="0"/>
                    <w:left w:val="single" w:color="auto" w:sz="4" w:space="0"/>
                    <w:bottom w:val="single" w:color="auto" w:sz="4" w:space="0"/>
                    <w:right w:val="single" w:color="auto" w:sz="4" w:space="0"/>
                  </w:tcBorders>
                  <w:vAlign w:val="center"/>
                </w:tcPr>
                <w:p w14:paraId="7624C5AD">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0.01</w:t>
                  </w:r>
                </w:p>
              </w:tc>
              <w:tc>
                <w:tcPr>
                  <w:tcW w:w="720" w:type="dxa"/>
                  <w:tcBorders>
                    <w:top w:val="single" w:color="auto" w:sz="4" w:space="0"/>
                    <w:left w:val="single" w:color="auto" w:sz="4" w:space="0"/>
                    <w:bottom w:val="single" w:color="auto" w:sz="4" w:space="0"/>
                    <w:right w:val="single" w:color="auto" w:sz="4" w:space="0"/>
                  </w:tcBorders>
                  <w:vAlign w:val="center"/>
                </w:tcPr>
                <w:p w14:paraId="7BC073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4467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73DDE3C0">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镉</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2277201B">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Times New Roman" w:hAnsi="Times New Roman" w:cs="Times New Roman"/>
                      <w:b w:val="0"/>
                      <w:bCs w:val="0"/>
                      <w:color w:val="auto"/>
                      <w:kern w:val="2"/>
                      <w:sz w:val="21"/>
                      <w:szCs w:val="21"/>
                      <w:highlight w:val="none"/>
                      <w:vertAlign w:val="baseline"/>
                      <w:lang w:val="en-US" w:eastAsia="zh-CN" w:bidi="ar-SA"/>
                    </w:rPr>
                    <w:t>0.005L</w:t>
                  </w:r>
                </w:p>
              </w:tc>
              <w:tc>
                <w:tcPr>
                  <w:tcW w:w="2196" w:type="dxa"/>
                  <w:tcBorders>
                    <w:top w:val="single" w:color="auto" w:sz="4" w:space="0"/>
                    <w:left w:val="single" w:color="auto" w:sz="4" w:space="0"/>
                    <w:bottom w:val="single" w:color="auto" w:sz="4" w:space="0"/>
                    <w:right w:val="single" w:color="auto" w:sz="4" w:space="0"/>
                  </w:tcBorders>
                  <w:vAlign w:val="center"/>
                </w:tcPr>
                <w:p w14:paraId="4F178041">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Times New Roman" w:hAnsi="Times New Roman" w:cs="Times New Roman"/>
                      <w:b w:val="0"/>
                      <w:bCs w:val="0"/>
                      <w:color w:val="auto"/>
                      <w:kern w:val="2"/>
                      <w:sz w:val="21"/>
                      <w:szCs w:val="21"/>
                      <w:highlight w:val="none"/>
                      <w:vertAlign w:val="baseline"/>
                      <w:lang w:val="en-US" w:eastAsia="zh-CN" w:bidi="ar-SA"/>
                    </w:rPr>
                    <w:t>0.005L</w:t>
                  </w:r>
                </w:p>
              </w:tc>
              <w:tc>
                <w:tcPr>
                  <w:tcW w:w="912" w:type="dxa"/>
                  <w:tcBorders>
                    <w:top w:val="single" w:color="auto" w:sz="4" w:space="0"/>
                    <w:left w:val="single" w:color="auto" w:sz="4" w:space="0"/>
                    <w:bottom w:val="single" w:color="auto" w:sz="4" w:space="0"/>
                    <w:right w:val="single" w:color="auto" w:sz="4" w:space="0"/>
                  </w:tcBorders>
                  <w:vAlign w:val="center"/>
                </w:tcPr>
                <w:p w14:paraId="53A00C4A">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0.005</w:t>
                  </w:r>
                </w:p>
              </w:tc>
              <w:tc>
                <w:tcPr>
                  <w:tcW w:w="720" w:type="dxa"/>
                  <w:tcBorders>
                    <w:top w:val="single" w:color="auto" w:sz="4" w:space="0"/>
                    <w:left w:val="single" w:color="auto" w:sz="4" w:space="0"/>
                    <w:bottom w:val="single" w:color="auto" w:sz="4" w:space="0"/>
                    <w:right w:val="single" w:color="auto" w:sz="4" w:space="0"/>
                  </w:tcBorders>
                  <w:vAlign w:val="center"/>
                </w:tcPr>
                <w:p w14:paraId="3E0442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0D0C0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63D1A2A7">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铁</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7C59C66B">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0.01</w:t>
                  </w:r>
                </w:p>
              </w:tc>
              <w:tc>
                <w:tcPr>
                  <w:tcW w:w="2196" w:type="dxa"/>
                  <w:tcBorders>
                    <w:top w:val="single" w:color="auto" w:sz="4" w:space="0"/>
                    <w:left w:val="single" w:color="auto" w:sz="4" w:space="0"/>
                    <w:bottom w:val="single" w:color="auto" w:sz="4" w:space="0"/>
                    <w:right w:val="single" w:color="auto" w:sz="4" w:space="0"/>
                  </w:tcBorders>
                  <w:vAlign w:val="center"/>
                </w:tcPr>
                <w:p w14:paraId="1B1DEA57">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0.01</w:t>
                  </w:r>
                </w:p>
              </w:tc>
              <w:tc>
                <w:tcPr>
                  <w:tcW w:w="912" w:type="dxa"/>
                  <w:tcBorders>
                    <w:top w:val="single" w:color="auto" w:sz="4" w:space="0"/>
                    <w:left w:val="single" w:color="auto" w:sz="4" w:space="0"/>
                    <w:bottom w:val="single" w:color="auto" w:sz="4" w:space="0"/>
                    <w:right w:val="single" w:color="auto" w:sz="4" w:space="0"/>
                  </w:tcBorders>
                  <w:vAlign w:val="center"/>
                </w:tcPr>
                <w:p w14:paraId="65B3BBA2">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0.3</w:t>
                  </w:r>
                </w:p>
              </w:tc>
              <w:tc>
                <w:tcPr>
                  <w:tcW w:w="720" w:type="dxa"/>
                  <w:tcBorders>
                    <w:top w:val="single" w:color="auto" w:sz="4" w:space="0"/>
                    <w:left w:val="single" w:color="auto" w:sz="4" w:space="0"/>
                    <w:bottom w:val="single" w:color="auto" w:sz="4" w:space="0"/>
                    <w:right w:val="single" w:color="auto" w:sz="4" w:space="0"/>
                  </w:tcBorders>
                  <w:vAlign w:val="center"/>
                </w:tcPr>
                <w:p w14:paraId="3B3220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25EB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2290F5AF">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锰</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2E2E0EDF">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0.032-0.033</w:t>
                  </w:r>
                </w:p>
              </w:tc>
              <w:tc>
                <w:tcPr>
                  <w:tcW w:w="2196" w:type="dxa"/>
                  <w:tcBorders>
                    <w:top w:val="single" w:color="auto" w:sz="4" w:space="0"/>
                    <w:left w:val="single" w:color="auto" w:sz="4" w:space="0"/>
                    <w:bottom w:val="single" w:color="auto" w:sz="4" w:space="0"/>
                    <w:right w:val="single" w:color="auto" w:sz="4" w:space="0"/>
                  </w:tcBorders>
                  <w:vAlign w:val="center"/>
                </w:tcPr>
                <w:p w14:paraId="37FD41C0">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0.033</w:t>
                  </w:r>
                </w:p>
              </w:tc>
              <w:tc>
                <w:tcPr>
                  <w:tcW w:w="912" w:type="dxa"/>
                  <w:tcBorders>
                    <w:top w:val="single" w:color="auto" w:sz="4" w:space="0"/>
                    <w:left w:val="single" w:color="auto" w:sz="4" w:space="0"/>
                    <w:bottom w:val="single" w:color="auto" w:sz="4" w:space="0"/>
                    <w:right w:val="single" w:color="auto" w:sz="4" w:space="0"/>
                  </w:tcBorders>
                  <w:vAlign w:val="center"/>
                </w:tcPr>
                <w:p w14:paraId="09D03A32">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0.1</w:t>
                  </w:r>
                </w:p>
              </w:tc>
              <w:tc>
                <w:tcPr>
                  <w:tcW w:w="720" w:type="dxa"/>
                  <w:tcBorders>
                    <w:top w:val="single" w:color="auto" w:sz="4" w:space="0"/>
                    <w:left w:val="single" w:color="auto" w:sz="4" w:space="0"/>
                    <w:bottom w:val="single" w:color="auto" w:sz="4" w:space="0"/>
                    <w:right w:val="single" w:color="auto" w:sz="4" w:space="0"/>
                  </w:tcBorders>
                  <w:vAlign w:val="center"/>
                </w:tcPr>
                <w:p w14:paraId="145542A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1B028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517F5C0F">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汞</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1DFB9B2B">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0.00004L</w:t>
                  </w:r>
                </w:p>
              </w:tc>
              <w:tc>
                <w:tcPr>
                  <w:tcW w:w="2196" w:type="dxa"/>
                  <w:tcBorders>
                    <w:top w:val="single" w:color="auto" w:sz="4" w:space="0"/>
                    <w:left w:val="single" w:color="auto" w:sz="4" w:space="0"/>
                    <w:bottom w:val="single" w:color="auto" w:sz="4" w:space="0"/>
                    <w:right w:val="single" w:color="auto" w:sz="4" w:space="0"/>
                  </w:tcBorders>
                  <w:vAlign w:val="center"/>
                </w:tcPr>
                <w:p w14:paraId="587C93CA">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color w:val="auto"/>
                      <w:kern w:val="2"/>
                      <w:sz w:val="21"/>
                      <w:szCs w:val="21"/>
                      <w:highlight w:val="none"/>
                      <w:lang w:val="en-US" w:eastAsia="zh-CN"/>
                    </w:rPr>
                    <w:t>0.00004L</w:t>
                  </w:r>
                </w:p>
              </w:tc>
              <w:tc>
                <w:tcPr>
                  <w:tcW w:w="912" w:type="dxa"/>
                  <w:tcBorders>
                    <w:top w:val="single" w:color="auto" w:sz="4" w:space="0"/>
                    <w:left w:val="single" w:color="auto" w:sz="4" w:space="0"/>
                    <w:bottom w:val="single" w:color="auto" w:sz="4" w:space="0"/>
                    <w:right w:val="single" w:color="auto" w:sz="4" w:space="0"/>
                  </w:tcBorders>
                  <w:vAlign w:val="center"/>
                </w:tcPr>
                <w:p w14:paraId="3E3E9E0D">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0.001</w:t>
                  </w:r>
                </w:p>
              </w:tc>
              <w:tc>
                <w:tcPr>
                  <w:tcW w:w="720" w:type="dxa"/>
                  <w:tcBorders>
                    <w:top w:val="single" w:color="auto" w:sz="4" w:space="0"/>
                    <w:left w:val="single" w:color="auto" w:sz="4" w:space="0"/>
                    <w:bottom w:val="single" w:color="auto" w:sz="4" w:space="0"/>
                    <w:right w:val="single" w:color="auto" w:sz="4" w:space="0"/>
                  </w:tcBorders>
                  <w:vAlign w:val="center"/>
                </w:tcPr>
                <w:p w14:paraId="034221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1BB60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4C090332">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ascii="宋体" w:hAnsi="宋体" w:cs="宋体"/>
                      <w:color w:val="auto"/>
                      <w:kern w:val="2"/>
                      <w:sz w:val="21"/>
                      <w:szCs w:val="21"/>
                      <w:highlight w:val="none"/>
                      <w:lang w:bidi="ar"/>
                    </w:rPr>
                    <w:t>砷</w:t>
                  </w:r>
                  <w:r>
                    <w:rPr>
                      <w:rFonts w:hint="eastAsia" w:ascii="宋体" w:hAnsi="宋体" w:cs="宋体"/>
                      <w:color w:val="auto"/>
                      <w:sz w:val="21"/>
                      <w:szCs w:val="21"/>
                      <w:highlight w:val="none"/>
                      <w:lang w:bidi="ar"/>
                    </w:rPr>
                    <w:t>（</w:t>
                  </w:r>
                  <w:r>
                    <w:rPr>
                      <w:color w:val="auto"/>
                      <w:kern w:val="2"/>
                      <w:sz w:val="21"/>
                      <w:szCs w:val="21"/>
                      <w:highlight w:val="none"/>
                      <w:lang w:bidi="ar"/>
                    </w:rPr>
                    <w:t>mg/L</w:t>
                  </w:r>
                  <w:r>
                    <w:rPr>
                      <w:rFonts w:hint="eastAsia" w:ascii="宋体" w:hAnsi="宋体" w:cs="宋体"/>
                      <w:color w:val="auto"/>
                      <w:kern w:val="2"/>
                      <w:sz w:val="21"/>
                      <w:szCs w:val="21"/>
                      <w:highlight w:val="none"/>
                      <w:lang w:bidi="ar"/>
                    </w:rPr>
                    <w:t>）</w:t>
                  </w:r>
                </w:p>
              </w:tc>
              <w:tc>
                <w:tcPr>
                  <w:tcW w:w="2231" w:type="dxa"/>
                  <w:tcBorders>
                    <w:top w:val="single" w:color="auto" w:sz="4" w:space="0"/>
                    <w:left w:val="single" w:color="auto" w:sz="4" w:space="0"/>
                    <w:bottom w:val="single" w:color="auto" w:sz="4" w:space="0"/>
                    <w:right w:val="single" w:color="auto" w:sz="4" w:space="0"/>
                  </w:tcBorders>
                  <w:vAlign w:val="center"/>
                </w:tcPr>
                <w:p w14:paraId="10CC7094">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0.0003L</w:t>
                  </w:r>
                </w:p>
              </w:tc>
              <w:tc>
                <w:tcPr>
                  <w:tcW w:w="2196" w:type="dxa"/>
                  <w:tcBorders>
                    <w:top w:val="single" w:color="auto" w:sz="4" w:space="0"/>
                    <w:left w:val="single" w:color="auto" w:sz="4" w:space="0"/>
                    <w:bottom w:val="single" w:color="auto" w:sz="4" w:space="0"/>
                    <w:right w:val="single" w:color="auto" w:sz="4" w:space="0"/>
                  </w:tcBorders>
                  <w:vAlign w:val="center"/>
                </w:tcPr>
                <w:p w14:paraId="0E07A853">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rFonts w:hint="eastAsia"/>
                      <w:color w:val="auto"/>
                      <w:kern w:val="2"/>
                      <w:sz w:val="21"/>
                      <w:szCs w:val="21"/>
                      <w:highlight w:val="none"/>
                      <w:lang w:val="en-US" w:eastAsia="zh-CN"/>
                    </w:rPr>
                    <w:t>0.0003L</w:t>
                  </w:r>
                </w:p>
              </w:tc>
              <w:tc>
                <w:tcPr>
                  <w:tcW w:w="912" w:type="dxa"/>
                  <w:tcBorders>
                    <w:top w:val="single" w:color="auto" w:sz="4" w:space="0"/>
                    <w:left w:val="single" w:color="auto" w:sz="4" w:space="0"/>
                    <w:bottom w:val="single" w:color="auto" w:sz="4" w:space="0"/>
                    <w:right w:val="single" w:color="auto" w:sz="4" w:space="0"/>
                  </w:tcBorders>
                  <w:vAlign w:val="center"/>
                </w:tcPr>
                <w:p w14:paraId="56D1215D">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color w:val="auto"/>
                      <w:kern w:val="2"/>
                      <w:sz w:val="21"/>
                      <w:szCs w:val="21"/>
                      <w:highlight w:val="none"/>
                    </w:rPr>
                  </w:pPr>
                  <w:r>
                    <w:rPr>
                      <w:color w:val="auto"/>
                      <w:kern w:val="2"/>
                      <w:sz w:val="21"/>
                      <w:szCs w:val="21"/>
                      <w:highlight w:val="none"/>
                      <w:lang w:bidi="ar"/>
                    </w:rPr>
                    <w:t>0.01</w:t>
                  </w:r>
                </w:p>
              </w:tc>
              <w:tc>
                <w:tcPr>
                  <w:tcW w:w="720" w:type="dxa"/>
                  <w:tcBorders>
                    <w:top w:val="single" w:color="auto" w:sz="4" w:space="0"/>
                    <w:left w:val="single" w:color="auto" w:sz="4" w:space="0"/>
                    <w:bottom w:val="single" w:color="auto" w:sz="4" w:space="0"/>
                    <w:right w:val="single" w:color="auto" w:sz="4" w:space="0"/>
                  </w:tcBorders>
                  <w:vAlign w:val="center"/>
                </w:tcPr>
                <w:p w14:paraId="2FF9C2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bl>
          <w:p w14:paraId="28D1A0C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highlight w:val="none"/>
              </w:rPr>
            </w:pPr>
            <w:r>
              <w:rPr>
                <w:rFonts w:hint="eastAsia"/>
                <w:color w:val="auto"/>
                <w:sz w:val="24"/>
                <w:highlight w:val="none"/>
                <w:lang w:val="en-US" w:eastAsia="zh-CN"/>
              </w:rPr>
              <w:t>根据</w:t>
            </w:r>
            <w:r>
              <w:rPr>
                <w:color w:val="auto"/>
                <w:sz w:val="24"/>
                <w:highlight w:val="none"/>
              </w:rPr>
              <w:t>表</w:t>
            </w:r>
            <w:r>
              <w:rPr>
                <w:rFonts w:hint="eastAsia"/>
                <w:color w:val="auto"/>
                <w:sz w:val="24"/>
                <w:highlight w:val="none"/>
              </w:rPr>
              <w:t>3-</w:t>
            </w:r>
            <w:r>
              <w:rPr>
                <w:rFonts w:hint="eastAsia"/>
                <w:color w:val="auto"/>
                <w:sz w:val="24"/>
                <w:highlight w:val="none"/>
                <w:lang w:val="en-US" w:eastAsia="zh-CN"/>
              </w:rPr>
              <w:t>6</w:t>
            </w:r>
            <w:r>
              <w:rPr>
                <w:color w:val="auto"/>
                <w:sz w:val="24"/>
                <w:highlight w:val="none"/>
              </w:rPr>
              <w:t>检测结果表明，</w:t>
            </w:r>
            <w:r>
              <w:rPr>
                <w:color w:val="auto"/>
                <w:sz w:val="24"/>
                <w:szCs w:val="22"/>
                <w:highlight w:val="none"/>
              </w:rPr>
              <w:t>各项</w:t>
            </w:r>
            <w:r>
              <w:rPr>
                <w:rFonts w:hint="eastAsia"/>
                <w:color w:val="auto"/>
                <w:sz w:val="24"/>
                <w:szCs w:val="22"/>
                <w:highlight w:val="none"/>
              </w:rPr>
              <w:t>检测</w:t>
            </w:r>
            <w:r>
              <w:rPr>
                <w:color w:val="auto"/>
                <w:sz w:val="24"/>
                <w:szCs w:val="22"/>
                <w:highlight w:val="none"/>
              </w:rPr>
              <w:t>值均能满足《地下水质量标准》（GB/T 14848-2017）III类标准限值。项目所在区域地下水环境质量状况能满足Ⅲ类</w:t>
            </w:r>
            <w:r>
              <w:rPr>
                <w:rFonts w:hint="eastAsia"/>
                <w:color w:val="auto"/>
                <w:sz w:val="24"/>
                <w:szCs w:val="22"/>
                <w:highlight w:val="none"/>
              </w:rPr>
              <w:t>水质</w:t>
            </w:r>
            <w:r>
              <w:rPr>
                <w:rFonts w:hint="eastAsia"/>
                <w:color w:val="auto"/>
                <w:sz w:val="24"/>
                <w:highlight w:val="none"/>
              </w:rPr>
              <w:t>要求</w:t>
            </w:r>
            <w:r>
              <w:rPr>
                <w:color w:val="auto"/>
                <w:sz w:val="24"/>
                <w:highlight w:val="none"/>
              </w:rPr>
              <w:t>。</w:t>
            </w:r>
          </w:p>
          <w:p w14:paraId="0D12EA49">
            <w:pPr>
              <w:keepNext w:val="0"/>
              <w:keepLines w:val="0"/>
              <w:pageBreakBefore w:val="0"/>
              <w:widowControl w:val="0"/>
              <w:kinsoku/>
              <w:wordWrap/>
              <w:overflowPunct/>
              <w:topLinePunct w:val="0"/>
              <w:autoSpaceDE/>
              <w:autoSpaceDN/>
              <w:bidi w:val="0"/>
              <w:adjustRightInd/>
              <w:snapToGrid/>
              <w:spacing w:line="440" w:lineRule="exact"/>
              <w:jc w:val="left"/>
              <w:textAlignment w:val="auto"/>
              <w:rPr>
                <w:b/>
                <w:bCs/>
                <w:color w:val="auto"/>
                <w:kern w:val="0"/>
                <w:sz w:val="24"/>
                <w:highlight w:val="none"/>
              </w:rPr>
            </w:pPr>
            <w:r>
              <w:rPr>
                <w:rFonts w:hint="eastAsia"/>
                <w:b/>
                <w:bCs/>
                <w:color w:val="auto"/>
                <w:kern w:val="0"/>
                <w:sz w:val="24"/>
                <w:highlight w:val="none"/>
              </w:rPr>
              <w:t>5、土壤环境</w:t>
            </w:r>
          </w:p>
          <w:p w14:paraId="7FFB0153">
            <w:pPr>
              <w:keepNext w:val="0"/>
              <w:keepLines w:val="0"/>
              <w:pageBreakBefore w:val="0"/>
              <w:widowControl w:val="0"/>
              <w:kinsoku/>
              <w:wordWrap/>
              <w:overflowPunct/>
              <w:topLinePunct w:val="0"/>
              <w:autoSpaceDE/>
              <w:autoSpaceDN/>
              <w:bidi w:val="0"/>
              <w:adjustRightInd/>
              <w:snapToGrid/>
              <w:spacing w:line="440" w:lineRule="exact"/>
              <w:ind w:right="40" w:firstLine="480" w:firstLineChars="200"/>
              <w:jc w:val="left"/>
              <w:textAlignment w:val="auto"/>
              <w:rPr>
                <w:color w:val="auto"/>
                <w:kern w:val="0"/>
                <w:sz w:val="24"/>
                <w:highlight w:val="none"/>
                <w:lang w:bidi="ar"/>
              </w:rPr>
            </w:pPr>
            <w:r>
              <w:rPr>
                <w:rFonts w:hint="eastAsia"/>
                <w:color w:val="auto"/>
                <w:sz w:val="24"/>
                <w:highlight w:val="none"/>
              </w:rPr>
              <w:t>根据《建设项目环境影响报告表编制技术指南（污染影响类）》（试行）》，原则上不开展土壤环境质量现状调查，本项目</w:t>
            </w:r>
            <w:r>
              <w:rPr>
                <w:color w:val="auto"/>
                <w:kern w:val="0"/>
                <w:sz w:val="24"/>
                <w:highlight w:val="none"/>
                <w:lang w:bidi="ar"/>
              </w:rPr>
              <w:t>非正常工况废水或危险废物泄露下渗</w:t>
            </w:r>
            <w:r>
              <w:rPr>
                <w:rFonts w:hint="eastAsia"/>
                <w:color w:val="auto"/>
                <w:kern w:val="0"/>
                <w:sz w:val="24"/>
                <w:highlight w:val="none"/>
                <w:lang w:bidi="ar"/>
              </w:rPr>
              <w:t>、发酵渗滤液泄露、废气污染物非正常排放大气沉降也会对土壤造成污染</w:t>
            </w:r>
            <w:r>
              <w:rPr>
                <w:color w:val="auto"/>
                <w:kern w:val="0"/>
                <w:sz w:val="24"/>
                <w:highlight w:val="none"/>
                <w:lang w:bidi="ar"/>
              </w:rPr>
              <w:t>。</w:t>
            </w:r>
          </w:p>
          <w:p w14:paraId="29B2B821">
            <w:pPr>
              <w:keepNext w:val="0"/>
              <w:keepLines w:val="0"/>
              <w:pageBreakBefore w:val="0"/>
              <w:widowControl w:val="0"/>
              <w:kinsoku/>
              <w:wordWrap/>
              <w:overflowPunct/>
              <w:topLinePunct w:val="0"/>
              <w:autoSpaceDE/>
              <w:autoSpaceDN/>
              <w:bidi w:val="0"/>
              <w:adjustRightInd/>
              <w:snapToGrid/>
              <w:spacing w:line="440" w:lineRule="exact"/>
              <w:ind w:right="40" w:firstLine="480" w:firstLineChars="200"/>
              <w:jc w:val="left"/>
              <w:textAlignment w:val="auto"/>
              <w:rPr>
                <w:rFonts w:hint="eastAsia"/>
                <w:color w:val="auto"/>
                <w:sz w:val="24"/>
                <w:highlight w:val="none"/>
                <w:lang w:eastAsia="zh-CN"/>
              </w:rPr>
            </w:pPr>
            <w:r>
              <w:rPr>
                <w:rFonts w:hint="eastAsia"/>
                <w:color w:val="auto"/>
                <w:kern w:val="0"/>
                <w:sz w:val="24"/>
                <w:highlight w:val="none"/>
                <w:lang w:bidi="ar"/>
              </w:rPr>
              <w:t>为了解项目区周边</w:t>
            </w:r>
            <w:r>
              <w:rPr>
                <w:rFonts w:hint="eastAsia"/>
                <w:color w:val="auto"/>
                <w:kern w:val="0"/>
                <w:sz w:val="24"/>
                <w:highlight w:val="none"/>
                <w:lang w:val="en-US" w:eastAsia="zh-CN" w:bidi="ar"/>
              </w:rPr>
              <w:t>土壤环境</w:t>
            </w:r>
            <w:r>
              <w:rPr>
                <w:rFonts w:hint="eastAsia"/>
                <w:color w:val="auto"/>
                <w:kern w:val="0"/>
                <w:sz w:val="24"/>
                <w:highlight w:val="none"/>
                <w:lang w:bidi="ar"/>
              </w:rPr>
              <w:t>质量现状，环评委托中博源检测（云南）有限公司于2026年8月8日</w:t>
            </w:r>
            <w:r>
              <w:rPr>
                <w:rFonts w:hint="eastAsia"/>
                <w:color w:val="auto"/>
                <w:kern w:val="0"/>
                <w:sz w:val="24"/>
                <w:highlight w:val="none"/>
                <w:lang w:val="en-US" w:eastAsia="zh-CN" w:bidi="ar"/>
              </w:rPr>
              <w:t>对项目固体复合微生肥发酵区土壤进行了监测，</w:t>
            </w:r>
            <w:r>
              <w:rPr>
                <w:rFonts w:hint="eastAsia"/>
                <w:color w:val="auto"/>
                <w:sz w:val="24"/>
                <w:highlight w:val="none"/>
              </w:rPr>
              <w:t>以留作背景值</w:t>
            </w:r>
            <w:r>
              <w:rPr>
                <w:rFonts w:hint="eastAsia"/>
                <w:color w:val="auto"/>
                <w:sz w:val="24"/>
                <w:highlight w:val="none"/>
                <w:lang w:eastAsia="zh-CN"/>
              </w:rPr>
              <w:t>。</w:t>
            </w:r>
          </w:p>
          <w:p w14:paraId="6CDEC79A">
            <w:pPr>
              <w:keepNext w:val="0"/>
              <w:keepLines w:val="0"/>
              <w:pageBreakBefore w:val="0"/>
              <w:widowControl w:val="0"/>
              <w:kinsoku/>
              <w:wordWrap/>
              <w:overflowPunct/>
              <w:topLinePunct w:val="0"/>
              <w:autoSpaceDE/>
              <w:autoSpaceDN/>
              <w:bidi w:val="0"/>
              <w:adjustRightInd/>
              <w:snapToGrid/>
              <w:spacing w:line="440" w:lineRule="exact"/>
              <w:ind w:right="40" w:firstLine="480" w:firstLineChars="200"/>
              <w:jc w:val="left"/>
              <w:textAlignment w:val="auto"/>
              <w:rPr>
                <w:rFonts w:hint="default"/>
                <w:color w:val="auto"/>
                <w:sz w:val="24"/>
                <w:highlight w:val="none"/>
                <w:lang w:val="en-US" w:eastAsia="zh-CN"/>
              </w:rPr>
            </w:pPr>
            <w:r>
              <w:rPr>
                <w:rFonts w:hint="eastAsia"/>
                <w:color w:val="auto"/>
                <w:sz w:val="24"/>
                <w:highlight w:val="none"/>
                <w:lang w:val="en-US" w:eastAsia="zh-CN"/>
              </w:rPr>
              <w:t>其检测结果如下表所示：</w:t>
            </w:r>
          </w:p>
          <w:p w14:paraId="10464BB4">
            <w:pPr>
              <w:pStyle w:val="119"/>
              <w:widowControl/>
              <w:ind w:firstLine="367" w:firstLineChars="174"/>
              <w:jc w:val="center"/>
              <w:rPr>
                <w:rFonts w:hint="eastAsia" w:ascii="宋体" w:hAnsi="宋体" w:cs="宋体"/>
                <w:b/>
                <w:bCs/>
                <w:color w:val="auto"/>
                <w:highlight w:val="none"/>
              </w:rPr>
            </w:pPr>
          </w:p>
          <w:p w14:paraId="5530EE3A">
            <w:pPr>
              <w:pStyle w:val="119"/>
              <w:widowControl/>
              <w:ind w:firstLine="367" w:firstLineChars="174"/>
              <w:jc w:val="center"/>
              <w:rPr>
                <w:rFonts w:hint="eastAsia" w:ascii="宋体" w:hAnsi="宋体" w:cs="宋体"/>
                <w:b/>
                <w:bCs/>
                <w:color w:val="auto"/>
                <w:highlight w:val="none"/>
              </w:rPr>
            </w:pPr>
          </w:p>
          <w:p w14:paraId="02699A38">
            <w:pPr>
              <w:pStyle w:val="119"/>
              <w:widowControl/>
              <w:ind w:firstLine="367" w:firstLineChars="174"/>
              <w:jc w:val="center"/>
              <w:rPr>
                <w:rFonts w:hint="eastAsia" w:ascii="宋体" w:hAnsi="宋体" w:cs="宋体"/>
                <w:b/>
                <w:bCs/>
                <w:color w:val="auto"/>
                <w:highlight w:val="none"/>
              </w:rPr>
            </w:pPr>
          </w:p>
          <w:p w14:paraId="484E9A03">
            <w:pPr>
              <w:pStyle w:val="119"/>
              <w:widowControl/>
              <w:ind w:firstLine="367" w:firstLineChars="174"/>
              <w:jc w:val="center"/>
              <w:rPr>
                <w:b/>
                <w:color w:val="auto"/>
                <w:highlight w:val="none"/>
              </w:rPr>
            </w:pPr>
            <w:r>
              <w:rPr>
                <w:rFonts w:hint="eastAsia" w:ascii="宋体" w:hAnsi="宋体" w:cs="宋体"/>
                <w:b/>
                <w:bCs/>
                <w:color w:val="auto"/>
                <w:highlight w:val="none"/>
              </w:rPr>
              <w:t>表</w:t>
            </w:r>
            <w:r>
              <w:rPr>
                <w:b/>
                <w:bCs/>
                <w:color w:val="auto"/>
                <w:highlight w:val="none"/>
              </w:rPr>
              <w:t xml:space="preserve">3-7 </w:t>
            </w:r>
            <w:r>
              <w:rPr>
                <w:rFonts w:hint="eastAsia" w:ascii="宋体" w:hAnsi="宋体" w:cs="宋体"/>
                <w:b/>
                <w:bCs/>
                <w:color w:val="auto"/>
                <w:highlight w:val="none"/>
              </w:rPr>
              <w:t>土壤理化特性调查表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2"/>
              <w:gridCol w:w="4149"/>
            </w:tblGrid>
            <w:tr w14:paraId="7763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2" w:type="dxa"/>
                  <w:vAlign w:val="center"/>
                </w:tcPr>
                <w:p w14:paraId="0A773EA2">
                  <w:pPr>
                    <w:keepNext w:val="0"/>
                    <w:keepLines w:val="0"/>
                    <w:pageBreakBefore w:val="0"/>
                    <w:kinsoku/>
                    <w:wordWrap/>
                    <w:overflowPunct/>
                    <w:topLinePunct w:val="0"/>
                    <w:autoSpaceDE/>
                    <w:autoSpaceDN/>
                    <w:bidi w:val="0"/>
                    <w:adjustRightInd/>
                    <w:snapToGrid/>
                    <w:spacing w:line="320" w:lineRule="exact"/>
                    <w:jc w:val="center"/>
                    <w:textAlignment w:val="auto"/>
                    <w:rPr>
                      <w:bCs/>
                      <w:color w:val="auto"/>
                      <w:szCs w:val="21"/>
                      <w:highlight w:val="none"/>
                    </w:rPr>
                  </w:pPr>
                  <w:r>
                    <w:rPr>
                      <w:rFonts w:hint="eastAsia" w:ascii="宋体" w:hAnsi="宋体" w:cs="宋体"/>
                      <w:bCs/>
                      <w:color w:val="auto"/>
                      <w:szCs w:val="21"/>
                      <w:highlight w:val="none"/>
                      <w:lang w:bidi="ar"/>
                    </w:rPr>
                    <w:t>采样点位</w:t>
                  </w:r>
                </w:p>
              </w:tc>
              <w:tc>
                <w:tcPr>
                  <w:tcW w:w="4149" w:type="dxa"/>
                  <w:vAlign w:val="center"/>
                </w:tcPr>
                <w:p w14:paraId="1BAA82A7">
                  <w:pPr>
                    <w:keepNext w:val="0"/>
                    <w:keepLines w:val="0"/>
                    <w:pageBreakBefore w:val="0"/>
                    <w:widowControl/>
                    <w:kinsoku/>
                    <w:wordWrap/>
                    <w:overflowPunct/>
                    <w:topLinePunct w:val="0"/>
                    <w:autoSpaceDE/>
                    <w:autoSpaceDN/>
                    <w:bidi w:val="0"/>
                    <w:adjustRightInd/>
                    <w:snapToGrid/>
                    <w:spacing w:line="320" w:lineRule="exact"/>
                    <w:jc w:val="center"/>
                    <w:textAlignment w:val="auto"/>
                    <w:rPr>
                      <w:bCs/>
                      <w:color w:val="auto"/>
                      <w:szCs w:val="21"/>
                      <w:highlight w:val="none"/>
                    </w:rPr>
                  </w:pPr>
                  <w:r>
                    <w:rPr>
                      <w:rFonts w:hint="eastAsia" w:ascii="宋体" w:hAnsi="宋体" w:cs="宋体"/>
                      <w:color w:val="auto"/>
                      <w:szCs w:val="21"/>
                      <w:highlight w:val="none"/>
                      <w:lang w:bidi="ar"/>
                    </w:rPr>
                    <w:t>翻堆发酵区（表层样）</w:t>
                  </w:r>
                </w:p>
              </w:tc>
            </w:tr>
            <w:tr w14:paraId="3222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2" w:type="dxa"/>
                  <w:vAlign w:val="center"/>
                </w:tcPr>
                <w:p w14:paraId="2CA42570">
                  <w:pPr>
                    <w:keepNext w:val="0"/>
                    <w:keepLines w:val="0"/>
                    <w:pageBreakBefore w:val="0"/>
                    <w:kinsoku/>
                    <w:wordWrap/>
                    <w:overflowPunct/>
                    <w:topLinePunct w:val="0"/>
                    <w:autoSpaceDE/>
                    <w:autoSpaceDN/>
                    <w:bidi w:val="0"/>
                    <w:adjustRightInd/>
                    <w:snapToGrid/>
                    <w:spacing w:line="320" w:lineRule="exact"/>
                    <w:jc w:val="center"/>
                    <w:textAlignment w:val="auto"/>
                    <w:rPr>
                      <w:bCs/>
                      <w:color w:val="auto"/>
                      <w:szCs w:val="21"/>
                      <w:highlight w:val="none"/>
                    </w:rPr>
                  </w:pPr>
                  <w:r>
                    <w:rPr>
                      <w:rFonts w:hint="eastAsia" w:ascii="宋体" w:hAnsi="宋体" w:cs="宋体"/>
                      <w:bCs/>
                      <w:color w:val="auto"/>
                      <w:szCs w:val="21"/>
                      <w:highlight w:val="none"/>
                      <w:lang w:bidi="ar"/>
                    </w:rPr>
                    <w:t>采样日期</w:t>
                  </w:r>
                  <w:r>
                    <w:rPr>
                      <w:bCs/>
                      <w:color w:val="auto"/>
                      <w:szCs w:val="21"/>
                      <w:highlight w:val="none"/>
                      <w:lang w:bidi="ar"/>
                    </w:rPr>
                    <w:t>/</w:t>
                  </w:r>
                  <w:r>
                    <w:rPr>
                      <w:rFonts w:hint="eastAsia" w:ascii="宋体" w:hAnsi="宋体" w:cs="宋体"/>
                      <w:bCs/>
                      <w:color w:val="auto"/>
                      <w:szCs w:val="21"/>
                      <w:highlight w:val="none"/>
                      <w:lang w:bidi="ar"/>
                    </w:rPr>
                    <w:t>接样日期</w:t>
                  </w:r>
                </w:p>
              </w:tc>
              <w:tc>
                <w:tcPr>
                  <w:tcW w:w="4149" w:type="dxa"/>
                  <w:vAlign w:val="center"/>
                </w:tcPr>
                <w:p w14:paraId="303D138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2026/8/8</w:t>
                  </w:r>
                </w:p>
              </w:tc>
            </w:tr>
            <w:tr w14:paraId="6D00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2" w:type="dxa"/>
                  <w:tcBorders>
                    <w:tl2br w:val="single" w:color="auto" w:sz="4" w:space="0"/>
                  </w:tcBorders>
                  <w:vAlign w:val="center"/>
                </w:tcPr>
                <w:p w14:paraId="01EC8CE0">
                  <w:pPr>
                    <w:keepNext w:val="0"/>
                    <w:keepLines w:val="0"/>
                    <w:pageBreakBefore w:val="0"/>
                    <w:kinsoku/>
                    <w:wordWrap/>
                    <w:overflowPunct/>
                    <w:topLinePunct w:val="0"/>
                    <w:autoSpaceDE/>
                    <w:autoSpaceDN/>
                    <w:bidi w:val="0"/>
                    <w:adjustRightInd/>
                    <w:snapToGrid/>
                    <w:spacing w:line="320" w:lineRule="exact"/>
                    <w:jc w:val="right"/>
                    <w:textAlignment w:val="auto"/>
                    <w:rPr>
                      <w:bCs/>
                      <w:color w:val="auto"/>
                      <w:szCs w:val="21"/>
                      <w:highlight w:val="none"/>
                    </w:rPr>
                  </w:pPr>
                  <w:r>
                    <w:rPr>
                      <w:bCs/>
                      <w:color w:val="auto"/>
                      <w:szCs w:val="21"/>
                      <w:highlight w:val="none"/>
                      <w:lang w:bidi="ar"/>
                    </w:rPr>
                    <w:t xml:space="preserve">                   </w:t>
                  </w:r>
                  <w:r>
                    <w:rPr>
                      <w:rFonts w:hint="eastAsia" w:ascii="宋体" w:hAnsi="宋体" w:cs="宋体"/>
                      <w:bCs/>
                      <w:color w:val="auto"/>
                      <w:szCs w:val="21"/>
                      <w:highlight w:val="none"/>
                      <w:lang w:bidi="ar"/>
                    </w:rPr>
                    <w:t>样品状态</w:t>
                  </w:r>
                </w:p>
                <w:p w14:paraId="6AE5153C">
                  <w:pPr>
                    <w:keepNext w:val="0"/>
                    <w:keepLines w:val="0"/>
                    <w:pageBreakBefore w:val="0"/>
                    <w:kinsoku/>
                    <w:wordWrap/>
                    <w:overflowPunct/>
                    <w:topLinePunct w:val="0"/>
                    <w:autoSpaceDE/>
                    <w:autoSpaceDN/>
                    <w:bidi w:val="0"/>
                    <w:adjustRightInd/>
                    <w:snapToGrid/>
                    <w:spacing w:line="320" w:lineRule="exact"/>
                    <w:ind w:firstLine="1050" w:firstLineChars="500"/>
                    <w:textAlignment w:val="auto"/>
                    <w:rPr>
                      <w:bCs/>
                      <w:color w:val="auto"/>
                      <w:szCs w:val="21"/>
                      <w:highlight w:val="none"/>
                    </w:rPr>
                  </w:pPr>
                  <w:r>
                    <w:rPr>
                      <w:rFonts w:hint="eastAsia" w:ascii="宋体" w:hAnsi="宋体" w:cs="宋体"/>
                      <w:bCs/>
                      <w:color w:val="auto"/>
                      <w:szCs w:val="21"/>
                      <w:highlight w:val="none"/>
                      <w:lang w:bidi="ar"/>
                    </w:rPr>
                    <w:t>项目</w:t>
                  </w:r>
                </w:p>
              </w:tc>
              <w:tc>
                <w:tcPr>
                  <w:tcW w:w="4149" w:type="dxa"/>
                  <w:vAlign w:val="center"/>
                </w:tcPr>
                <w:p w14:paraId="716C90E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eastAsia="宋体"/>
                      <w:bCs/>
                      <w:color w:val="auto"/>
                      <w:szCs w:val="21"/>
                      <w:highlight w:val="none"/>
                      <w:lang w:val="en-US" w:eastAsia="zh-CN"/>
                    </w:rPr>
                  </w:pPr>
                  <w:r>
                    <w:rPr>
                      <w:rFonts w:hint="eastAsia"/>
                      <w:bCs/>
                      <w:color w:val="auto"/>
                      <w:szCs w:val="21"/>
                      <w:highlight w:val="none"/>
                      <w:lang w:val="en-US" w:eastAsia="zh-CN"/>
                    </w:rPr>
                    <w:t>红褐色、团块</w:t>
                  </w:r>
                </w:p>
              </w:tc>
            </w:tr>
            <w:tr w14:paraId="52AA6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2" w:type="dxa"/>
                  <w:vAlign w:val="center"/>
                </w:tcPr>
                <w:p w14:paraId="3E3D18CD">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color w:val="auto"/>
                      <w:highlight w:val="none"/>
                    </w:rPr>
                  </w:pPr>
                  <w:r>
                    <w:rPr>
                      <w:rFonts w:hint="eastAsia" w:ascii="宋体" w:hAnsi="宋体" w:cs="宋体"/>
                      <w:color w:val="auto"/>
                      <w:highlight w:val="none"/>
                    </w:rPr>
                    <w:t>阳离子交换量</w:t>
                  </w:r>
                  <w:r>
                    <w:rPr>
                      <w:rFonts w:hint="eastAsia" w:ascii="宋体" w:hAnsi="宋体" w:cs="宋体"/>
                      <w:color w:val="auto"/>
                      <w:kern w:val="0"/>
                      <w:highlight w:val="none"/>
                    </w:rPr>
                    <w:t>（</w:t>
                  </w:r>
                  <w:r>
                    <w:rPr>
                      <w:color w:val="auto"/>
                      <w:highlight w:val="none"/>
                    </w:rPr>
                    <w:t>cmol(+)/kg</w:t>
                  </w:r>
                  <w:r>
                    <w:rPr>
                      <w:rFonts w:hint="eastAsia" w:ascii="宋体" w:hAnsi="宋体" w:cs="宋体"/>
                      <w:color w:val="auto"/>
                      <w:kern w:val="0"/>
                      <w:highlight w:val="none"/>
                    </w:rPr>
                    <w:t>）</w:t>
                  </w:r>
                </w:p>
              </w:tc>
              <w:tc>
                <w:tcPr>
                  <w:tcW w:w="4149" w:type="dxa"/>
                  <w:vAlign w:val="center"/>
                </w:tcPr>
                <w:p w14:paraId="48ED4CDC">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eastAsia="宋体"/>
                      <w:color w:val="auto"/>
                      <w:highlight w:val="none"/>
                      <w:lang w:val="en-US" w:eastAsia="zh-CN"/>
                    </w:rPr>
                  </w:pPr>
                  <w:r>
                    <w:rPr>
                      <w:rFonts w:hint="eastAsia"/>
                      <w:color w:val="auto"/>
                      <w:highlight w:val="none"/>
                      <w:lang w:val="en-US" w:eastAsia="zh-CN"/>
                    </w:rPr>
                    <w:t>13.0</w:t>
                  </w:r>
                </w:p>
              </w:tc>
            </w:tr>
            <w:tr w14:paraId="7650C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2" w:type="dxa"/>
                  <w:vAlign w:val="center"/>
                </w:tcPr>
                <w:p w14:paraId="6F0B05F7">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color w:val="auto"/>
                      <w:highlight w:val="none"/>
                    </w:rPr>
                  </w:pPr>
                  <w:r>
                    <w:rPr>
                      <w:rFonts w:hint="eastAsia" w:ascii="宋体" w:hAnsi="宋体" w:cs="宋体"/>
                      <w:color w:val="auto"/>
                      <w:highlight w:val="none"/>
                    </w:rPr>
                    <w:t>容重（</w:t>
                  </w:r>
                  <w:r>
                    <w:rPr>
                      <w:color w:val="auto"/>
                      <w:highlight w:val="none"/>
                    </w:rPr>
                    <w:t>g/m</w:t>
                  </w:r>
                  <w:r>
                    <w:rPr>
                      <w:color w:val="auto"/>
                      <w:highlight w:val="none"/>
                      <w:vertAlign w:val="superscript"/>
                    </w:rPr>
                    <w:t>3</w:t>
                  </w:r>
                  <w:r>
                    <w:rPr>
                      <w:rFonts w:hint="eastAsia" w:ascii="宋体" w:hAnsi="宋体" w:cs="宋体"/>
                      <w:color w:val="auto"/>
                      <w:highlight w:val="none"/>
                    </w:rPr>
                    <w:t>）</w:t>
                  </w:r>
                </w:p>
              </w:tc>
              <w:tc>
                <w:tcPr>
                  <w:tcW w:w="4149" w:type="dxa"/>
                  <w:vAlign w:val="center"/>
                </w:tcPr>
                <w:p w14:paraId="14F0D60F">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eastAsia="宋体"/>
                      <w:color w:val="auto"/>
                      <w:highlight w:val="none"/>
                      <w:lang w:val="en-US" w:eastAsia="zh-CN"/>
                    </w:rPr>
                  </w:pPr>
                  <w:r>
                    <w:rPr>
                      <w:rFonts w:hint="eastAsia"/>
                      <w:color w:val="auto"/>
                      <w:highlight w:val="none"/>
                      <w:lang w:val="en-US" w:eastAsia="zh-CN"/>
                    </w:rPr>
                    <w:t>1.4</w:t>
                  </w:r>
                </w:p>
              </w:tc>
            </w:tr>
            <w:tr w14:paraId="06094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2" w:type="dxa"/>
                  <w:vAlign w:val="center"/>
                </w:tcPr>
                <w:p w14:paraId="139723A1">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color w:val="auto"/>
                      <w:highlight w:val="none"/>
                    </w:rPr>
                  </w:pPr>
                  <w:r>
                    <w:rPr>
                      <w:rFonts w:hint="eastAsia" w:ascii="宋体" w:hAnsi="宋体" w:cs="宋体"/>
                      <w:color w:val="auto"/>
                      <w:highlight w:val="none"/>
                    </w:rPr>
                    <w:t>氧化还原电位（</w:t>
                  </w:r>
                  <w:r>
                    <w:rPr>
                      <w:color w:val="auto"/>
                      <w:highlight w:val="none"/>
                    </w:rPr>
                    <w:t>mV</w:t>
                  </w:r>
                  <w:r>
                    <w:rPr>
                      <w:rFonts w:hint="eastAsia" w:ascii="宋体" w:hAnsi="宋体" w:cs="宋体"/>
                      <w:color w:val="auto"/>
                      <w:highlight w:val="none"/>
                    </w:rPr>
                    <w:t>）</w:t>
                  </w:r>
                </w:p>
              </w:tc>
              <w:tc>
                <w:tcPr>
                  <w:tcW w:w="4149" w:type="dxa"/>
                  <w:vAlign w:val="center"/>
                </w:tcPr>
                <w:p w14:paraId="283EA33E">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eastAsia="宋体"/>
                      <w:color w:val="auto"/>
                      <w:highlight w:val="none"/>
                      <w:lang w:val="en-US" w:eastAsia="zh-CN"/>
                    </w:rPr>
                  </w:pPr>
                  <w:r>
                    <w:rPr>
                      <w:rFonts w:hint="eastAsia"/>
                      <w:color w:val="auto"/>
                      <w:highlight w:val="none"/>
                      <w:lang w:val="en-US" w:eastAsia="zh-CN"/>
                    </w:rPr>
                    <w:t>475</w:t>
                  </w:r>
                </w:p>
              </w:tc>
            </w:tr>
            <w:tr w14:paraId="0B3DB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2" w:type="dxa"/>
                  <w:vAlign w:val="center"/>
                </w:tcPr>
                <w:p w14:paraId="2DEF0862">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color w:val="auto"/>
                      <w:highlight w:val="none"/>
                    </w:rPr>
                  </w:pPr>
                  <w:r>
                    <w:rPr>
                      <w:rFonts w:hint="eastAsia" w:ascii="宋体" w:hAnsi="宋体" w:cs="宋体"/>
                      <w:color w:val="auto"/>
                      <w:highlight w:val="none"/>
                    </w:rPr>
                    <w:t>渗滤率（饱和导水率）</w:t>
                  </w:r>
                  <w:r>
                    <w:rPr>
                      <w:color w:val="auto"/>
                      <w:highlight w:val="none"/>
                    </w:rPr>
                    <w:t>k10</w:t>
                  </w:r>
                  <w:r>
                    <w:rPr>
                      <w:rFonts w:hint="eastAsia" w:ascii="宋体" w:hAnsi="宋体" w:cs="宋体"/>
                      <w:color w:val="auto"/>
                      <w:highlight w:val="none"/>
                    </w:rPr>
                    <w:t>（</w:t>
                  </w:r>
                  <w:r>
                    <w:rPr>
                      <w:color w:val="auto"/>
                      <w:highlight w:val="none"/>
                    </w:rPr>
                    <w:t>mm/min</w:t>
                  </w:r>
                  <w:r>
                    <w:rPr>
                      <w:rFonts w:hint="eastAsia" w:ascii="宋体" w:hAnsi="宋体" w:cs="宋体"/>
                      <w:color w:val="auto"/>
                      <w:highlight w:val="none"/>
                    </w:rPr>
                    <w:t>）</w:t>
                  </w:r>
                </w:p>
              </w:tc>
              <w:tc>
                <w:tcPr>
                  <w:tcW w:w="4149" w:type="dxa"/>
                  <w:vAlign w:val="center"/>
                </w:tcPr>
                <w:p w14:paraId="46216C1F">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eastAsia="宋体"/>
                      <w:color w:val="auto"/>
                      <w:highlight w:val="none"/>
                      <w:lang w:val="en-US" w:eastAsia="zh-CN"/>
                    </w:rPr>
                  </w:pPr>
                  <w:r>
                    <w:rPr>
                      <w:rFonts w:hint="eastAsia"/>
                      <w:color w:val="auto"/>
                      <w:highlight w:val="none"/>
                      <w:lang w:val="en-US" w:eastAsia="zh-CN"/>
                    </w:rPr>
                    <w:t>0.56</w:t>
                  </w:r>
                </w:p>
              </w:tc>
            </w:tr>
            <w:tr w14:paraId="7E4AA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2" w:type="dxa"/>
                  <w:vAlign w:val="center"/>
                </w:tcPr>
                <w:p w14:paraId="599EAD5C">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color w:val="auto"/>
                      <w:highlight w:val="none"/>
                    </w:rPr>
                  </w:pPr>
                  <w:r>
                    <w:rPr>
                      <w:rFonts w:hint="eastAsia" w:ascii="宋体" w:hAnsi="宋体" w:cs="宋体"/>
                      <w:color w:val="auto"/>
                      <w:highlight w:val="none"/>
                    </w:rPr>
                    <w:t>孔隙度</w:t>
                  </w:r>
                  <w:r>
                    <w:rPr>
                      <w:color w:val="auto"/>
                      <w:highlight w:val="none"/>
                    </w:rPr>
                    <w:t>Pt</w:t>
                  </w:r>
                  <w:r>
                    <w:rPr>
                      <w:rFonts w:hint="eastAsia" w:ascii="宋体" w:hAnsi="宋体" w:cs="宋体"/>
                      <w:color w:val="auto"/>
                      <w:highlight w:val="none"/>
                    </w:rPr>
                    <w:t>（</w:t>
                  </w:r>
                  <w:r>
                    <w:rPr>
                      <w:color w:val="auto"/>
                      <w:highlight w:val="none"/>
                    </w:rPr>
                    <w:t>%</w:t>
                  </w:r>
                  <w:r>
                    <w:rPr>
                      <w:rFonts w:hint="eastAsia" w:ascii="宋体" w:hAnsi="宋体" w:cs="宋体"/>
                      <w:color w:val="auto"/>
                      <w:highlight w:val="none"/>
                    </w:rPr>
                    <w:t>）</w:t>
                  </w:r>
                </w:p>
              </w:tc>
              <w:tc>
                <w:tcPr>
                  <w:tcW w:w="4149" w:type="dxa"/>
                  <w:vAlign w:val="center"/>
                </w:tcPr>
                <w:p w14:paraId="376D7C69">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eastAsia="宋体"/>
                      <w:color w:val="auto"/>
                      <w:highlight w:val="none"/>
                      <w:lang w:val="en-US" w:eastAsia="zh-CN"/>
                    </w:rPr>
                  </w:pPr>
                  <w:r>
                    <w:rPr>
                      <w:rFonts w:hint="eastAsia"/>
                      <w:color w:val="auto"/>
                      <w:highlight w:val="none"/>
                      <w:lang w:val="en-US" w:eastAsia="zh-CN"/>
                    </w:rPr>
                    <w:t>40.2</w:t>
                  </w:r>
                </w:p>
              </w:tc>
            </w:tr>
            <w:tr w14:paraId="6CDA4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2" w:type="dxa"/>
                  <w:vAlign w:val="center"/>
                </w:tcPr>
                <w:p w14:paraId="11126844">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color w:val="auto"/>
                      <w:highlight w:val="none"/>
                    </w:rPr>
                  </w:pPr>
                  <w:r>
                    <w:rPr>
                      <w:rFonts w:hint="eastAsia" w:ascii="宋体" w:hAnsi="宋体" w:cs="宋体"/>
                      <w:color w:val="auto"/>
                      <w:highlight w:val="none"/>
                    </w:rPr>
                    <w:t>层次（</w:t>
                  </w:r>
                  <w:r>
                    <w:rPr>
                      <w:color w:val="auto"/>
                      <w:highlight w:val="none"/>
                    </w:rPr>
                    <w:t>m</w:t>
                  </w:r>
                  <w:r>
                    <w:rPr>
                      <w:rFonts w:hint="eastAsia" w:ascii="宋体" w:hAnsi="宋体" w:cs="宋体"/>
                      <w:color w:val="auto"/>
                      <w:highlight w:val="none"/>
                    </w:rPr>
                    <w:t>）</w:t>
                  </w:r>
                </w:p>
              </w:tc>
              <w:tc>
                <w:tcPr>
                  <w:tcW w:w="4149" w:type="dxa"/>
                  <w:vAlign w:val="center"/>
                </w:tcPr>
                <w:p w14:paraId="0A36A165">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eastAsia="宋体"/>
                      <w:color w:val="auto"/>
                      <w:highlight w:val="none"/>
                      <w:lang w:val="en-US" w:eastAsia="zh-CN"/>
                    </w:rPr>
                  </w:pPr>
                  <w:r>
                    <w:rPr>
                      <w:rFonts w:hint="eastAsia"/>
                      <w:color w:val="auto"/>
                      <w:highlight w:val="none"/>
                      <w:lang w:val="en-US" w:eastAsia="zh-CN"/>
                    </w:rPr>
                    <w:t>50cm</w:t>
                  </w:r>
                </w:p>
              </w:tc>
            </w:tr>
            <w:tr w14:paraId="2887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2" w:type="dxa"/>
                  <w:vAlign w:val="center"/>
                </w:tcPr>
                <w:p w14:paraId="0C9622BD">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color w:val="auto"/>
                      <w:highlight w:val="none"/>
                    </w:rPr>
                  </w:pPr>
                  <w:r>
                    <w:rPr>
                      <w:rFonts w:hint="eastAsia" w:ascii="宋体" w:hAnsi="宋体" w:cs="宋体"/>
                      <w:color w:val="auto"/>
                      <w:highlight w:val="none"/>
                    </w:rPr>
                    <w:t>质地</w:t>
                  </w:r>
                </w:p>
              </w:tc>
              <w:tc>
                <w:tcPr>
                  <w:tcW w:w="4149" w:type="dxa"/>
                  <w:vAlign w:val="center"/>
                </w:tcPr>
                <w:p w14:paraId="76BF6B5F">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color w:val="auto"/>
                      <w:highlight w:val="none"/>
                    </w:rPr>
                  </w:pPr>
                  <w:r>
                    <w:rPr>
                      <w:rFonts w:hint="eastAsia" w:ascii="宋体" w:hAnsi="宋体" w:cs="宋体"/>
                      <w:color w:val="auto"/>
                      <w:highlight w:val="none"/>
                    </w:rPr>
                    <w:t>壤土</w:t>
                  </w:r>
                </w:p>
              </w:tc>
            </w:tr>
            <w:tr w14:paraId="525E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2" w:type="dxa"/>
                  <w:vAlign w:val="center"/>
                </w:tcPr>
                <w:p w14:paraId="626FEAF4">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color w:val="auto"/>
                      <w:highlight w:val="none"/>
                    </w:rPr>
                  </w:pPr>
                  <w:r>
                    <w:rPr>
                      <w:rFonts w:hint="eastAsia" w:ascii="宋体" w:hAnsi="宋体" w:cs="宋体"/>
                      <w:color w:val="auto"/>
                      <w:highlight w:val="none"/>
                    </w:rPr>
                    <w:t>砂砾含量（</w:t>
                  </w:r>
                  <w:r>
                    <w:rPr>
                      <w:color w:val="auto"/>
                      <w:highlight w:val="none"/>
                    </w:rPr>
                    <w:t>%</w:t>
                  </w:r>
                  <w:r>
                    <w:rPr>
                      <w:rFonts w:hint="eastAsia" w:ascii="宋体" w:hAnsi="宋体" w:cs="宋体"/>
                      <w:color w:val="auto"/>
                      <w:highlight w:val="none"/>
                    </w:rPr>
                    <w:t>）</w:t>
                  </w:r>
                </w:p>
              </w:tc>
              <w:tc>
                <w:tcPr>
                  <w:tcW w:w="4149" w:type="dxa"/>
                  <w:vAlign w:val="center"/>
                </w:tcPr>
                <w:p w14:paraId="7A9572B2">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eastAsia="宋体"/>
                      <w:color w:val="auto"/>
                      <w:highlight w:val="none"/>
                      <w:lang w:val="en-US" w:eastAsia="zh-CN"/>
                    </w:rPr>
                  </w:pPr>
                  <w:r>
                    <w:rPr>
                      <w:rFonts w:hint="eastAsia"/>
                      <w:color w:val="auto"/>
                      <w:highlight w:val="none"/>
                      <w:lang w:val="en-US" w:eastAsia="zh-CN"/>
                    </w:rPr>
                    <w:t>8</w:t>
                  </w:r>
                </w:p>
              </w:tc>
            </w:tr>
            <w:tr w14:paraId="3C439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2" w:type="dxa"/>
                  <w:vAlign w:val="center"/>
                </w:tcPr>
                <w:p w14:paraId="7DD6DD72">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color w:val="auto"/>
                      <w:highlight w:val="none"/>
                    </w:rPr>
                  </w:pPr>
                  <w:r>
                    <w:rPr>
                      <w:rFonts w:hint="eastAsia" w:ascii="宋体" w:hAnsi="宋体" w:cs="宋体"/>
                      <w:color w:val="auto"/>
                      <w:highlight w:val="none"/>
                    </w:rPr>
                    <w:t>其他异物</w:t>
                  </w:r>
                </w:p>
              </w:tc>
              <w:tc>
                <w:tcPr>
                  <w:tcW w:w="4149" w:type="dxa"/>
                  <w:vAlign w:val="center"/>
                </w:tcPr>
                <w:p w14:paraId="36FA52B4">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color w:val="auto"/>
                      <w:highlight w:val="none"/>
                    </w:rPr>
                  </w:pPr>
                  <w:r>
                    <w:rPr>
                      <w:rFonts w:hint="eastAsia" w:ascii="宋体" w:hAnsi="宋体" w:cs="宋体"/>
                      <w:color w:val="auto"/>
                      <w:highlight w:val="none"/>
                      <w:lang w:val="en-US" w:eastAsia="zh-CN"/>
                    </w:rPr>
                    <w:t>少量</w:t>
                  </w:r>
                  <w:r>
                    <w:rPr>
                      <w:rFonts w:hint="eastAsia" w:ascii="宋体" w:hAnsi="宋体" w:cs="宋体"/>
                      <w:color w:val="auto"/>
                      <w:highlight w:val="none"/>
                    </w:rPr>
                    <w:t>根须</w:t>
                  </w:r>
                </w:p>
              </w:tc>
            </w:tr>
          </w:tbl>
          <w:p w14:paraId="13A75C06">
            <w:pPr>
              <w:pStyle w:val="119"/>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b/>
                <w:color w:val="auto"/>
                <w:highlight w:val="none"/>
              </w:rPr>
            </w:pPr>
            <w:r>
              <w:rPr>
                <w:rFonts w:hint="eastAsia" w:ascii="宋体" w:hAnsi="宋体" w:cs="宋体"/>
                <w:b/>
                <w:color w:val="auto"/>
                <w:highlight w:val="none"/>
              </w:rPr>
              <w:t>表</w:t>
            </w:r>
            <w:r>
              <w:rPr>
                <w:b/>
                <w:color w:val="auto"/>
                <w:highlight w:val="none"/>
              </w:rPr>
              <w:t xml:space="preserve">3-8    </w:t>
            </w:r>
            <w:r>
              <w:rPr>
                <w:rFonts w:hint="eastAsia"/>
                <w:b/>
                <w:color w:val="auto"/>
                <w:highlight w:val="none"/>
              </w:rPr>
              <w:t>土壤监测</w:t>
            </w:r>
            <w:r>
              <w:rPr>
                <w:rFonts w:hint="eastAsia" w:ascii="宋体" w:hAnsi="宋体" w:cs="宋体"/>
                <w:b/>
                <w:color w:val="auto"/>
                <w:highlight w:val="none"/>
              </w:rPr>
              <w:t>结果一览表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2208"/>
              <w:gridCol w:w="3822"/>
              <w:gridCol w:w="761"/>
              <w:gridCol w:w="662"/>
            </w:tblGrid>
            <w:tr w14:paraId="1E525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16820728">
                  <w:pPr>
                    <w:keepNext w:val="0"/>
                    <w:keepLines w:val="0"/>
                    <w:pageBreakBefore w:val="0"/>
                    <w:kinsoku/>
                    <w:wordWrap/>
                    <w:overflowPunct/>
                    <w:topLinePunct w:val="0"/>
                    <w:autoSpaceDE/>
                    <w:autoSpaceDN/>
                    <w:bidi w:val="0"/>
                    <w:spacing w:line="320" w:lineRule="exact"/>
                    <w:jc w:val="center"/>
                    <w:textAlignment w:val="auto"/>
                    <w:rPr>
                      <w:b/>
                      <w:bCs w:val="0"/>
                      <w:color w:val="auto"/>
                      <w:szCs w:val="21"/>
                      <w:highlight w:val="none"/>
                    </w:rPr>
                  </w:pPr>
                  <w:r>
                    <w:rPr>
                      <w:rFonts w:hint="eastAsia" w:ascii="宋体" w:hAnsi="宋体" w:cs="宋体"/>
                      <w:b/>
                      <w:bCs w:val="0"/>
                      <w:color w:val="auto"/>
                      <w:szCs w:val="21"/>
                      <w:highlight w:val="none"/>
                      <w:lang w:bidi="ar"/>
                    </w:rPr>
                    <w:t>采样点位</w:t>
                  </w:r>
                </w:p>
              </w:tc>
              <w:tc>
                <w:tcPr>
                  <w:tcW w:w="3921" w:type="dxa"/>
                  <w:vAlign w:val="center"/>
                </w:tcPr>
                <w:p w14:paraId="15594D1F">
                  <w:pPr>
                    <w:keepNext w:val="0"/>
                    <w:keepLines w:val="0"/>
                    <w:pageBreakBefore w:val="0"/>
                    <w:widowControl/>
                    <w:kinsoku/>
                    <w:wordWrap/>
                    <w:overflowPunct/>
                    <w:topLinePunct w:val="0"/>
                    <w:autoSpaceDE/>
                    <w:autoSpaceDN/>
                    <w:bidi w:val="0"/>
                    <w:adjustRightInd/>
                    <w:snapToGrid/>
                    <w:spacing w:line="320" w:lineRule="exact"/>
                    <w:jc w:val="center"/>
                    <w:textAlignment w:val="auto"/>
                    <w:rPr>
                      <w:b/>
                      <w:bCs w:val="0"/>
                      <w:color w:val="auto"/>
                      <w:szCs w:val="21"/>
                      <w:highlight w:val="none"/>
                    </w:rPr>
                  </w:pPr>
                  <w:r>
                    <w:rPr>
                      <w:rFonts w:hint="eastAsia" w:ascii="宋体" w:hAnsi="宋体" w:cs="宋体"/>
                      <w:b/>
                      <w:bCs w:val="0"/>
                      <w:color w:val="auto"/>
                      <w:szCs w:val="21"/>
                      <w:highlight w:val="none"/>
                      <w:lang w:bidi="ar"/>
                    </w:rPr>
                    <w:t>翻堆发酵区（表层样）</w:t>
                  </w:r>
                </w:p>
              </w:tc>
              <w:tc>
                <w:tcPr>
                  <w:tcW w:w="776" w:type="dxa"/>
                  <w:vMerge w:val="restart"/>
                  <w:vAlign w:val="center"/>
                </w:tcPr>
                <w:p w14:paraId="1DF04B99">
                  <w:pPr>
                    <w:keepNext w:val="0"/>
                    <w:keepLines w:val="0"/>
                    <w:pageBreakBefore w:val="0"/>
                    <w:widowControl/>
                    <w:kinsoku/>
                    <w:wordWrap/>
                    <w:overflowPunct/>
                    <w:topLinePunct w:val="0"/>
                    <w:autoSpaceDE/>
                    <w:autoSpaceDN/>
                    <w:bidi w:val="0"/>
                    <w:spacing w:line="320" w:lineRule="exact"/>
                    <w:jc w:val="center"/>
                    <w:textAlignment w:val="auto"/>
                    <w:rPr>
                      <w:b/>
                      <w:bCs/>
                      <w:color w:val="auto"/>
                      <w:szCs w:val="21"/>
                      <w:highlight w:val="none"/>
                    </w:rPr>
                  </w:pPr>
                  <w:r>
                    <w:rPr>
                      <w:rFonts w:hint="eastAsia" w:ascii="宋体" w:hAnsi="宋体" w:cs="宋体"/>
                      <w:b/>
                      <w:bCs/>
                      <w:color w:val="auto"/>
                      <w:szCs w:val="21"/>
                      <w:highlight w:val="none"/>
                      <w:lang w:bidi="ar"/>
                    </w:rPr>
                    <w:t>第二类用地筛选值</w:t>
                  </w:r>
                </w:p>
              </w:tc>
              <w:tc>
                <w:tcPr>
                  <w:tcW w:w="674" w:type="dxa"/>
                  <w:vMerge w:val="restart"/>
                  <w:vAlign w:val="center"/>
                </w:tcPr>
                <w:p w14:paraId="2690DBF0">
                  <w:pPr>
                    <w:keepNext w:val="0"/>
                    <w:keepLines w:val="0"/>
                    <w:pageBreakBefore w:val="0"/>
                    <w:widowControl/>
                    <w:kinsoku/>
                    <w:wordWrap/>
                    <w:overflowPunct/>
                    <w:topLinePunct w:val="0"/>
                    <w:autoSpaceDE/>
                    <w:autoSpaceDN/>
                    <w:bidi w:val="0"/>
                    <w:spacing w:line="320" w:lineRule="exact"/>
                    <w:jc w:val="center"/>
                    <w:textAlignment w:val="auto"/>
                    <w:rPr>
                      <w:b/>
                      <w:bCs/>
                      <w:color w:val="auto"/>
                      <w:szCs w:val="21"/>
                      <w:highlight w:val="none"/>
                    </w:rPr>
                  </w:pPr>
                  <w:r>
                    <w:rPr>
                      <w:rFonts w:hint="eastAsia" w:ascii="宋体" w:hAnsi="宋体" w:cs="宋体"/>
                      <w:b/>
                      <w:bCs/>
                      <w:color w:val="auto"/>
                      <w:szCs w:val="21"/>
                      <w:highlight w:val="none"/>
                      <w:lang w:bidi="ar"/>
                    </w:rPr>
                    <w:t>达标情况</w:t>
                  </w:r>
                </w:p>
              </w:tc>
            </w:tr>
            <w:tr w14:paraId="105A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580FCBAA">
                  <w:pPr>
                    <w:keepNext w:val="0"/>
                    <w:keepLines w:val="0"/>
                    <w:pageBreakBefore w:val="0"/>
                    <w:kinsoku/>
                    <w:wordWrap/>
                    <w:overflowPunct/>
                    <w:topLinePunct w:val="0"/>
                    <w:autoSpaceDE/>
                    <w:autoSpaceDN/>
                    <w:bidi w:val="0"/>
                    <w:spacing w:line="320" w:lineRule="exact"/>
                    <w:jc w:val="center"/>
                    <w:textAlignment w:val="auto"/>
                    <w:rPr>
                      <w:b/>
                      <w:bCs w:val="0"/>
                      <w:color w:val="auto"/>
                      <w:szCs w:val="21"/>
                      <w:highlight w:val="none"/>
                    </w:rPr>
                  </w:pPr>
                  <w:r>
                    <w:rPr>
                      <w:rFonts w:hint="eastAsia" w:ascii="宋体" w:hAnsi="宋体" w:cs="宋体"/>
                      <w:b/>
                      <w:bCs w:val="0"/>
                      <w:color w:val="auto"/>
                      <w:szCs w:val="21"/>
                      <w:highlight w:val="none"/>
                      <w:lang w:bidi="ar"/>
                    </w:rPr>
                    <w:t>采样日期</w:t>
                  </w:r>
                  <w:r>
                    <w:rPr>
                      <w:b/>
                      <w:bCs w:val="0"/>
                      <w:color w:val="auto"/>
                      <w:szCs w:val="21"/>
                      <w:highlight w:val="none"/>
                      <w:lang w:bidi="ar"/>
                    </w:rPr>
                    <w:t>/</w:t>
                  </w:r>
                  <w:r>
                    <w:rPr>
                      <w:rFonts w:hint="eastAsia" w:ascii="宋体" w:hAnsi="宋体" w:cs="宋体"/>
                      <w:b/>
                      <w:bCs w:val="0"/>
                      <w:color w:val="auto"/>
                      <w:szCs w:val="21"/>
                      <w:highlight w:val="none"/>
                      <w:lang w:bidi="ar"/>
                    </w:rPr>
                    <w:t>接样日期</w:t>
                  </w:r>
                </w:p>
              </w:tc>
              <w:tc>
                <w:tcPr>
                  <w:tcW w:w="3921" w:type="dxa"/>
                  <w:vAlign w:val="center"/>
                </w:tcPr>
                <w:p w14:paraId="710518BD">
                  <w:pPr>
                    <w:keepNext w:val="0"/>
                    <w:keepLines w:val="0"/>
                    <w:pageBreakBefore w:val="0"/>
                    <w:kinsoku/>
                    <w:wordWrap/>
                    <w:overflowPunct/>
                    <w:topLinePunct w:val="0"/>
                    <w:autoSpaceDE/>
                    <w:autoSpaceDN/>
                    <w:bidi w:val="0"/>
                    <w:adjustRightInd/>
                    <w:snapToGrid/>
                    <w:spacing w:line="320" w:lineRule="exact"/>
                    <w:jc w:val="center"/>
                    <w:textAlignment w:val="auto"/>
                    <w:rPr>
                      <w:b/>
                      <w:bCs w:val="0"/>
                      <w:color w:val="auto"/>
                      <w:szCs w:val="21"/>
                      <w:highlight w:val="none"/>
                    </w:rPr>
                  </w:pPr>
                  <w:r>
                    <w:rPr>
                      <w:rFonts w:hint="eastAsia"/>
                      <w:b/>
                      <w:bCs w:val="0"/>
                      <w:color w:val="auto"/>
                      <w:szCs w:val="21"/>
                      <w:highlight w:val="none"/>
                      <w:lang w:val="en-US" w:eastAsia="zh-CN"/>
                    </w:rPr>
                    <w:t>2026/8/8</w:t>
                  </w:r>
                </w:p>
              </w:tc>
              <w:tc>
                <w:tcPr>
                  <w:tcW w:w="776" w:type="dxa"/>
                  <w:vMerge w:val="continue"/>
                  <w:vAlign w:val="center"/>
                </w:tcPr>
                <w:p w14:paraId="6B92FEA6">
                  <w:pPr>
                    <w:keepNext w:val="0"/>
                    <w:keepLines w:val="0"/>
                    <w:pageBreakBefore w:val="0"/>
                    <w:kinsoku/>
                    <w:wordWrap/>
                    <w:overflowPunct/>
                    <w:topLinePunct w:val="0"/>
                    <w:autoSpaceDE/>
                    <w:autoSpaceDN/>
                    <w:bidi w:val="0"/>
                    <w:spacing w:line="320" w:lineRule="exact"/>
                    <w:textAlignment w:val="auto"/>
                    <w:rPr>
                      <w:color w:val="auto"/>
                      <w:sz w:val="20"/>
                      <w:szCs w:val="20"/>
                      <w:highlight w:val="none"/>
                    </w:rPr>
                  </w:pPr>
                </w:p>
              </w:tc>
              <w:tc>
                <w:tcPr>
                  <w:tcW w:w="674" w:type="dxa"/>
                  <w:vMerge w:val="continue"/>
                  <w:vAlign w:val="center"/>
                </w:tcPr>
                <w:p w14:paraId="0140070B">
                  <w:pPr>
                    <w:keepNext w:val="0"/>
                    <w:keepLines w:val="0"/>
                    <w:pageBreakBefore w:val="0"/>
                    <w:kinsoku/>
                    <w:wordWrap/>
                    <w:overflowPunct/>
                    <w:topLinePunct w:val="0"/>
                    <w:autoSpaceDE/>
                    <w:autoSpaceDN/>
                    <w:bidi w:val="0"/>
                    <w:spacing w:line="320" w:lineRule="exact"/>
                    <w:textAlignment w:val="auto"/>
                    <w:rPr>
                      <w:color w:val="auto"/>
                      <w:sz w:val="20"/>
                      <w:szCs w:val="20"/>
                      <w:highlight w:val="none"/>
                    </w:rPr>
                  </w:pPr>
                </w:p>
              </w:tc>
            </w:tr>
            <w:tr w14:paraId="6AC06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tcBorders>
                    <w:tl2br w:val="single" w:color="auto" w:sz="4" w:space="0"/>
                  </w:tcBorders>
                  <w:vAlign w:val="center"/>
                </w:tcPr>
                <w:p w14:paraId="071BE8BE">
                  <w:pPr>
                    <w:keepNext w:val="0"/>
                    <w:keepLines w:val="0"/>
                    <w:pageBreakBefore w:val="0"/>
                    <w:kinsoku/>
                    <w:wordWrap/>
                    <w:overflowPunct/>
                    <w:topLinePunct w:val="0"/>
                    <w:autoSpaceDE/>
                    <w:autoSpaceDN/>
                    <w:bidi w:val="0"/>
                    <w:spacing w:line="320" w:lineRule="exact"/>
                    <w:jc w:val="right"/>
                    <w:textAlignment w:val="auto"/>
                    <w:rPr>
                      <w:b/>
                      <w:bCs w:val="0"/>
                      <w:color w:val="auto"/>
                      <w:szCs w:val="21"/>
                      <w:highlight w:val="none"/>
                    </w:rPr>
                  </w:pPr>
                  <w:r>
                    <w:rPr>
                      <w:rFonts w:hint="eastAsia" w:ascii="宋体" w:hAnsi="宋体" w:cs="宋体"/>
                      <w:b/>
                      <w:bCs w:val="0"/>
                      <w:color w:val="auto"/>
                      <w:szCs w:val="21"/>
                      <w:highlight w:val="none"/>
                      <w:lang w:bidi="ar"/>
                    </w:rPr>
                    <w:t>样品状态</w:t>
                  </w:r>
                </w:p>
                <w:p w14:paraId="54BC6C5E">
                  <w:pPr>
                    <w:keepNext w:val="0"/>
                    <w:keepLines w:val="0"/>
                    <w:pageBreakBefore w:val="0"/>
                    <w:kinsoku/>
                    <w:wordWrap/>
                    <w:overflowPunct/>
                    <w:topLinePunct w:val="0"/>
                    <w:autoSpaceDE/>
                    <w:autoSpaceDN/>
                    <w:bidi w:val="0"/>
                    <w:spacing w:line="320" w:lineRule="exact"/>
                    <w:jc w:val="left"/>
                    <w:textAlignment w:val="auto"/>
                    <w:rPr>
                      <w:b/>
                      <w:bCs w:val="0"/>
                      <w:color w:val="auto"/>
                      <w:szCs w:val="21"/>
                      <w:highlight w:val="none"/>
                    </w:rPr>
                  </w:pPr>
                  <w:r>
                    <w:rPr>
                      <w:rFonts w:hint="eastAsia" w:ascii="宋体" w:hAnsi="宋体" w:cs="宋体"/>
                      <w:b/>
                      <w:bCs w:val="0"/>
                      <w:color w:val="auto"/>
                      <w:szCs w:val="21"/>
                      <w:highlight w:val="none"/>
                      <w:lang w:bidi="ar"/>
                    </w:rPr>
                    <w:t>项目</w:t>
                  </w:r>
                </w:p>
              </w:tc>
              <w:tc>
                <w:tcPr>
                  <w:tcW w:w="3921" w:type="dxa"/>
                  <w:vAlign w:val="center"/>
                </w:tcPr>
                <w:p w14:paraId="5B964234">
                  <w:pPr>
                    <w:keepNext w:val="0"/>
                    <w:keepLines w:val="0"/>
                    <w:pageBreakBefore w:val="0"/>
                    <w:kinsoku/>
                    <w:wordWrap/>
                    <w:overflowPunct/>
                    <w:topLinePunct w:val="0"/>
                    <w:autoSpaceDE/>
                    <w:autoSpaceDN/>
                    <w:bidi w:val="0"/>
                    <w:spacing w:line="320" w:lineRule="exact"/>
                    <w:jc w:val="center"/>
                    <w:textAlignment w:val="auto"/>
                    <w:rPr>
                      <w:b/>
                      <w:bCs w:val="0"/>
                      <w:color w:val="auto"/>
                      <w:szCs w:val="21"/>
                      <w:highlight w:val="none"/>
                    </w:rPr>
                  </w:pPr>
                  <w:r>
                    <w:rPr>
                      <w:rFonts w:hint="eastAsia"/>
                      <w:b/>
                      <w:bCs w:val="0"/>
                      <w:color w:val="auto"/>
                      <w:szCs w:val="21"/>
                      <w:highlight w:val="none"/>
                      <w:lang w:val="en-US" w:eastAsia="zh-CN"/>
                    </w:rPr>
                    <w:t>红褐色、团块</w:t>
                  </w:r>
                </w:p>
              </w:tc>
              <w:tc>
                <w:tcPr>
                  <w:tcW w:w="776" w:type="dxa"/>
                  <w:vMerge w:val="continue"/>
                  <w:vAlign w:val="center"/>
                </w:tcPr>
                <w:p w14:paraId="2E76A433">
                  <w:pPr>
                    <w:keepNext w:val="0"/>
                    <w:keepLines w:val="0"/>
                    <w:pageBreakBefore w:val="0"/>
                    <w:kinsoku/>
                    <w:wordWrap/>
                    <w:overflowPunct/>
                    <w:topLinePunct w:val="0"/>
                    <w:autoSpaceDE/>
                    <w:autoSpaceDN/>
                    <w:bidi w:val="0"/>
                    <w:spacing w:line="320" w:lineRule="exact"/>
                    <w:textAlignment w:val="auto"/>
                    <w:rPr>
                      <w:color w:val="auto"/>
                      <w:sz w:val="20"/>
                      <w:szCs w:val="20"/>
                      <w:highlight w:val="none"/>
                    </w:rPr>
                  </w:pPr>
                </w:p>
              </w:tc>
              <w:tc>
                <w:tcPr>
                  <w:tcW w:w="674" w:type="dxa"/>
                  <w:vMerge w:val="continue"/>
                  <w:vAlign w:val="center"/>
                </w:tcPr>
                <w:p w14:paraId="1886142B">
                  <w:pPr>
                    <w:keepNext w:val="0"/>
                    <w:keepLines w:val="0"/>
                    <w:pageBreakBefore w:val="0"/>
                    <w:kinsoku/>
                    <w:wordWrap/>
                    <w:overflowPunct/>
                    <w:topLinePunct w:val="0"/>
                    <w:autoSpaceDE/>
                    <w:autoSpaceDN/>
                    <w:bidi w:val="0"/>
                    <w:spacing w:line="320" w:lineRule="exact"/>
                    <w:textAlignment w:val="auto"/>
                    <w:rPr>
                      <w:color w:val="auto"/>
                      <w:sz w:val="20"/>
                      <w:szCs w:val="20"/>
                      <w:highlight w:val="none"/>
                    </w:rPr>
                  </w:pPr>
                </w:p>
              </w:tc>
            </w:tr>
            <w:tr w14:paraId="7C9F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73644C0D">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pH</w:t>
                  </w:r>
                  <w:r>
                    <w:rPr>
                      <w:rFonts w:hint="eastAsia" w:ascii="宋体" w:hAnsi="宋体" w:cs="宋体"/>
                      <w:color w:val="auto"/>
                      <w:highlight w:val="none"/>
                    </w:rPr>
                    <w:t>（无量纲）</w:t>
                  </w:r>
                </w:p>
              </w:tc>
              <w:tc>
                <w:tcPr>
                  <w:tcW w:w="3921" w:type="dxa"/>
                  <w:vAlign w:val="center"/>
                </w:tcPr>
                <w:p w14:paraId="69C68C4D">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rFonts w:hint="default" w:eastAsia="宋体"/>
                      <w:color w:val="auto"/>
                      <w:highlight w:val="none"/>
                      <w:lang w:val="en-US" w:eastAsia="zh-CN"/>
                    </w:rPr>
                  </w:pPr>
                  <w:r>
                    <w:rPr>
                      <w:rFonts w:hint="eastAsia"/>
                      <w:color w:val="auto"/>
                      <w:highlight w:val="none"/>
                      <w:lang w:val="en-US" w:eastAsia="zh-CN"/>
                    </w:rPr>
                    <w:t>7.12</w:t>
                  </w:r>
                </w:p>
              </w:tc>
              <w:tc>
                <w:tcPr>
                  <w:tcW w:w="776" w:type="dxa"/>
                  <w:vAlign w:val="center"/>
                </w:tcPr>
                <w:p w14:paraId="0101504D">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w:t>
                  </w:r>
                </w:p>
              </w:tc>
              <w:tc>
                <w:tcPr>
                  <w:tcW w:w="674" w:type="dxa"/>
                  <w:vAlign w:val="center"/>
                </w:tcPr>
                <w:p w14:paraId="2A7243C9">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rFonts w:hint="eastAsia" w:ascii="宋体" w:hAnsi="宋体" w:eastAsia="宋体" w:cs="宋体"/>
                      <w:color w:val="auto"/>
                      <w:highlight w:val="none"/>
                      <w:lang w:eastAsia="zh-CN"/>
                    </w:rPr>
                  </w:pPr>
                  <w:r>
                    <w:rPr>
                      <w:rFonts w:hint="eastAsia" w:ascii="宋体" w:hAnsi="宋体" w:cs="宋体"/>
                      <w:color w:val="auto"/>
                      <w:highlight w:val="none"/>
                      <w:lang w:val="en-US" w:eastAsia="zh-CN"/>
                    </w:rPr>
                    <w:t>/</w:t>
                  </w:r>
                </w:p>
              </w:tc>
            </w:tr>
            <w:tr w14:paraId="49BD9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0312F2C7">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镉（</w:t>
                  </w:r>
                  <w:r>
                    <w:rPr>
                      <w:color w:val="auto"/>
                      <w:highlight w:val="none"/>
                    </w:rPr>
                    <w:t>mg/kg</w:t>
                  </w:r>
                  <w:r>
                    <w:rPr>
                      <w:rFonts w:hint="eastAsia" w:ascii="宋体" w:hAnsi="宋体" w:cs="宋体"/>
                      <w:color w:val="auto"/>
                      <w:highlight w:val="none"/>
                    </w:rPr>
                    <w:t>）</w:t>
                  </w:r>
                </w:p>
              </w:tc>
              <w:tc>
                <w:tcPr>
                  <w:tcW w:w="3921" w:type="dxa"/>
                  <w:vAlign w:val="center"/>
                </w:tcPr>
                <w:p w14:paraId="08F868E1">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rFonts w:hint="default" w:eastAsia="宋体"/>
                      <w:color w:val="auto"/>
                      <w:highlight w:val="none"/>
                      <w:lang w:val="en-US" w:eastAsia="zh-CN"/>
                    </w:rPr>
                  </w:pPr>
                  <w:r>
                    <w:rPr>
                      <w:rFonts w:hint="eastAsia"/>
                      <w:color w:val="auto"/>
                      <w:highlight w:val="none"/>
                      <w:lang w:val="en-US" w:eastAsia="zh-CN"/>
                    </w:rPr>
                    <w:t>1.26</w:t>
                  </w:r>
                </w:p>
              </w:tc>
              <w:tc>
                <w:tcPr>
                  <w:tcW w:w="776" w:type="dxa"/>
                  <w:vAlign w:val="center"/>
                </w:tcPr>
                <w:p w14:paraId="3CDC3624">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65</w:t>
                  </w:r>
                </w:p>
              </w:tc>
              <w:tc>
                <w:tcPr>
                  <w:tcW w:w="674" w:type="dxa"/>
                  <w:vAlign w:val="center"/>
                </w:tcPr>
                <w:p w14:paraId="6715C89A">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lang w:bidi="ar"/>
                    </w:rPr>
                    <w:t>达标</w:t>
                  </w:r>
                </w:p>
              </w:tc>
            </w:tr>
            <w:tr w14:paraId="750B3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0A1986D5">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铅（</w:t>
                  </w:r>
                  <w:r>
                    <w:rPr>
                      <w:color w:val="auto"/>
                      <w:highlight w:val="none"/>
                    </w:rPr>
                    <w:t>mg/kg</w:t>
                  </w:r>
                  <w:r>
                    <w:rPr>
                      <w:rFonts w:hint="eastAsia" w:ascii="宋体" w:hAnsi="宋体" w:cs="宋体"/>
                      <w:color w:val="auto"/>
                      <w:highlight w:val="none"/>
                    </w:rPr>
                    <w:t>）</w:t>
                  </w:r>
                </w:p>
              </w:tc>
              <w:tc>
                <w:tcPr>
                  <w:tcW w:w="3921" w:type="dxa"/>
                  <w:vAlign w:val="center"/>
                </w:tcPr>
                <w:p w14:paraId="10564B82">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rFonts w:hint="default" w:eastAsia="宋体"/>
                      <w:color w:val="auto"/>
                      <w:highlight w:val="none"/>
                      <w:lang w:val="en-US" w:eastAsia="zh-CN"/>
                    </w:rPr>
                  </w:pPr>
                  <w:r>
                    <w:rPr>
                      <w:rFonts w:hint="eastAsia"/>
                      <w:color w:val="auto"/>
                      <w:highlight w:val="none"/>
                      <w:lang w:val="en-US" w:eastAsia="zh-CN"/>
                    </w:rPr>
                    <w:t>88</w:t>
                  </w:r>
                </w:p>
              </w:tc>
              <w:tc>
                <w:tcPr>
                  <w:tcW w:w="776" w:type="dxa"/>
                  <w:vAlign w:val="center"/>
                </w:tcPr>
                <w:p w14:paraId="599B818F">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800</w:t>
                  </w:r>
                </w:p>
              </w:tc>
              <w:tc>
                <w:tcPr>
                  <w:tcW w:w="674" w:type="dxa"/>
                  <w:vAlign w:val="center"/>
                </w:tcPr>
                <w:p w14:paraId="3DC621CB">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lang w:bidi="ar"/>
                    </w:rPr>
                    <w:t>达标</w:t>
                  </w:r>
                </w:p>
              </w:tc>
            </w:tr>
            <w:tr w14:paraId="0F110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494605D9">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铜（</w:t>
                  </w:r>
                  <w:r>
                    <w:rPr>
                      <w:color w:val="auto"/>
                      <w:highlight w:val="none"/>
                    </w:rPr>
                    <w:t>mg/kg</w:t>
                  </w:r>
                  <w:r>
                    <w:rPr>
                      <w:rFonts w:hint="eastAsia" w:ascii="宋体" w:hAnsi="宋体" w:cs="宋体"/>
                      <w:color w:val="auto"/>
                      <w:highlight w:val="none"/>
                    </w:rPr>
                    <w:t>）</w:t>
                  </w:r>
                </w:p>
              </w:tc>
              <w:tc>
                <w:tcPr>
                  <w:tcW w:w="3921" w:type="dxa"/>
                  <w:vAlign w:val="center"/>
                </w:tcPr>
                <w:p w14:paraId="1E5B3B83">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rFonts w:hint="default" w:eastAsia="宋体"/>
                      <w:color w:val="auto"/>
                      <w:highlight w:val="none"/>
                      <w:lang w:val="en-US" w:eastAsia="zh-CN"/>
                    </w:rPr>
                  </w:pPr>
                  <w:r>
                    <w:rPr>
                      <w:rFonts w:hint="eastAsia"/>
                      <w:color w:val="auto"/>
                      <w:highlight w:val="none"/>
                      <w:lang w:val="en-US" w:eastAsia="zh-CN"/>
                    </w:rPr>
                    <w:t>65</w:t>
                  </w:r>
                </w:p>
              </w:tc>
              <w:tc>
                <w:tcPr>
                  <w:tcW w:w="776" w:type="dxa"/>
                  <w:vAlign w:val="center"/>
                </w:tcPr>
                <w:p w14:paraId="2D06D6B9">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18000</w:t>
                  </w:r>
                </w:p>
              </w:tc>
              <w:tc>
                <w:tcPr>
                  <w:tcW w:w="674" w:type="dxa"/>
                  <w:vAlign w:val="center"/>
                </w:tcPr>
                <w:p w14:paraId="7A6851A4">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lang w:bidi="ar"/>
                    </w:rPr>
                    <w:t>达标</w:t>
                  </w:r>
                </w:p>
              </w:tc>
            </w:tr>
            <w:tr w14:paraId="7300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1BB95A93">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bCs/>
                      <w:color w:val="auto"/>
                      <w:highlight w:val="none"/>
                    </w:rPr>
                  </w:pPr>
                  <w:r>
                    <w:rPr>
                      <w:rFonts w:hint="eastAsia" w:ascii="宋体" w:hAnsi="宋体" w:cs="宋体"/>
                      <w:bCs/>
                      <w:color w:val="auto"/>
                      <w:highlight w:val="none"/>
                    </w:rPr>
                    <w:t>镍</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30D47233">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rFonts w:hint="default" w:eastAsia="宋体"/>
                      <w:color w:val="auto"/>
                      <w:highlight w:val="none"/>
                      <w:lang w:val="en-US" w:eastAsia="zh-CN"/>
                    </w:rPr>
                  </w:pPr>
                  <w:r>
                    <w:rPr>
                      <w:rFonts w:hint="eastAsia"/>
                      <w:color w:val="auto"/>
                      <w:highlight w:val="none"/>
                      <w:lang w:val="en-US" w:eastAsia="zh-CN"/>
                    </w:rPr>
                    <w:t>99</w:t>
                  </w:r>
                </w:p>
              </w:tc>
              <w:tc>
                <w:tcPr>
                  <w:tcW w:w="776" w:type="dxa"/>
                  <w:vAlign w:val="center"/>
                </w:tcPr>
                <w:p w14:paraId="612DDC3A">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900</w:t>
                  </w:r>
                </w:p>
              </w:tc>
              <w:tc>
                <w:tcPr>
                  <w:tcW w:w="674" w:type="dxa"/>
                  <w:vAlign w:val="center"/>
                </w:tcPr>
                <w:p w14:paraId="376684C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lang w:bidi="ar"/>
                    </w:rPr>
                    <w:t>达标</w:t>
                  </w:r>
                </w:p>
              </w:tc>
            </w:tr>
            <w:tr w14:paraId="2F5CD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70CB7496">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汞（</w:t>
                  </w:r>
                  <w:r>
                    <w:rPr>
                      <w:color w:val="auto"/>
                      <w:highlight w:val="none"/>
                    </w:rPr>
                    <w:t>mg/kg</w:t>
                  </w:r>
                  <w:r>
                    <w:rPr>
                      <w:rFonts w:hint="eastAsia" w:ascii="宋体" w:hAnsi="宋体" w:cs="宋体"/>
                      <w:color w:val="auto"/>
                      <w:highlight w:val="none"/>
                    </w:rPr>
                    <w:t>）</w:t>
                  </w:r>
                </w:p>
              </w:tc>
              <w:tc>
                <w:tcPr>
                  <w:tcW w:w="3921" w:type="dxa"/>
                  <w:vAlign w:val="center"/>
                </w:tcPr>
                <w:p w14:paraId="48448BD0">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rFonts w:hint="default" w:eastAsia="宋体"/>
                      <w:color w:val="auto"/>
                      <w:highlight w:val="none"/>
                      <w:lang w:val="en-US" w:eastAsia="zh-CN"/>
                    </w:rPr>
                  </w:pPr>
                  <w:r>
                    <w:rPr>
                      <w:rFonts w:hint="eastAsia"/>
                      <w:color w:val="auto"/>
                      <w:highlight w:val="none"/>
                      <w:lang w:val="en-US" w:eastAsia="zh-CN"/>
                    </w:rPr>
                    <w:t>0.160</w:t>
                  </w:r>
                </w:p>
              </w:tc>
              <w:tc>
                <w:tcPr>
                  <w:tcW w:w="776" w:type="dxa"/>
                  <w:vAlign w:val="center"/>
                </w:tcPr>
                <w:p w14:paraId="08B48501">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38</w:t>
                  </w:r>
                </w:p>
              </w:tc>
              <w:tc>
                <w:tcPr>
                  <w:tcW w:w="674" w:type="dxa"/>
                  <w:vAlign w:val="center"/>
                </w:tcPr>
                <w:p w14:paraId="105F340F">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lang w:bidi="ar"/>
                    </w:rPr>
                    <w:t>达标</w:t>
                  </w:r>
                </w:p>
              </w:tc>
            </w:tr>
            <w:tr w14:paraId="509D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186BCB3D">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砷（</w:t>
                  </w:r>
                  <w:r>
                    <w:rPr>
                      <w:color w:val="auto"/>
                      <w:highlight w:val="none"/>
                    </w:rPr>
                    <w:t>mg/kg</w:t>
                  </w:r>
                  <w:r>
                    <w:rPr>
                      <w:rFonts w:hint="eastAsia" w:ascii="宋体" w:hAnsi="宋体" w:cs="宋体"/>
                      <w:color w:val="auto"/>
                      <w:highlight w:val="none"/>
                    </w:rPr>
                    <w:t>）</w:t>
                  </w:r>
                </w:p>
              </w:tc>
              <w:tc>
                <w:tcPr>
                  <w:tcW w:w="3921" w:type="dxa"/>
                  <w:vAlign w:val="center"/>
                </w:tcPr>
                <w:p w14:paraId="7A6092BD">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rFonts w:hint="default" w:eastAsia="宋体"/>
                      <w:color w:val="auto"/>
                      <w:highlight w:val="none"/>
                      <w:lang w:val="en-US" w:eastAsia="zh-CN"/>
                    </w:rPr>
                  </w:pPr>
                  <w:r>
                    <w:rPr>
                      <w:rFonts w:hint="eastAsia"/>
                      <w:color w:val="auto"/>
                      <w:highlight w:val="none"/>
                      <w:lang w:val="en-US" w:eastAsia="zh-CN"/>
                    </w:rPr>
                    <w:t>50.8</w:t>
                  </w:r>
                </w:p>
              </w:tc>
              <w:tc>
                <w:tcPr>
                  <w:tcW w:w="776" w:type="dxa"/>
                  <w:vAlign w:val="center"/>
                </w:tcPr>
                <w:p w14:paraId="65EA439C">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60</w:t>
                  </w:r>
                </w:p>
              </w:tc>
              <w:tc>
                <w:tcPr>
                  <w:tcW w:w="674" w:type="dxa"/>
                  <w:vAlign w:val="center"/>
                </w:tcPr>
                <w:p w14:paraId="6730A7B0">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lang w:bidi="ar"/>
                    </w:rPr>
                    <w:t>达标</w:t>
                  </w:r>
                </w:p>
              </w:tc>
            </w:tr>
            <w:tr w14:paraId="02D8D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578BF35D">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石油烃（</w:t>
                  </w:r>
                  <w:r>
                    <w:rPr>
                      <w:color w:val="auto"/>
                      <w:highlight w:val="none"/>
                    </w:rPr>
                    <w:t>C</w:t>
                  </w:r>
                  <w:r>
                    <w:rPr>
                      <w:color w:val="auto"/>
                      <w:highlight w:val="none"/>
                      <w:vertAlign w:val="subscript"/>
                    </w:rPr>
                    <w:t>10</w:t>
                  </w:r>
                  <w:r>
                    <w:rPr>
                      <w:color w:val="auto"/>
                      <w:highlight w:val="none"/>
                    </w:rPr>
                    <w:t>-C</w:t>
                  </w:r>
                  <w:r>
                    <w:rPr>
                      <w:color w:val="auto"/>
                      <w:highlight w:val="none"/>
                      <w:vertAlign w:val="subscript"/>
                    </w:rPr>
                    <w:t>40</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2F04272E">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rFonts w:hint="default" w:eastAsia="宋体"/>
                      <w:color w:val="auto"/>
                      <w:highlight w:val="none"/>
                      <w:lang w:val="en-US" w:eastAsia="zh-CN"/>
                    </w:rPr>
                  </w:pPr>
                  <w:r>
                    <w:rPr>
                      <w:rFonts w:hint="eastAsia"/>
                      <w:color w:val="auto"/>
                      <w:highlight w:val="none"/>
                      <w:lang w:val="en-US" w:eastAsia="zh-CN"/>
                    </w:rPr>
                    <w:t>17</w:t>
                  </w:r>
                </w:p>
              </w:tc>
              <w:tc>
                <w:tcPr>
                  <w:tcW w:w="776" w:type="dxa"/>
                  <w:vAlign w:val="center"/>
                </w:tcPr>
                <w:p w14:paraId="4D5FD4DF">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4500</w:t>
                  </w:r>
                </w:p>
              </w:tc>
              <w:tc>
                <w:tcPr>
                  <w:tcW w:w="674" w:type="dxa"/>
                  <w:vAlign w:val="center"/>
                </w:tcPr>
                <w:p w14:paraId="70763B9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lang w:bidi="ar"/>
                    </w:rPr>
                    <w:t>达标</w:t>
                  </w:r>
                </w:p>
              </w:tc>
            </w:tr>
            <w:tr w14:paraId="7F91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54737B77">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六价铬（</w:t>
                  </w:r>
                  <w:r>
                    <w:rPr>
                      <w:color w:val="auto"/>
                      <w:highlight w:val="none"/>
                    </w:rPr>
                    <w:t>mg/kg</w:t>
                  </w:r>
                  <w:r>
                    <w:rPr>
                      <w:rFonts w:hint="eastAsia" w:ascii="宋体" w:hAnsi="宋体" w:cs="宋体"/>
                      <w:color w:val="auto"/>
                      <w:highlight w:val="none"/>
                    </w:rPr>
                    <w:t>）</w:t>
                  </w:r>
                </w:p>
              </w:tc>
              <w:tc>
                <w:tcPr>
                  <w:tcW w:w="3921" w:type="dxa"/>
                  <w:vAlign w:val="center"/>
                </w:tcPr>
                <w:p w14:paraId="6D5463D7">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rFonts w:hint="default" w:eastAsia="宋体"/>
                      <w:color w:val="auto"/>
                      <w:highlight w:val="none"/>
                      <w:lang w:val="en-US" w:eastAsia="zh-CN"/>
                    </w:rPr>
                  </w:pPr>
                  <w:r>
                    <w:rPr>
                      <w:rFonts w:hint="eastAsia"/>
                      <w:color w:val="auto"/>
                      <w:highlight w:val="none"/>
                      <w:lang w:val="en-US" w:eastAsia="zh-CN"/>
                    </w:rPr>
                    <w:t>3.4</w:t>
                  </w:r>
                </w:p>
              </w:tc>
              <w:tc>
                <w:tcPr>
                  <w:tcW w:w="776" w:type="dxa"/>
                  <w:vAlign w:val="center"/>
                </w:tcPr>
                <w:p w14:paraId="59871741">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5.7</w:t>
                  </w:r>
                </w:p>
              </w:tc>
              <w:tc>
                <w:tcPr>
                  <w:tcW w:w="674" w:type="dxa"/>
                  <w:vAlign w:val="center"/>
                </w:tcPr>
                <w:p w14:paraId="2E940509">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12EE6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1EC022D7">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氯甲烷（</w:t>
                  </w:r>
                  <w:r>
                    <w:rPr>
                      <w:color w:val="auto"/>
                      <w:highlight w:val="none"/>
                    </w:rPr>
                    <w:t>mg/kg</w:t>
                  </w:r>
                  <w:r>
                    <w:rPr>
                      <w:rFonts w:hint="eastAsia" w:ascii="宋体" w:hAnsi="宋体" w:cs="宋体"/>
                      <w:color w:val="auto"/>
                      <w:highlight w:val="none"/>
                    </w:rPr>
                    <w:t>）</w:t>
                  </w:r>
                </w:p>
              </w:tc>
              <w:tc>
                <w:tcPr>
                  <w:tcW w:w="3921" w:type="dxa"/>
                  <w:vAlign w:val="center"/>
                </w:tcPr>
                <w:p w14:paraId="4C054A3A">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1.0</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01FD6EC9">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37</w:t>
                  </w:r>
                </w:p>
              </w:tc>
              <w:tc>
                <w:tcPr>
                  <w:tcW w:w="674" w:type="dxa"/>
                  <w:vAlign w:val="center"/>
                </w:tcPr>
                <w:p w14:paraId="728FD515">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4BE10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5FB5504C">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四氯化碳（</w:t>
                  </w:r>
                  <w:r>
                    <w:rPr>
                      <w:color w:val="auto"/>
                      <w:highlight w:val="none"/>
                    </w:rPr>
                    <w:t>mg/kg</w:t>
                  </w:r>
                  <w:r>
                    <w:rPr>
                      <w:rFonts w:hint="eastAsia" w:ascii="宋体" w:hAnsi="宋体" w:cs="宋体"/>
                      <w:color w:val="auto"/>
                      <w:highlight w:val="none"/>
                    </w:rPr>
                    <w:t>）</w:t>
                  </w:r>
                </w:p>
              </w:tc>
              <w:tc>
                <w:tcPr>
                  <w:tcW w:w="3921" w:type="dxa"/>
                  <w:vAlign w:val="center"/>
                </w:tcPr>
                <w:p w14:paraId="49D65850">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1.3</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3F06D3B3">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2.8</w:t>
                  </w:r>
                </w:p>
              </w:tc>
              <w:tc>
                <w:tcPr>
                  <w:tcW w:w="674" w:type="dxa"/>
                  <w:vAlign w:val="center"/>
                </w:tcPr>
                <w:p w14:paraId="03F43D51">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55C9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126CCB18">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氯仿（</w:t>
                  </w:r>
                  <w:r>
                    <w:rPr>
                      <w:color w:val="auto"/>
                      <w:highlight w:val="none"/>
                    </w:rPr>
                    <w:t>mg/kg</w:t>
                  </w:r>
                  <w:r>
                    <w:rPr>
                      <w:rFonts w:hint="eastAsia" w:ascii="宋体" w:hAnsi="宋体" w:cs="宋体"/>
                      <w:color w:val="auto"/>
                      <w:highlight w:val="none"/>
                    </w:rPr>
                    <w:t>）</w:t>
                  </w:r>
                </w:p>
              </w:tc>
              <w:tc>
                <w:tcPr>
                  <w:tcW w:w="3921" w:type="dxa"/>
                  <w:vAlign w:val="center"/>
                </w:tcPr>
                <w:p w14:paraId="72B801E7">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1.1</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182DDEE0">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0.9</w:t>
                  </w:r>
                </w:p>
              </w:tc>
              <w:tc>
                <w:tcPr>
                  <w:tcW w:w="674" w:type="dxa"/>
                  <w:vAlign w:val="center"/>
                </w:tcPr>
                <w:p w14:paraId="32CBF6D7">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78CB1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2AFB128C">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1,1-</w:t>
                  </w:r>
                  <w:r>
                    <w:rPr>
                      <w:rFonts w:hint="eastAsia" w:ascii="宋体" w:hAnsi="宋体" w:cs="宋体"/>
                      <w:color w:val="auto"/>
                      <w:highlight w:val="none"/>
                    </w:rPr>
                    <w:t>二氯乙烷（</w:t>
                  </w:r>
                  <w:r>
                    <w:rPr>
                      <w:color w:val="auto"/>
                      <w:highlight w:val="none"/>
                    </w:rPr>
                    <w:t>mg/kg</w:t>
                  </w:r>
                  <w:r>
                    <w:rPr>
                      <w:rFonts w:hint="eastAsia" w:ascii="宋体" w:hAnsi="宋体" w:cs="宋体"/>
                      <w:color w:val="auto"/>
                      <w:highlight w:val="none"/>
                    </w:rPr>
                    <w:t>）</w:t>
                  </w:r>
                </w:p>
              </w:tc>
              <w:tc>
                <w:tcPr>
                  <w:tcW w:w="3921" w:type="dxa"/>
                  <w:vAlign w:val="center"/>
                </w:tcPr>
                <w:p w14:paraId="7D03424C">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1.2</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01135BB8">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rFonts w:hint="eastAsia" w:ascii="宋体" w:hAnsi="宋体" w:cs="宋体"/>
                      <w:color w:val="auto"/>
                      <w:highlight w:val="none"/>
                    </w:rPr>
                  </w:pPr>
                  <w:r>
                    <w:rPr>
                      <w:color w:val="auto"/>
                      <w:highlight w:val="none"/>
                    </w:rPr>
                    <w:t>9</w:t>
                  </w:r>
                </w:p>
              </w:tc>
              <w:tc>
                <w:tcPr>
                  <w:tcW w:w="674" w:type="dxa"/>
                  <w:vAlign w:val="center"/>
                </w:tcPr>
                <w:p w14:paraId="5EB249EE">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64913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21364058">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1,2-</w:t>
                  </w:r>
                  <w:r>
                    <w:rPr>
                      <w:rFonts w:hint="eastAsia" w:ascii="宋体" w:hAnsi="宋体" w:cs="宋体"/>
                      <w:color w:val="auto"/>
                      <w:highlight w:val="none"/>
                    </w:rPr>
                    <w:t>二氯乙烷（</w:t>
                  </w:r>
                  <w:r>
                    <w:rPr>
                      <w:color w:val="auto"/>
                      <w:highlight w:val="none"/>
                    </w:rPr>
                    <w:t>mg/kg</w:t>
                  </w:r>
                  <w:r>
                    <w:rPr>
                      <w:rFonts w:hint="eastAsia" w:ascii="宋体" w:hAnsi="宋体" w:cs="宋体"/>
                      <w:color w:val="auto"/>
                      <w:highlight w:val="none"/>
                    </w:rPr>
                    <w:t>）</w:t>
                  </w:r>
                </w:p>
              </w:tc>
              <w:tc>
                <w:tcPr>
                  <w:tcW w:w="3921" w:type="dxa"/>
                  <w:vAlign w:val="center"/>
                </w:tcPr>
                <w:p w14:paraId="394F23BF">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1.3</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2C1B1D92">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rFonts w:hint="eastAsia" w:ascii="宋体" w:hAnsi="宋体" w:cs="宋体"/>
                      <w:color w:val="auto"/>
                      <w:highlight w:val="none"/>
                    </w:rPr>
                  </w:pPr>
                  <w:r>
                    <w:rPr>
                      <w:color w:val="auto"/>
                      <w:highlight w:val="none"/>
                    </w:rPr>
                    <w:t>5</w:t>
                  </w:r>
                </w:p>
              </w:tc>
              <w:tc>
                <w:tcPr>
                  <w:tcW w:w="674" w:type="dxa"/>
                  <w:vAlign w:val="center"/>
                </w:tcPr>
                <w:p w14:paraId="274A32F2">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40CD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32F67A3F">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1,1-</w:t>
                  </w:r>
                  <w:r>
                    <w:rPr>
                      <w:rFonts w:hint="eastAsia" w:ascii="宋体" w:hAnsi="宋体" w:cs="宋体"/>
                      <w:color w:val="auto"/>
                      <w:highlight w:val="none"/>
                    </w:rPr>
                    <w:t>二氯乙烯（</w:t>
                  </w:r>
                  <w:r>
                    <w:rPr>
                      <w:color w:val="auto"/>
                      <w:highlight w:val="none"/>
                    </w:rPr>
                    <w:t>mg/kg</w:t>
                  </w:r>
                  <w:r>
                    <w:rPr>
                      <w:rFonts w:hint="eastAsia" w:ascii="宋体" w:hAnsi="宋体" w:cs="宋体"/>
                      <w:color w:val="auto"/>
                      <w:highlight w:val="none"/>
                    </w:rPr>
                    <w:t>）</w:t>
                  </w:r>
                </w:p>
              </w:tc>
              <w:tc>
                <w:tcPr>
                  <w:tcW w:w="3921" w:type="dxa"/>
                  <w:vAlign w:val="center"/>
                </w:tcPr>
                <w:p w14:paraId="34BC892C">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1.0</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3FE71EFF">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66</w:t>
                  </w:r>
                </w:p>
              </w:tc>
              <w:tc>
                <w:tcPr>
                  <w:tcW w:w="674" w:type="dxa"/>
                  <w:vAlign w:val="center"/>
                </w:tcPr>
                <w:p w14:paraId="209CF774">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68D9F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33A3853E">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顺</w:t>
                  </w:r>
                  <w:r>
                    <w:rPr>
                      <w:color w:val="auto"/>
                      <w:highlight w:val="none"/>
                    </w:rPr>
                    <w:t>-1,2-</w:t>
                  </w:r>
                  <w:r>
                    <w:rPr>
                      <w:rFonts w:hint="eastAsia" w:ascii="宋体" w:hAnsi="宋体" w:cs="宋体"/>
                      <w:color w:val="auto"/>
                      <w:highlight w:val="none"/>
                    </w:rPr>
                    <w:t>二氯乙烯（</w:t>
                  </w:r>
                  <w:r>
                    <w:rPr>
                      <w:color w:val="auto"/>
                      <w:highlight w:val="none"/>
                    </w:rPr>
                    <w:t>mg/kg</w:t>
                  </w:r>
                  <w:r>
                    <w:rPr>
                      <w:rFonts w:hint="eastAsia" w:ascii="宋体" w:hAnsi="宋体" w:cs="宋体"/>
                      <w:color w:val="auto"/>
                      <w:highlight w:val="none"/>
                    </w:rPr>
                    <w:t>）</w:t>
                  </w:r>
                </w:p>
              </w:tc>
              <w:tc>
                <w:tcPr>
                  <w:tcW w:w="3921" w:type="dxa"/>
                  <w:vAlign w:val="center"/>
                </w:tcPr>
                <w:p w14:paraId="233B6E9F">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1.3</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3A0F8E19">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596</w:t>
                  </w:r>
                </w:p>
              </w:tc>
              <w:tc>
                <w:tcPr>
                  <w:tcW w:w="674" w:type="dxa"/>
                  <w:vAlign w:val="center"/>
                </w:tcPr>
                <w:p w14:paraId="01CB21BD">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35A6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0DABD36B">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反</w:t>
                  </w:r>
                  <w:r>
                    <w:rPr>
                      <w:color w:val="auto"/>
                      <w:highlight w:val="none"/>
                    </w:rPr>
                    <w:t>-1,2-</w:t>
                  </w:r>
                  <w:r>
                    <w:rPr>
                      <w:rFonts w:hint="eastAsia" w:ascii="宋体" w:hAnsi="宋体" w:cs="宋体"/>
                      <w:color w:val="auto"/>
                      <w:highlight w:val="none"/>
                    </w:rPr>
                    <w:t>二氯乙烯（</w:t>
                  </w:r>
                  <w:r>
                    <w:rPr>
                      <w:color w:val="auto"/>
                      <w:highlight w:val="none"/>
                    </w:rPr>
                    <w:t>mg/kg</w:t>
                  </w:r>
                  <w:r>
                    <w:rPr>
                      <w:rFonts w:hint="eastAsia" w:ascii="宋体" w:hAnsi="宋体" w:cs="宋体"/>
                      <w:color w:val="auto"/>
                      <w:highlight w:val="none"/>
                    </w:rPr>
                    <w:t>）</w:t>
                  </w:r>
                </w:p>
              </w:tc>
              <w:tc>
                <w:tcPr>
                  <w:tcW w:w="3921" w:type="dxa"/>
                  <w:vAlign w:val="center"/>
                </w:tcPr>
                <w:p w14:paraId="13DA7987">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1.4</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3F74F8B9">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54</w:t>
                  </w:r>
                </w:p>
              </w:tc>
              <w:tc>
                <w:tcPr>
                  <w:tcW w:w="674" w:type="dxa"/>
                  <w:vAlign w:val="center"/>
                </w:tcPr>
                <w:p w14:paraId="0576B265">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2A93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4D313E95">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二氯甲烷（</w:t>
                  </w:r>
                  <w:r>
                    <w:rPr>
                      <w:color w:val="auto"/>
                      <w:szCs w:val="21"/>
                      <w:highlight w:val="none"/>
                      <w:lang w:bidi="ar"/>
                    </w:rPr>
                    <w:t>mg/kg</w:t>
                  </w:r>
                  <w:r>
                    <w:rPr>
                      <w:rFonts w:hint="eastAsia" w:ascii="宋体" w:hAnsi="宋体" w:cs="宋体"/>
                      <w:color w:val="auto"/>
                      <w:szCs w:val="21"/>
                      <w:highlight w:val="none"/>
                      <w:lang w:bidi="ar"/>
                    </w:rPr>
                    <w:t>）</w:t>
                  </w:r>
                </w:p>
              </w:tc>
              <w:tc>
                <w:tcPr>
                  <w:tcW w:w="3921" w:type="dxa"/>
                  <w:vAlign w:val="center"/>
                </w:tcPr>
                <w:p w14:paraId="753AA6B4">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rFonts w:hint="default" w:eastAsia="宋体"/>
                      <w:color w:val="auto"/>
                      <w:highlight w:val="none"/>
                      <w:lang w:val="en-US" w:eastAsia="zh-CN"/>
                    </w:rPr>
                  </w:pPr>
                  <w:r>
                    <w:rPr>
                      <w:rFonts w:hint="eastAsia"/>
                      <w:color w:val="auto"/>
                      <w:highlight w:val="none"/>
                      <w:lang w:val="en-US" w:eastAsia="zh-CN"/>
                    </w:rPr>
                    <w:t>0.661</w:t>
                  </w:r>
                </w:p>
              </w:tc>
              <w:tc>
                <w:tcPr>
                  <w:tcW w:w="776" w:type="dxa"/>
                  <w:vAlign w:val="center"/>
                </w:tcPr>
                <w:p w14:paraId="661A39A7">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616</w:t>
                  </w:r>
                </w:p>
              </w:tc>
              <w:tc>
                <w:tcPr>
                  <w:tcW w:w="674" w:type="dxa"/>
                  <w:vAlign w:val="center"/>
                </w:tcPr>
                <w:p w14:paraId="1722BC06">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6BE1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07BB85C0">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1,2-</w:t>
                  </w:r>
                  <w:r>
                    <w:rPr>
                      <w:rFonts w:hint="eastAsia" w:ascii="宋体" w:hAnsi="宋体" w:cs="宋体"/>
                      <w:color w:val="auto"/>
                      <w:highlight w:val="none"/>
                    </w:rPr>
                    <w:t>二氯丙烷（</w:t>
                  </w:r>
                  <w:r>
                    <w:rPr>
                      <w:color w:val="auto"/>
                      <w:highlight w:val="none"/>
                    </w:rPr>
                    <w:t>mg/kg</w:t>
                  </w:r>
                  <w:r>
                    <w:rPr>
                      <w:rFonts w:hint="eastAsia" w:ascii="宋体" w:hAnsi="宋体" w:cs="宋体"/>
                      <w:color w:val="auto"/>
                      <w:highlight w:val="none"/>
                    </w:rPr>
                    <w:t>）</w:t>
                  </w:r>
                </w:p>
              </w:tc>
              <w:tc>
                <w:tcPr>
                  <w:tcW w:w="3921" w:type="dxa"/>
                  <w:vAlign w:val="center"/>
                </w:tcPr>
                <w:p w14:paraId="4006BF5D">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1.1</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5DE8177E">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rFonts w:hint="eastAsia" w:ascii="宋体" w:hAnsi="宋体" w:cs="宋体"/>
                      <w:color w:val="auto"/>
                      <w:highlight w:val="none"/>
                    </w:rPr>
                  </w:pPr>
                  <w:r>
                    <w:rPr>
                      <w:color w:val="auto"/>
                      <w:highlight w:val="none"/>
                    </w:rPr>
                    <w:t>5</w:t>
                  </w:r>
                </w:p>
              </w:tc>
              <w:tc>
                <w:tcPr>
                  <w:tcW w:w="674" w:type="dxa"/>
                  <w:vAlign w:val="center"/>
                </w:tcPr>
                <w:p w14:paraId="2BDA2C45">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7B155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3462C18C">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1,1,1,2-</w:t>
                  </w:r>
                  <w:r>
                    <w:rPr>
                      <w:rFonts w:hint="eastAsia" w:ascii="宋体" w:hAnsi="宋体" w:cs="宋体"/>
                      <w:color w:val="auto"/>
                      <w:highlight w:val="none"/>
                    </w:rPr>
                    <w:t>四氯乙烷（</w:t>
                  </w:r>
                  <w:r>
                    <w:rPr>
                      <w:color w:val="auto"/>
                      <w:highlight w:val="none"/>
                    </w:rPr>
                    <w:t>mg/kg</w:t>
                  </w:r>
                  <w:r>
                    <w:rPr>
                      <w:rFonts w:hint="eastAsia" w:ascii="宋体" w:hAnsi="宋体" w:cs="宋体"/>
                      <w:color w:val="auto"/>
                      <w:highlight w:val="none"/>
                    </w:rPr>
                    <w:t>）</w:t>
                  </w:r>
                </w:p>
              </w:tc>
              <w:tc>
                <w:tcPr>
                  <w:tcW w:w="3921" w:type="dxa"/>
                  <w:vAlign w:val="center"/>
                </w:tcPr>
                <w:p w14:paraId="4BA7DF6A">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1.2</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0232D142">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10</w:t>
                  </w:r>
                </w:p>
              </w:tc>
              <w:tc>
                <w:tcPr>
                  <w:tcW w:w="674" w:type="dxa"/>
                  <w:vAlign w:val="center"/>
                </w:tcPr>
                <w:p w14:paraId="72928C18">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1D617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7D4277E0">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1,1,2,2-</w:t>
                  </w:r>
                  <w:r>
                    <w:rPr>
                      <w:rFonts w:hint="eastAsia" w:ascii="宋体" w:hAnsi="宋体" w:cs="宋体"/>
                      <w:color w:val="auto"/>
                      <w:highlight w:val="none"/>
                    </w:rPr>
                    <w:t>四氯乙烷（</w:t>
                  </w:r>
                  <w:r>
                    <w:rPr>
                      <w:color w:val="auto"/>
                      <w:highlight w:val="none"/>
                    </w:rPr>
                    <w:t>mg/kg</w:t>
                  </w:r>
                  <w:r>
                    <w:rPr>
                      <w:rFonts w:hint="eastAsia" w:ascii="宋体" w:hAnsi="宋体" w:cs="宋体"/>
                      <w:color w:val="auto"/>
                      <w:highlight w:val="none"/>
                    </w:rPr>
                    <w:t>）</w:t>
                  </w:r>
                </w:p>
              </w:tc>
              <w:tc>
                <w:tcPr>
                  <w:tcW w:w="3921" w:type="dxa"/>
                  <w:vAlign w:val="center"/>
                </w:tcPr>
                <w:p w14:paraId="79FDBECA">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1.2</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168D3350">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6.8</w:t>
                  </w:r>
                </w:p>
              </w:tc>
              <w:tc>
                <w:tcPr>
                  <w:tcW w:w="674" w:type="dxa"/>
                  <w:vAlign w:val="center"/>
                </w:tcPr>
                <w:p w14:paraId="41F63524">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1A188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404FCDB9">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氯乙烯（</w:t>
                  </w:r>
                  <w:r>
                    <w:rPr>
                      <w:color w:val="auto"/>
                      <w:highlight w:val="none"/>
                    </w:rPr>
                    <w:t>mg/kg</w:t>
                  </w:r>
                  <w:r>
                    <w:rPr>
                      <w:rFonts w:hint="eastAsia" w:ascii="宋体" w:hAnsi="宋体" w:cs="宋体"/>
                      <w:color w:val="auto"/>
                      <w:highlight w:val="none"/>
                    </w:rPr>
                    <w:t>）</w:t>
                  </w:r>
                </w:p>
              </w:tc>
              <w:tc>
                <w:tcPr>
                  <w:tcW w:w="3921" w:type="dxa"/>
                  <w:vAlign w:val="center"/>
                </w:tcPr>
                <w:p w14:paraId="50941ACE">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1.0</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5CD5408D">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0.43</w:t>
                  </w:r>
                </w:p>
              </w:tc>
              <w:tc>
                <w:tcPr>
                  <w:tcW w:w="674" w:type="dxa"/>
                  <w:vAlign w:val="center"/>
                </w:tcPr>
                <w:p w14:paraId="7C1A5AC1">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6F9A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3B50B443">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1,1,1-</w:t>
                  </w:r>
                  <w:r>
                    <w:rPr>
                      <w:rFonts w:hint="eastAsia" w:ascii="宋体" w:hAnsi="宋体" w:cs="宋体"/>
                      <w:color w:val="auto"/>
                      <w:highlight w:val="none"/>
                    </w:rPr>
                    <w:t>三氯乙烷（</w:t>
                  </w:r>
                  <w:r>
                    <w:rPr>
                      <w:color w:val="auto"/>
                      <w:highlight w:val="none"/>
                    </w:rPr>
                    <w:t>mg/kg</w:t>
                  </w:r>
                  <w:r>
                    <w:rPr>
                      <w:rFonts w:hint="eastAsia" w:ascii="宋体" w:hAnsi="宋体" w:cs="宋体"/>
                      <w:color w:val="auto"/>
                      <w:highlight w:val="none"/>
                    </w:rPr>
                    <w:t>）</w:t>
                  </w:r>
                </w:p>
              </w:tc>
              <w:tc>
                <w:tcPr>
                  <w:tcW w:w="3921" w:type="dxa"/>
                  <w:vAlign w:val="center"/>
                </w:tcPr>
                <w:p w14:paraId="2220488E">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1.3</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4B8C3DBC">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840</w:t>
                  </w:r>
                </w:p>
              </w:tc>
              <w:tc>
                <w:tcPr>
                  <w:tcW w:w="674" w:type="dxa"/>
                  <w:vAlign w:val="center"/>
                </w:tcPr>
                <w:p w14:paraId="5E294071">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450D7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079DF31A">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1,1,2-</w:t>
                  </w:r>
                  <w:r>
                    <w:rPr>
                      <w:rFonts w:hint="eastAsia" w:ascii="宋体" w:hAnsi="宋体" w:cs="宋体"/>
                      <w:color w:val="auto"/>
                      <w:highlight w:val="none"/>
                    </w:rPr>
                    <w:t>三氯乙烷（</w:t>
                  </w:r>
                  <w:r>
                    <w:rPr>
                      <w:color w:val="auto"/>
                      <w:highlight w:val="none"/>
                    </w:rPr>
                    <w:t>mg/kg</w:t>
                  </w:r>
                  <w:r>
                    <w:rPr>
                      <w:rFonts w:hint="eastAsia" w:ascii="宋体" w:hAnsi="宋体" w:cs="宋体"/>
                      <w:color w:val="auto"/>
                      <w:highlight w:val="none"/>
                    </w:rPr>
                    <w:t>）</w:t>
                  </w:r>
                </w:p>
              </w:tc>
              <w:tc>
                <w:tcPr>
                  <w:tcW w:w="3921" w:type="dxa"/>
                  <w:vAlign w:val="center"/>
                </w:tcPr>
                <w:p w14:paraId="5183DE1F">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1.2</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4AED3582">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2.8</w:t>
                  </w:r>
                </w:p>
              </w:tc>
              <w:tc>
                <w:tcPr>
                  <w:tcW w:w="674" w:type="dxa"/>
                  <w:vAlign w:val="center"/>
                </w:tcPr>
                <w:p w14:paraId="092AABCC">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1B404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3081E184">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三氯乙烯（</w:t>
                  </w:r>
                  <w:r>
                    <w:rPr>
                      <w:color w:val="auto"/>
                      <w:highlight w:val="none"/>
                    </w:rPr>
                    <w:t>mg/kg</w:t>
                  </w:r>
                  <w:r>
                    <w:rPr>
                      <w:rFonts w:hint="eastAsia" w:ascii="宋体" w:hAnsi="宋体" w:cs="宋体"/>
                      <w:color w:val="auto"/>
                      <w:highlight w:val="none"/>
                    </w:rPr>
                    <w:t>）</w:t>
                  </w:r>
                </w:p>
              </w:tc>
              <w:tc>
                <w:tcPr>
                  <w:tcW w:w="3921" w:type="dxa"/>
                  <w:vAlign w:val="center"/>
                </w:tcPr>
                <w:p w14:paraId="01B54CBD">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1.2</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234DA296">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2.8</w:t>
                  </w:r>
                </w:p>
              </w:tc>
              <w:tc>
                <w:tcPr>
                  <w:tcW w:w="674" w:type="dxa"/>
                  <w:vAlign w:val="center"/>
                </w:tcPr>
                <w:p w14:paraId="7463299C">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03193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0B7217F3">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1,2,3-</w:t>
                  </w:r>
                  <w:r>
                    <w:rPr>
                      <w:rFonts w:hint="eastAsia" w:ascii="宋体" w:hAnsi="宋体" w:cs="宋体"/>
                      <w:color w:val="auto"/>
                      <w:highlight w:val="none"/>
                    </w:rPr>
                    <w:t>三氯丙烷（</w:t>
                  </w:r>
                  <w:r>
                    <w:rPr>
                      <w:color w:val="auto"/>
                      <w:highlight w:val="none"/>
                    </w:rPr>
                    <w:t>mg/kg</w:t>
                  </w:r>
                  <w:r>
                    <w:rPr>
                      <w:rFonts w:hint="eastAsia" w:ascii="宋体" w:hAnsi="宋体" w:cs="宋体"/>
                      <w:color w:val="auto"/>
                      <w:highlight w:val="none"/>
                    </w:rPr>
                    <w:t>）</w:t>
                  </w:r>
                </w:p>
              </w:tc>
              <w:tc>
                <w:tcPr>
                  <w:tcW w:w="3921" w:type="dxa"/>
                  <w:vAlign w:val="center"/>
                </w:tcPr>
                <w:p w14:paraId="330D8AA9">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1.2</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298D56E1">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0.5</w:t>
                  </w:r>
                </w:p>
              </w:tc>
              <w:tc>
                <w:tcPr>
                  <w:tcW w:w="674" w:type="dxa"/>
                  <w:vAlign w:val="center"/>
                </w:tcPr>
                <w:p w14:paraId="2E4AB547">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3EAB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7AB29C73">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四氯乙烯（</w:t>
                  </w:r>
                  <w:r>
                    <w:rPr>
                      <w:color w:val="auto"/>
                      <w:highlight w:val="none"/>
                    </w:rPr>
                    <w:t>mg/kg</w:t>
                  </w:r>
                  <w:r>
                    <w:rPr>
                      <w:rFonts w:hint="eastAsia" w:ascii="宋体" w:hAnsi="宋体" w:cs="宋体"/>
                      <w:color w:val="auto"/>
                      <w:highlight w:val="none"/>
                    </w:rPr>
                    <w:t>）</w:t>
                  </w:r>
                </w:p>
              </w:tc>
              <w:tc>
                <w:tcPr>
                  <w:tcW w:w="3921" w:type="dxa"/>
                  <w:vAlign w:val="center"/>
                </w:tcPr>
                <w:p w14:paraId="3128F253">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1.4</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0AE51F04">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53</w:t>
                  </w:r>
                </w:p>
              </w:tc>
              <w:tc>
                <w:tcPr>
                  <w:tcW w:w="674" w:type="dxa"/>
                  <w:vAlign w:val="center"/>
                </w:tcPr>
                <w:p w14:paraId="12E38D29">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0DA3B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4427F6C9">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苯（</w:t>
                  </w:r>
                  <w:r>
                    <w:rPr>
                      <w:color w:val="auto"/>
                      <w:highlight w:val="none"/>
                    </w:rPr>
                    <w:t>mg/kg</w:t>
                  </w:r>
                  <w:r>
                    <w:rPr>
                      <w:rFonts w:hint="eastAsia" w:ascii="宋体" w:hAnsi="宋体" w:cs="宋体"/>
                      <w:color w:val="auto"/>
                      <w:highlight w:val="none"/>
                    </w:rPr>
                    <w:t>）</w:t>
                  </w:r>
                </w:p>
              </w:tc>
              <w:tc>
                <w:tcPr>
                  <w:tcW w:w="3921" w:type="dxa"/>
                  <w:vAlign w:val="center"/>
                </w:tcPr>
                <w:p w14:paraId="4C3363BF">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1.9</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6A867159">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rFonts w:hint="eastAsia" w:ascii="宋体" w:hAnsi="宋体" w:cs="宋体"/>
                      <w:color w:val="auto"/>
                      <w:highlight w:val="none"/>
                    </w:rPr>
                  </w:pPr>
                  <w:r>
                    <w:rPr>
                      <w:color w:val="auto"/>
                      <w:highlight w:val="none"/>
                    </w:rPr>
                    <w:t>4</w:t>
                  </w:r>
                </w:p>
              </w:tc>
              <w:tc>
                <w:tcPr>
                  <w:tcW w:w="674" w:type="dxa"/>
                  <w:vAlign w:val="center"/>
                </w:tcPr>
                <w:p w14:paraId="42B750CD">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6084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5BC16FC6">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kern w:val="0"/>
                      <w:highlight w:val="none"/>
                    </w:rPr>
                    <w:t>乙苯</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26E9E296">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1.2</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75A65E4B">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28</w:t>
                  </w:r>
                </w:p>
              </w:tc>
              <w:tc>
                <w:tcPr>
                  <w:tcW w:w="674" w:type="dxa"/>
                  <w:vAlign w:val="center"/>
                </w:tcPr>
                <w:p w14:paraId="0A7C603B">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6508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52E3BFDE">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kern w:val="0"/>
                      <w:highlight w:val="none"/>
                    </w:rPr>
                  </w:pPr>
                  <w:r>
                    <w:rPr>
                      <w:rFonts w:hint="eastAsia" w:ascii="宋体" w:hAnsi="宋体" w:cs="宋体"/>
                      <w:color w:val="auto"/>
                      <w:kern w:val="0"/>
                      <w:highlight w:val="none"/>
                    </w:rPr>
                    <w:t>苯乙烯</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06448C22">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1.1</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0EC097B9">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1290</w:t>
                  </w:r>
                </w:p>
              </w:tc>
              <w:tc>
                <w:tcPr>
                  <w:tcW w:w="674" w:type="dxa"/>
                  <w:vAlign w:val="center"/>
                </w:tcPr>
                <w:p w14:paraId="0D893D7F">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575E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21B2C726">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kern w:val="0"/>
                      <w:highlight w:val="none"/>
                    </w:rPr>
                  </w:pPr>
                  <w:r>
                    <w:rPr>
                      <w:rFonts w:hint="eastAsia" w:ascii="宋体" w:hAnsi="宋体" w:cs="宋体"/>
                      <w:color w:val="auto"/>
                      <w:kern w:val="0"/>
                      <w:highlight w:val="none"/>
                    </w:rPr>
                    <w:t>甲苯</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628EBE71">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1.3</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192CD363">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1200</w:t>
                  </w:r>
                </w:p>
              </w:tc>
              <w:tc>
                <w:tcPr>
                  <w:tcW w:w="674" w:type="dxa"/>
                  <w:vAlign w:val="center"/>
                </w:tcPr>
                <w:p w14:paraId="67B64ABD">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2D5F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vMerge w:val="restart"/>
                  <w:vAlign w:val="center"/>
                </w:tcPr>
                <w:p w14:paraId="517E3238">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kern w:val="0"/>
                      <w:highlight w:val="none"/>
                    </w:rPr>
                  </w:pPr>
                  <w:r>
                    <w:rPr>
                      <w:rFonts w:hint="eastAsia" w:ascii="宋体" w:hAnsi="宋体" w:cs="宋体"/>
                      <w:color w:val="auto"/>
                      <w:kern w:val="0"/>
                      <w:highlight w:val="none"/>
                    </w:rPr>
                    <w:t>二甲苯</w:t>
                  </w:r>
                </w:p>
              </w:tc>
              <w:tc>
                <w:tcPr>
                  <w:tcW w:w="2263" w:type="dxa"/>
                  <w:vAlign w:val="center"/>
                </w:tcPr>
                <w:p w14:paraId="71596CFA">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kern w:val="0"/>
                      <w:highlight w:val="none"/>
                    </w:rPr>
                  </w:pPr>
                  <w:r>
                    <w:rPr>
                      <w:rFonts w:hint="eastAsia" w:ascii="宋体" w:hAnsi="宋体" w:cs="宋体"/>
                      <w:color w:val="auto"/>
                      <w:kern w:val="0"/>
                      <w:highlight w:val="none"/>
                    </w:rPr>
                    <w:t>间</w:t>
                  </w:r>
                  <w:r>
                    <w:rPr>
                      <w:color w:val="auto"/>
                      <w:highlight w:val="none"/>
                    </w:rPr>
                    <w:t>,</w:t>
                  </w:r>
                  <w:r>
                    <w:rPr>
                      <w:rFonts w:hint="eastAsia" w:ascii="宋体" w:hAnsi="宋体" w:cs="宋体"/>
                      <w:color w:val="auto"/>
                      <w:kern w:val="0"/>
                      <w:highlight w:val="none"/>
                    </w:rPr>
                    <w:t>对二甲苯</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0EB69C79">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1.2</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0E9D85EF">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color w:val="auto"/>
                      <w:highlight w:val="none"/>
                    </w:rPr>
                    <w:t>4.48</w:t>
                  </w:r>
                </w:p>
              </w:tc>
              <w:tc>
                <w:tcPr>
                  <w:tcW w:w="674" w:type="dxa"/>
                  <w:vAlign w:val="center"/>
                </w:tcPr>
                <w:p w14:paraId="4C27C93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cs="宋体"/>
                      <w:color w:val="auto"/>
                      <w:highlight w:val="none"/>
                      <w:lang w:bidi="ar"/>
                    </w:rPr>
                  </w:pPr>
                  <w:r>
                    <w:rPr>
                      <w:rFonts w:hint="eastAsia" w:ascii="宋体" w:hAnsi="宋体" w:cs="宋体"/>
                      <w:color w:val="auto"/>
                      <w:szCs w:val="21"/>
                      <w:highlight w:val="none"/>
                      <w:lang w:bidi="ar"/>
                    </w:rPr>
                    <w:t>达标</w:t>
                  </w:r>
                </w:p>
              </w:tc>
            </w:tr>
            <w:tr w14:paraId="2AAB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vMerge w:val="continue"/>
                  <w:vAlign w:val="center"/>
                </w:tcPr>
                <w:p w14:paraId="54BF46EF">
                  <w:pPr>
                    <w:keepNext w:val="0"/>
                    <w:keepLines w:val="0"/>
                    <w:pageBreakBefore w:val="0"/>
                    <w:kinsoku/>
                    <w:wordWrap/>
                    <w:overflowPunct/>
                    <w:topLinePunct w:val="0"/>
                    <w:autoSpaceDE/>
                    <w:autoSpaceDN/>
                    <w:bidi w:val="0"/>
                    <w:spacing w:line="320" w:lineRule="exact"/>
                    <w:textAlignment w:val="auto"/>
                    <w:rPr>
                      <w:color w:val="auto"/>
                      <w:sz w:val="20"/>
                      <w:szCs w:val="20"/>
                      <w:highlight w:val="none"/>
                    </w:rPr>
                  </w:pPr>
                </w:p>
              </w:tc>
              <w:tc>
                <w:tcPr>
                  <w:tcW w:w="2263" w:type="dxa"/>
                  <w:vAlign w:val="center"/>
                </w:tcPr>
                <w:p w14:paraId="49111D75">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kern w:val="0"/>
                      <w:highlight w:val="none"/>
                    </w:rPr>
                    <w:t>邻二甲苯</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30A3FB27">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1.2</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1DE6E55B">
                  <w:pPr>
                    <w:keepNext w:val="0"/>
                    <w:keepLines w:val="0"/>
                    <w:pageBreakBefore w:val="0"/>
                    <w:kinsoku/>
                    <w:wordWrap/>
                    <w:overflowPunct/>
                    <w:topLinePunct w:val="0"/>
                    <w:autoSpaceDE/>
                    <w:autoSpaceDN/>
                    <w:bidi w:val="0"/>
                    <w:spacing w:line="320" w:lineRule="exact"/>
                    <w:jc w:val="center"/>
                    <w:textAlignment w:val="auto"/>
                    <w:rPr>
                      <w:color w:val="auto"/>
                      <w:sz w:val="20"/>
                      <w:szCs w:val="20"/>
                      <w:highlight w:val="none"/>
                    </w:rPr>
                  </w:pPr>
                  <w:r>
                    <w:rPr>
                      <w:rFonts w:hint="eastAsia"/>
                      <w:color w:val="auto"/>
                      <w:sz w:val="20"/>
                      <w:szCs w:val="20"/>
                      <w:highlight w:val="none"/>
                    </w:rPr>
                    <w:t>1000</w:t>
                  </w:r>
                </w:p>
              </w:tc>
              <w:tc>
                <w:tcPr>
                  <w:tcW w:w="674" w:type="dxa"/>
                  <w:vAlign w:val="center"/>
                </w:tcPr>
                <w:p w14:paraId="3DF993E6">
                  <w:pPr>
                    <w:keepNext w:val="0"/>
                    <w:keepLines w:val="0"/>
                    <w:pageBreakBefore w:val="0"/>
                    <w:kinsoku/>
                    <w:wordWrap/>
                    <w:overflowPunct/>
                    <w:topLinePunct w:val="0"/>
                    <w:autoSpaceDE/>
                    <w:autoSpaceDN/>
                    <w:bidi w:val="0"/>
                    <w:spacing w:line="320" w:lineRule="exact"/>
                    <w:textAlignment w:val="auto"/>
                    <w:rPr>
                      <w:color w:val="auto"/>
                      <w:sz w:val="20"/>
                      <w:szCs w:val="20"/>
                      <w:highlight w:val="none"/>
                    </w:rPr>
                  </w:pPr>
                  <w:r>
                    <w:rPr>
                      <w:rFonts w:hint="eastAsia" w:ascii="宋体" w:hAnsi="宋体" w:cs="宋体"/>
                      <w:color w:val="auto"/>
                      <w:highlight w:val="none"/>
                      <w:lang w:bidi="ar"/>
                    </w:rPr>
                    <w:t>达标</w:t>
                  </w:r>
                </w:p>
              </w:tc>
            </w:tr>
            <w:tr w14:paraId="61DD6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17695C67">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kern w:val="0"/>
                      <w:highlight w:val="none"/>
                    </w:rPr>
                  </w:pPr>
                  <w:r>
                    <w:rPr>
                      <w:rFonts w:hint="eastAsia" w:ascii="宋体" w:hAnsi="宋体" w:cs="宋体"/>
                      <w:color w:val="auto"/>
                      <w:highlight w:val="none"/>
                    </w:rPr>
                    <w:t>氯苯（</w:t>
                  </w:r>
                  <w:r>
                    <w:rPr>
                      <w:color w:val="auto"/>
                      <w:highlight w:val="none"/>
                    </w:rPr>
                    <w:t>mg/kg</w:t>
                  </w:r>
                  <w:r>
                    <w:rPr>
                      <w:rFonts w:hint="eastAsia" w:ascii="宋体" w:hAnsi="宋体" w:cs="宋体"/>
                      <w:color w:val="auto"/>
                      <w:highlight w:val="none"/>
                    </w:rPr>
                    <w:t>）</w:t>
                  </w:r>
                </w:p>
              </w:tc>
              <w:tc>
                <w:tcPr>
                  <w:tcW w:w="3921" w:type="dxa"/>
                  <w:vAlign w:val="center"/>
                </w:tcPr>
                <w:p w14:paraId="400A9ABC">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1.2</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71DEE46D">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270</w:t>
                  </w:r>
                </w:p>
              </w:tc>
              <w:tc>
                <w:tcPr>
                  <w:tcW w:w="674" w:type="dxa"/>
                  <w:vAlign w:val="center"/>
                </w:tcPr>
                <w:p w14:paraId="0EEE2A67">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5798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06D8E6D5">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kern w:val="0"/>
                      <w:highlight w:val="none"/>
                    </w:rPr>
                    <w:t>1,2-</w:t>
                  </w:r>
                  <w:r>
                    <w:rPr>
                      <w:rFonts w:hint="eastAsia" w:ascii="宋体" w:hAnsi="宋体" w:cs="宋体"/>
                      <w:color w:val="auto"/>
                      <w:kern w:val="0"/>
                      <w:highlight w:val="none"/>
                    </w:rPr>
                    <w:t>二氯苯</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4A1C201E">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1.5</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3408F538">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560</w:t>
                  </w:r>
                </w:p>
              </w:tc>
              <w:tc>
                <w:tcPr>
                  <w:tcW w:w="674" w:type="dxa"/>
                  <w:vAlign w:val="center"/>
                </w:tcPr>
                <w:p w14:paraId="56B42269">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3F0E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217205C4">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kern w:val="0"/>
                      <w:highlight w:val="none"/>
                    </w:rPr>
                    <w:t>1,4-</w:t>
                  </w:r>
                  <w:r>
                    <w:rPr>
                      <w:rFonts w:hint="eastAsia" w:ascii="宋体" w:hAnsi="宋体" w:cs="宋体"/>
                      <w:color w:val="auto"/>
                      <w:kern w:val="0"/>
                      <w:highlight w:val="none"/>
                    </w:rPr>
                    <w:t>二氯苯</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2E53E1A8">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1.5</w:t>
                  </w:r>
                  <w:r>
                    <w:rPr>
                      <w:rFonts w:hint="eastAsia" w:ascii="宋体" w:hAnsi="宋体" w:cs="宋体"/>
                      <w:color w:val="auto"/>
                      <w:highlight w:val="none"/>
                    </w:rPr>
                    <w:t>×</w:t>
                  </w:r>
                  <w:r>
                    <w:rPr>
                      <w:color w:val="auto"/>
                      <w:highlight w:val="none"/>
                    </w:rPr>
                    <w:t>10</w:t>
                  </w:r>
                  <w:r>
                    <w:rPr>
                      <w:color w:val="auto"/>
                      <w:highlight w:val="none"/>
                      <w:vertAlign w:val="superscript"/>
                    </w:rPr>
                    <w:t>-3</w:t>
                  </w:r>
                </w:p>
              </w:tc>
              <w:tc>
                <w:tcPr>
                  <w:tcW w:w="776" w:type="dxa"/>
                  <w:vAlign w:val="center"/>
                </w:tcPr>
                <w:p w14:paraId="6304BF5F">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20</w:t>
                  </w:r>
                </w:p>
              </w:tc>
              <w:tc>
                <w:tcPr>
                  <w:tcW w:w="674" w:type="dxa"/>
                  <w:vAlign w:val="center"/>
                </w:tcPr>
                <w:p w14:paraId="482E9B71">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00998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1D357ACB">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kern w:val="0"/>
                      <w:highlight w:val="none"/>
                    </w:rPr>
                    <w:t>硝基苯</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27B4769E">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0.09</w:t>
                  </w:r>
                  <w:r>
                    <w:rPr>
                      <w:color w:val="auto"/>
                      <w:kern w:val="0"/>
                      <w:highlight w:val="none"/>
                    </w:rPr>
                    <w:t xml:space="preserve"> </w:t>
                  </w:r>
                </w:p>
              </w:tc>
              <w:tc>
                <w:tcPr>
                  <w:tcW w:w="776" w:type="dxa"/>
                  <w:vAlign w:val="center"/>
                </w:tcPr>
                <w:p w14:paraId="51376011">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76</w:t>
                  </w:r>
                </w:p>
              </w:tc>
              <w:tc>
                <w:tcPr>
                  <w:tcW w:w="674" w:type="dxa"/>
                  <w:vAlign w:val="center"/>
                </w:tcPr>
                <w:p w14:paraId="546D4FC1">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633C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1D0F3FCE">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kern w:val="0"/>
                      <w:highlight w:val="none"/>
                    </w:rPr>
                    <w:t>苯胺</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6D0F7409">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0.1</w:t>
                  </w:r>
                </w:p>
              </w:tc>
              <w:tc>
                <w:tcPr>
                  <w:tcW w:w="776" w:type="dxa"/>
                  <w:vAlign w:val="center"/>
                </w:tcPr>
                <w:p w14:paraId="04E37D70">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260</w:t>
                  </w:r>
                </w:p>
              </w:tc>
              <w:tc>
                <w:tcPr>
                  <w:tcW w:w="674" w:type="dxa"/>
                  <w:vAlign w:val="center"/>
                </w:tcPr>
                <w:p w14:paraId="264FECCF">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64E9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2323ADB3">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kern w:val="0"/>
                      <w:highlight w:val="none"/>
                    </w:rPr>
                  </w:pPr>
                  <w:r>
                    <w:rPr>
                      <w:color w:val="auto"/>
                      <w:kern w:val="0"/>
                      <w:highlight w:val="none"/>
                    </w:rPr>
                    <w:t>2-</w:t>
                  </w:r>
                  <w:r>
                    <w:rPr>
                      <w:rFonts w:hint="eastAsia" w:ascii="宋体" w:hAnsi="宋体" w:cs="宋体"/>
                      <w:color w:val="auto"/>
                      <w:kern w:val="0"/>
                      <w:highlight w:val="none"/>
                    </w:rPr>
                    <w:t>氯酚</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2ACB7A1B">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0.06</w:t>
                  </w:r>
                </w:p>
              </w:tc>
              <w:tc>
                <w:tcPr>
                  <w:tcW w:w="776" w:type="dxa"/>
                  <w:vAlign w:val="center"/>
                </w:tcPr>
                <w:p w14:paraId="5B181BA0">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2256</w:t>
                  </w:r>
                </w:p>
              </w:tc>
              <w:tc>
                <w:tcPr>
                  <w:tcW w:w="674" w:type="dxa"/>
                  <w:vAlign w:val="center"/>
                </w:tcPr>
                <w:p w14:paraId="46E89D58">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0C325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5D74D602">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kern w:val="0"/>
                      <w:highlight w:val="none"/>
                    </w:rPr>
                  </w:pPr>
                  <w:r>
                    <w:rPr>
                      <w:rFonts w:hint="eastAsia" w:ascii="宋体" w:hAnsi="宋体" w:cs="宋体"/>
                      <w:color w:val="auto"/>
                      <w:kern w:val="0"/>
                      <w:highlight w:val="none"/>
                    </w:rPr>
                    <w:t>苯并</w:t>
                  </w:r>
                  <w:r>
                    <w:rPr>
                      <w:color w:val="auto"/>
                      <w:kern w:val="0"/>
                      <w:highlight w:val="none"/>
                    </w:rPr>
                    <w:t>[a]</w:t>
                  </w:r>
                  <w:r>
                    <w:rPr>
                      <w:rFonts w:hint="eastAsia" w:ascii="宋体" w:hAnsi="宋体" w:cs="宋体"/>
                      <w:color w:val="auto"/>
                      <w:kern w:val="0"/>
                      <w:highlight w:val="none"/>
                    </w:rPr>
                    <w:t>蒽</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6642E337">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0.1</w:t>
                  </w:r>
                </w:p>
              </w:tc>
              <w:tc>
                <w:tcPr>
                  <w:tcW w:w="776" w:type="dxa"/>
                  <w:vAlign w:val="center"/>
                </w:tcPr>
                <w:p w14:paraId="2F13A2AD">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15</w:t>
                  </w:r>
                </w:p>
              </w:tc>
              <w:tc>
                <w:tcPr>
                  <w:tcW w:w="674" w:type="dxa"/>
                  <w:vAlign w:val="center"/>
                </w:tcPr>
                <w:p w14:paraId="1F549DB1">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014A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39" w:type="dxa"/>
                  <w:gridSpan w:val="2"/>
                  <w:vAlign w:val="center"/>
                </w:tcPr>
                <w:p w14:paraId="02381B70">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kern w:val="0"/>
                      <w:highlight w:val="none"/>
                    </w:rPr>
                    <w:t>苯并</w:t>
                  </w:r>
                  <w:r>
                    <w:rPr>
                      <w:color w:val="auto"/>
                      <w:kern w:val="0"/>
                      <w:highlight w:val="none"/>
                    </w:rPr>
                    <w:t>[b]</w:t>
                  </w:r>
                  <w:r>
                    <w:rPr>
                      <w:rFonts w:hint="eastAsia" w:ascii="宋体" w:hAnsi="宋体" w:cs="宋体"/>
                      <w:color w:val="auto"/>
                      <w:kern w:val="0"/>
                      <w:highlight w:val="none"/>
                    </w:rPr>
                    <w:t>荧蒽</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3D8156ED">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0.2</w:t>
                  </w:r>
                </w:p>
              </w:tc>
              <w:tc>
                <w:tcPr>
                  <w:tcW w:w="776" w:type="dxa"/>
                  <w:vAlign w:val="center"/>
                </w:tcPr>
                <w:p w14:paraId="25F0A7A1">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15</w:t>
                  </w:r>
                </w:p>
              </w:tc>
              <w:tc>
                <w:tcPr>
                  <w:tcW w:w="674" w:type="dxa"/>
                  <w:vAlign w:val="center"/>
                </w:tcPr>
                <w:p w14:paraId="1C5B9AB1">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1575C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1575A35B">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kern w:val="0"/>
                      <w:highlight w:val="none"/>
                    </w:rPr>
                  </w:pPr>
                  <w:r>
                    <w:rPr>
                      <w:rFonts w:hint="eastAsia" w:ascii="宋体" w:hAnsi="宋体" w:cs="宋体"/>
                      <w:color w:val="auto"/>
                      <w:kern w:val="0"/>
                      <w:highlight w:val="none"/>
                    </w:rPr>
                    <w:t>苯并</w:t>
                  </w:r>
                  <w:r>
                    <w:rPr>
                      <w:color w:val="auto"/>
                      <w:kern w:val="0"/>
                      <w:highlight w:val="none"/>
                    </w:rPr>
                    <w:t>[k]</w:t>
                  </w:r>
                  <w:r>
                    <w:rPr>
                      <w:rFonts w:hint="eastAsia" w:ascii="宋体" w:hAnsi="宋体" w:cs="宋体"/>
                      <w:color w:val="auto"/>
                      <w:kern w:val="0"/>
                      <w:highlight w:val="none"/>
                    </w:rPr>
                    <w:t>荧蒽</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5D089973">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0.1</w:t>
                  </w:r>
                </w:p>
              </w:tc>
              <w:tc>
                <w:tcPr>
                  <w:tcW w:w="776" w:type="dxa"/>
                  <w:vAlign w:val="center"/>
                </w:tcPr>
                <w:p w14:paraId="2DF3A962">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151</w:t>
                  </w:r>
                </w:p>
              </w:tc>
              <w:tc>
                <w:tcPr>
                  <w:tcW w:w="674" w:type="dxa"/>
                  <w:vAlign w:val="center"/>
                </w:tcPr>
                <w:p w14:paraId="77B5D33D">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1B3F6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622D0A5C">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kern w:val="0"/>
                      <w:highlight w:val="none"/>
                    </w:rPr>
                  </w:pPr>
                  <w:r>
                    <w:rPr>
                      <w:rFonts w:hint="eastAsia" w:ascii="宋体" w:hAnsi="宋体" w:cs="宋体"/>
                      <w:color w:val="auto"/>
                      <w:kern w:val="0"/>
                      <w:highlight w:val="none"/>
                    </w:rPr>
                    <w:t>苯并</w:t>
                  </w:r>
                  <w:r>
                    <w:rPr>
                      <w:color w:val="auto"/>
                      <w:kern w:val="0"/>
                      <w:highlight w:val="none"/>
                    </w:rPr>
                    <w:t>[a]</w:t>
                  </w:r>
                  <w:r>
                    <w:rPr>
                      <w:rFonts w:hint="eastAsia" w:ascii="宋体" w:hAnsi="宋体" w:cs="宋体"/>
                      <w:color w:val="auto"/>
                      <w:kern w:val="0"/>
                      <w:highlight w:val="none"/>
                    </w:rPr>
                    <w:t>芘</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74F35212">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0.1</w:t>
                  </w:r>
                </w:p>
              </w:tc>
              <w:tc>
                <w:tcPr>
                  <w:tcW w:w="776" w:type="dxa"/>
                  <w:vAlign w:val="center"/>
                </w:tcPr>
                <w:p w14:paraId="35A076E6">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1.5</w:t>
                  </w:r>
                </w:p>
              </w:tc>
              <w:tc>
                <w:tcPr>
                  <w:tcW w:w="674" w:type="dxa"/>
                  <w:vAlign w:val="center"/>
                </w:tcPr>
                <w:p w14:paraId="67FE20DB">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2FE71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69641562">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kern w:val="0"/>
                      <w:highlight w:val="none"/>
                    </w:rPr>
                  </w:pPr>
                  <w:r>
                    <w:rPr>
                      <w:rFonts w:hint="eastAsia" w:ascii="宋体" w:hAnsi="宋体" w:cs="宋体"/>
                      <w:color w:val="auto"/>
                      <w:kern w:val="0"/>
                      <w:highlight w:val="none"/>
                    </w:rPr>
                    <w:t>䓛</w:t>
                  </w:r>
                  <w:r>
                    <w:rPr>
                      <w:rFonts w:hint="eastAsia" w:ascii="宋体" w:hAnsi="宋体" w:cs="宋体"/>
                      <w:color w:val="auto"/>
                      <w:highlight w:val="none"/>
                    </w:rPr>
                    <w:t>（</w:t>
                  </w:r>
                  <w:r>
                    <w:rPr>
                      <w:color w:val="auto"/>
                      <w:highlight w:val="none"/>
                    </w:rPr>
                    <w:t>mg/kg</w:t>
                  </w:r>
                  <w:r>
                    <w:rPr>
                      <w:rFonts w:hint="eastAsia" w:ascii="宋体" w:hAnsi="宋体" w:cs="宋体"/>
                      <w:color w:val="auto"/>
                      <w:highlight w:val="none"/>
                    </w:rPr>
                    <w:t>）</w:t>
                  </w:r>
                </w:p>
              </w:tc>
              <w:tc>
                <w:tcPr>
                  <w:tcW w:w="3921" w:type="dxa"/>
                  <w:vAlign w:val="center"/>
                </w:tcPr>
                <w:p w14:paraId="3F95493D">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0.1</w:t>
                  </w:r>
                </w:p>
              </w:tc>
              <w:tc>
                <w:tcPr>
                  <w:tcW w:w="776" w:type="dxa"/>
                  <w:vAlign w:val="center"/>
                </w:tcPr>
                <w:p w14:paraId="5D276D91">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1293</w:t>
                  </w:r>
                </w:p>
              </w:tc>
              <w:tc>
                <w:tcPr>
                  <w:tcW w:w="674" w:type="dxa"/>
                  <w:vAlign w:val="center"/>
                </w:tcPr>
                <w:p w14:paraId="4CA34DA9">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5417B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5009309C">
                  <w:pPr>
                    <w:keepNext w:val="0"/>
                    <w:keepLines w:val="0"/>
                    <w:pageBreakBefore w:val="0"/>
                    <w:kinsoku/>
                    <w:wordWrap/>
                    <w:overflowPunct/>
                    <w:topLinePunct w:val="0"/>
                    <w:autoSpaceDE/>
                    <w:autoSpaceDN/>
                    <w:bidi w:val="0"/>
                    <w:adjustRightInd w:val="0"/>
                    <w:snapToGrid w:val="0"/>
                    <w:spacing w:line="320" w:lineRule="exact"/>
                    <w:jc w:val="center"/>
                    <w:textAlignment w:val="auto"/>
                    <w:rPr>
                      <w:color w:val="auto"/>
                      <w:szCs w:val="21"/>
                      <w:highlight w:val="none"/>
                    </w:rPr>
                  </w:pPr>
                  <w:r>
                    <w:rPr>
                      <w:rFonts w:hint="eastAsia" w:ascii="宋体" w:hAnsi="宋体" w:cs="宋体"/>
                      <w:bCs/>
                      <w:color w:val="auto"/>
                      <w:szCs w:val="21"/>
                      <w:highlight w:val="none"/>
                      <w:lang w:bidi="ar"/>
                    </w:rPr>
                    <w:t>二苯并</w:t>
                  </w:r>
                  <w:r>
                    <w:rPr>
                      <w:bCs/>
                      <w:color w:val="auto"/>
                      <w:szCs w:val="21"/>
                      <w:highlight w:val="none"/>
                      <w:lang w:bidi="ar"/>
                    </w:rPr>
                    <w:t>[a,h]</w:t>
                  </w:r>
                  <w:r>
                    <w:rPr>
                      <w:rFonts w:hint="eastAsia" w:ascii="宋体" w:hAnsi="宋体" w:cs="宋体"/>
                      <w:bCs/>
                      <w:color w:val="auto"/>
                      <w:szCs w:val="21"/>
                      <w:highlight w:val="none"/>
                      <w:lang w:bidi="ar"/>
                    </w:rPr>
                    <w:t>蒽</w:t>
                  </w:r>
                </w:p>
              </w:tc>
              <w:tc>
                <w:tcPr>
                  <w:tcW w:w="3921" w:type="dxa"/>
                  <w:vAlign w:val="center"/>
                </w:tcPr>
                <w:p w14:paraId="0B9AA62B">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0.1</w:t>
                  </w:r>
                </w:p>
              </w:tc>
              <w:tc>
                <w:tcPr>
                  <w:tcW w:w="776" w:type="dxa"/>
                  <w:vAlign w:val="center"/>
                </w:tcPr>
                <w:p w14:paraId="46E57CC3">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1.5</w:t>
                  </w:r>
                </w:p>
              </w:tc>
              <w:tc>
                <w:tcPr>
                  <w:tcW w:w="674" w:type="dxa"/>
                  <w:vAlign w:val="center"/>
                </w:tcPr>
                <w:p w14:paraId="6CF02712">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66F2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2DA36D66">
                  <w:pPr>
                    <w:keepNext w:val="0"/>
                    <w:keepLines w:val="0"/>
                    <w:pageBreakBefore w:val="0"/>
                    <w:kinsoku/>
                    <w:wordWrap/>
                    <w:overflowPunct/>
                    <w:topLinePunct w:val="0"/>
                    <w:autoSpaceDE/>
                    <w:autoSpaceDN/>
                    <w:bidi w:val="0"/>
                    <w:adjustRightInd w:val="0"/>
                    <w:snapToGrid w:val="0"/>
                    <w:spacing w:line="320" w:lineRule="exact"/>
                    <w:jc w:val="center"/>
                    <w:textAlignment w:val="auto"/>
                    <w:rPr>
                      <w:color w:val="auto"/>
                      <w:szCs w:val="21"/>
                      <w:highlight w:val="none"/>
                    </w:rPr>
                  </w:pPr>
                  <w:r>
                    <w:rPr>
                      <w:rFonts w:hint="eastAsia" w:ascii="宋体" w:hAnsi="宋体" w:cs="宋体"/>
                      <w:bCs/>
                      <w:color w:val="auto"/>
                      <w:szCs w:val="21"/>
                      <w:highlight w:val="none"/>
                      <w:lang w:bidi="ar"/>
                    </w:rPr>
                    <w:t>茚并</w:t>
                  </w:r>
                  <w:r>
                    <w:rPr>
                      <w:bCs/>
                      <w:color w:val="auto"/>
                      <w:szCs w:val="21"/>
                      <w:highlight w:val="none"/>
                      <w:lang w:bidi="ar"/>
                    </w:rPr>
                    <w:t>[1,2,3-cd]</w:t>
                  </w:r>
                  <w:r>
                    <w:rPr>
                      <w:rFonts w:hint="eastAsia" w:ascii="宋体" w:hAnsi="宋体" w:cs="宋体"/>
                      <w:bCs/>
                      <w:color w:val="auto"/>
                      <w:szCs w:val="21"/>
                      <w:highlight w:val="none"/>
                      <w:lang w:bidi="ar"/>
                    </w:rPr>
                    <w:t>芘</w:t>
                  </w:r>
                </w:p>
              </w:tc>
              <w:tc>
                <w:tcPr>
                  <w:tcW w:w="3921" w:type="dxa"/>
                  <w:vAlign w:val="center"/>
                </w:tcPr>
                <w:p w14:paraId="71A89B72">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0.1</w:t>
                  </w:r>
                </w:p>
              </w:tc>
              <w:tc>
                <w:tcPr>
                  <w:tcW w:w="776" w:type="dxa"/>
                  <w:vAlign w:val="center"/>
                </w:tcPr>
                <w:p w14:paraId="6C6069DC">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15</w:t>
                  </w:r>
                </w:p>
              </w:tc>
              <w:tc>
                <w:tcPr>
                  <w:tcW w:w="674" w:type="dxa"/>
                  <w:vAlign w:val="center"/>
                </w:tcPr>
                <w:p w14:paraId="49CA0A18">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r w14:paraId="51EFE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9" w:type="dxa"/>
                  <w:gridSpan w:val="2"/>
                  <w:vAlign w:val="center"/>
                </w:tcPr>
                <w:p w14:paraId="6E0BDAA3">
                  <w:pPr>
                    <w:keepNext w:val="0"/>
                    <w:keepLines w:val="0"/>
                    <w:pageBreakBefore w:val="0"/>
                    <w:kinsoku/>
                    <w:wordWrap/>
                    <w:overflowPunct/>
                    <w:topLinePunct w:val="0"/>
                    <w:autoSpaceDE/>
                    <w:autoSpaceDN/>
                    <w:bidi w:val="0"/>
                    <w:adjustRightInd w:val="0"/>
                    <w:snapToGrid w:val="0"/>
                    <w:spacing w:line="320" w:lineRule="exact"/>
                    <w:jc w:val="center"/>
                    <w:textAlignment w:val="auto"/>
                    <w:rPr>
                      <w:color w:val="auto"/>
                      <w:szCs w:val="21"/>
                      <w:highlight w:val="none"/>
                    </w:rPr>
                  </w:pPr>
                  <w:r>
                    <w:rPr>
                      <w:rFonts w:hint="eastAsia" w:ascii="宋体" w:hAnsi="宋体" w:cs="宋体"/>
                      <w:bCs/>
                      <w:color w:val="auto"/>
                      <w:szCs w:val="21"/>
                      <w:highlight w:val="none"/>
                      <w:lang w:bidi="ar"/>
                    </w:rPr>
                    <w:t>萘</w:t>
                  </w:r>
                </w:p>
              </w:tc>
              <w:tc>
                <w:tcPr>
                  <w:tcW w:w="3921" w:type="dxa"/>
                  <w:vAlign w:val="center"/>
                </w:tcPr>
                <w:p w14:paraId="57CFA39D">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rFonts w:hint="eastAsia" w:ascii="宋体" w:hAnsi="宋体" w:cs="宋体"/>
                      <w:color w:val="auto"/>
                      <w:highlight w:val="none"/>
                    </w:rPr>
                    <w:t>＜</w:t>
                  </w:r>
                  <w:r>
                    <w:rPr>
                      <w:color w:val="auto"/>
                      <w:highlight w:val="none"/>
                    </w:rPr>
                    <w:t>0.09</w:t>
                  </w:r>
                  <w:r>
                    <w:rPr>
                      <w:color w:val="auto"/>
                      <w:kern w:val="0"/>
                      <w:highlight w:val="none"/>
                    </w:rPr>
                    <w:t xml:space="preserve"> </w:t>
                  </w:r>
                </w:p>
              </w:tc>
              <w:tc>
                <w:tcPr>
                  <w:tcW w:w="776" w:type="dxa"/>
                  <w:vAlign w:val="center"/>
                </w:tcPr>
                <w:p w14:paraId="53C49660">
                  <w:pPr>
                    <w:pStyle w:val="119"/>
                    <w:keepNext w:val="0"/>
                    <w:keepLines w:val="0"/>
                    <w:pageBreakBefore w:val="0"/>
                    <w:widowControl/>
                    <w:kinsoku/>
                    <w:wordWrap/>
                    <w:overflowPunct/>
                    <w:topLinePunct w:val="0"/>
                    <w:autoSpaceDE/>
                    <w:autoSpaceDN/>
                    <w:bidi w:val="0"/>
                    <w:spacing w:line="320" w:lineRule="exact"/>
                    <w:ind w:firstLine="0" w:firstLineChars="0"/>
                    <w:jc w:val="center"/>
                    <w:textAlignment w:val="auto"/>
                    <w:rPr>
                      <w:color w:val="auto"/>
                      <w:highlight w:val="none"/>
                    </w:rPr>
                  </w:pPr>
                  <w:r>
                    <w:rPr>
                      <w:color w:val="auto"/>
                      <w:highlight w:val="none"/>
                    </w:rPr>
                    <w:t>70</w:t>
                  </w:r>
                </w:p>
              </w:tc>
              <w:tc>
                <w:tcPr>
                  <w:tcW w:w="674" w:type="dxa"/>
                  <w:vAlign w:val="center"/>
                </w:tcPr>
                <w:p w14:paraId="37C9C0A2">
                  <w:pPr>
                    <w:keepNext w:val="0"/>
                    <w:keepLines w:val="0"/>
                    <w:pageBreakBefore w:val="0"/>
                    <w:kinsoku/>
                    <w:wordWrap/>
                    <w:overflowPunct/>
                    <w:topLinePunct w:val="0"/>
                    <w:autoSpaceDE/>
                    <w:autoSpaceDN/>
                    <w:bidi w:val="0"/>
                    <w:spacing w:line="320" w:lineRule="exact"/>
                    <w:jc w:val="center"/>
                    <w:textAlignment w:val="auto"/>
                    <w:rPr>
                      <w:color w:val="auto"/>
                      <w:szCs w:val="21"/>
                      <w:highlight w:val="none"/>
                    </w:rPr>
                  </w:pPr>
                  <w:r>
                    <w:rPr>
                      <w:rFonts w:hint="eastAsia" w:ascii="宋体" w:hAnsi="宋体" w:cs="宋体"/>
                      <w:color w:val="auto"/>
                      <w:szCs w:val="21"/>
                      <w:highlight w:val="none"/>
                      <w:lang w:bidi="ar"/>
                    </w:rPr>
                    <w:t>达标</w:t>
                  </w:r>
                </w:p>
              </w:tc>
            </w:tr>
          </w:tbl>
          <w:p w14:paraId="7E467939">
            <w:pPr>
              <w:keepNext w:val="0"/>
              <w:keepLines w:val="0"/>
              <w:pageBreakBefore w:val="0"/>
              <w:widowControl w:val="0"/>
              <w:kinsoku/>
              <w:wordWrap/>
              <w:overflowPunct/>
              <w:topLinePunct w:val="0"/>
              <w:autoSpaceDE/>
              <w:autoSpaceDN/>
              <w:bidi w:val="0"/>
              <w:adjustRightInd/>
              <w:snapToGrid/>
              <w:spacing w:line="440" w:lineRule="exact"/>
              <w:ind w:right="40" w:firstLine="480" w:firstLineChars="200"/>
              <w:jc w:val="left"/>
              <w:textAlignment w:val="auto"/>
              <w:rPr>
                <w:rFonts w:hint="eastAsia" w:ascii="宋体" w:hAnsi="宋体" w:cs="宋体"/>
                <w:color w:val="auto"/>
                <w:sz w:val="24"/>
                <w:highlight w:val="none"/>
              </w:rPr>
            </w:pPr>
          </w:p>
          <w:p w14:paraId="7B54EEEB">
            <w:pPr>
              <w:keepNext w:val="0"/>
              <w:keepLines w:val="0"/>
              <w:pageBreakBefore w:val="0"/>
              <w:widowControl w:val="0"/>
              <w:kinsoku/>
              <w:wordWrap/>
              <w:overflowPunct/>
              <w:topLinePunct w:val="0"/>
              <w:autoSpaceDE/>
              <w:autoSpaceDN/>
              <w:bidi w:val="0"/>
              <w:adjustRightInd/>
              <w:snapToGrid/>
              <w:spacing w:line="440" w:lineRule="exact"/>
              <w:ind w:right="40" w:firstLine="480" w:firstLineChars="200"/>
              <w:jc w:val="left"/>
              <w:textAlignment w:val="auto"/>
              <w:rPr>
                <w:color w:val="auto"/>
                <w:sz w:val="24"/>
                <w:highlight w:val="none"/>
              </w:rPr>
            </w:pPr>
            <w:r>
              <w:rPr>
                <w:rFonts w:hint="eastAsia" w:ascii="宋体" w:hAnsi="宋体" w:cs="宋体"/>
                <w:color w:val="auto"/>
                <w:sz w:val="24"/>
                <w:highlight w:val="none"/>
              </w:rPr>
              <w:t>由表</w:t>
            </w:r>
            <w:r>
              <w:rPr>
                <w:color w:val="auto"/>
                <w:sz w:val="24"/>
                <w:highlight w:val="none"/>
              </w:rPr>
              <w:t>3-8</w:t>
            </w:r>
            <w:r>
              <w:rPr>
                <w:rFonts w:hint="eastAsia" w:ascii="宋体" w:hAnsi="宋体" w:cs="宋体"/>
                <w:color w:val="auto"/>
                <w:sz w:val="24"/>
                <w:highlight w:val="none"/>
              </w:rPr>
              <w:t>可知，项目土壤表层样监测指标含量低于《土壤环境质量</w:t>
            </w:r>
            <w:r>
              <w:rPr>
                <w:color w:val="auto"/>
                <w:sz w:val="24"/>
                <w:highlight w:val="none"/>
              </w:rPr>
              <w:t xml:space="preserve"> </w:t>
            </w:r>
            <w:r>
              <w:rPr>
                <w:rFonts w:hint="eastAsia" w:ascii="宋体" w:hAnsi="宋体" w:cs="宋体"/>
                <w:color w:val="auto"/>
                <w:sz w:val="24"/>
                <w:highlight w:val="none"/>
              </w:rPr>
              <w:t>建设用地土壤污染风险管控标准（试行）》（</w:t>
            </w:r>
            <w:r>
              <w:rPr>
                <w:color w:val="auto"/>
                <w:sz w:val="24"/>
                <w:highlight w:val="none"/>
              </w:rPr>
              <w:t>GB36600-2018</w:t>
            </w:r>
            <w:r>
              <w:rPr>
                <w:rFonts w:hint="eastAsia" w:ascii="宋体" w:hAnsi="宋体" w:cs="宋体"/>
                <w:color w:val="auto"/>
                <w:sz w:val="24"/>
                <w:highlight w:val="none"/>
              </w:rPr>
              <w:t>）表</w:t>
            </w:r>
            <w:r>
              <w:rPr>
                <w:color w:val="auto"/>
                <w:sz w:val="24"/>
                <w:highlight w:val="none"/>
              </w:rPr>
              <w:t>1</w:t>
            </w:r>
            <w:r>
              <w:rPr>
                <w:rFonts w:hint="eastAsia" w:ascii="宋体" w:hAnsi="宋体" w:cs="宋体"/>
                <w:color w:val="auto"/>
                <w:sz w:val="24"/>
                <w:highlight w:val="none"/>
              </w:rPr>
              <w:t>所列</w:t>
            </w:r>
            <w:r>
              <w:rPr>
                <w:color w:val="auto"/>
                <w:sz w:val="24"/>
                <w:highlight w:val="none"/>
              </w:rPr>
              <w:t>45</w:t>
            </w:r>
            <w:r>
              <w:rPr>
                <w:rFonts w:hint="eastAsia" w:ascii="宋体" w:hAnsi="宋体" w:cs="宋体"/>
                <w:color w:val="auto"/>
                <w:sz w:val="24"/>
                <w:highlight w:val="none"/>
              </w:rPr>
              <w:t>项基本因子和</w:t>
            </w:r>
            <w:r>
              <w:rPr>
                <w:color w:val="auto"/>
                <w:sz w:val="24"/>
                <w:highlight w:val="none"/>
              </w:rPr>
              <w:t>1</w:t>
            </w:r>
            <w:r>
              <w:rPr>
                <w:rFonts w:hint="eastAsia" w:ascii="宋体" w:hAnsi="宋体" w:cs="宋体"/>
                <w:color w:val="auto"/>
                <w:sz w:val="24"/>
                <w:highlight w:val="none"/>
              </w:rPr>
              <w:t>项特征因子（石油烃）的含量要求。</w:t>
            </w:r>
          </w:p>
          <w:p w14:paraId="045E9932">
            <w:pPr>
              <w:keepNext w:val="0"/>
              <w:keepLines w:val="0"/>
              <w:pageBreakBefore w:val="0"/>
              <w:widowControl w:val="0"/>
              <w:kinsoku/>
              <w:wordWrap/>
              <w:overflowPunct/>
              <w:topLinePunct w:val="0"/>
              <w:autoSpaceDE/>
              <w:autoSpaceDN/>
              <w:bidi w:val="0"/>
              <w:adjustRightInd/>
              <w:snapToGrid/>
              <w:spacing w:line="440" w:lineRule="exact"/>
              <w:textAlignment w:val="auto"/>
              <w:rPr>
                <w:b/>
                <w:bCs/>
                <w:color w:val="auto"/>
                <w:kern w:val="0"/>
                <w:sz w:val="24"/>
                <w:highlight w:val="none"/>
              </w:rPr>
            </w:pPr>
            <w:r>
              <w:rPr>
                <w:rFonts w:hint="eastAsia"/>
                <w:b/>
                <w:bCs/>
                <w:color w:val="auto"/>
                <w:kern w:val="0"/>
                <w:sz w:val="24"/>
                <w:highlight w:val="none"/>
              </w:rPr>
              <w:t>6</w:t>
            </w:r>
            <w:r>
              <w:rPr>
                <w:b/>
                <w:bCs/>
                <w:color w:val="auto"/>
                <w:kern w:val="0"/>
                <w:sz w:val="24"/>
                <w:highlight w:val="none"/>
              </w:rPr>
              <w:t>、生态环境现状</w:t>
            </w:r>
          </w:p>
          <w:p w14:paraId="3C27D55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highlight w:val="none"/>
              </w:rPr>
            </w:pPr>
            <w:r>
              <w:rPr>
                <w:color w:val="auto"/>
                <w:sz w:val="24"/>
                <w:highlight w:val="none"/>
              </w:rPr>
              <w:t>根据现场调查，项目所在区域由于受人类频繁活动和交通的影响，已无大型动物，仅有些小型常见动物，如常见鸟类、鼠类、蛇等与人伴居的物种</w:t>
            </w:r>
            <w:r>
              <w:rPr>
                <w:color w:val="auto"/>
                <w:sz w:val="24"/>
                <w:highlight w:val="none"/>
                <w:shd w:val="clear" w:color="auto" w:fill="FFFFFF"/>
              </w:rPr>
              <w:t>等。生态环境自身调控能力一般。项目所在区域无国家级和云南省级保护植物物种，以及地方狭域植物种类分布，无古树名木。建设区已无大型野生动物、受国家和云南省重点保护及关注物种。</w:t>
            </w:r>
          </w:p>
        </w:tc>
      </w:tr>
      <w:tr w14:paraId="19F971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51" w:type="dxa"/>
            <w:vAlign w:val="center"/>
          </w:tcPr>
          <w:p w14:paraId="44FBAA36">
            <w:pPr>
              <w:jc w:val="center"/>
              <w:rPr>
                <w:color w:val="auto"/>
                <w:kern w:val="0"/>
                <w:sz w:val="24"/>
                <w:highlight w:val="none"/>
              </w:rPr>
            </w:pPr>
            <w:r>
              <w:rPr>
                <w:color w:val="auto"/>
                <w:kern w:val="0"/>
                <w:sz w:val="24"/>
                <w:highlight w:val="none"/>
              </w:rPr>
              <w:t>环境保护</w:t>
            </w:r>
          </w:p>
          <w:p w14:paraId="05BDA48D">
            <w:pPr>
              <w:jc w:val="center"/>
              <w:rPr>
                <w:color w:val="auto"/>
                <w:kern w:val="0"/>
                <w:sz w:val="24"/>
                <w:highlight w:val="none"/>
              </w:rPr>
            </w:pPr>
            <w:r>
              <w:rPr>
                <w:color w:val="auto"/>
                <w:kern w:val="0"/>
                <w:sz w:val="24"/>
                <w:highlight w:val="none"/>
              </w:rPr>
              <w:t>目标</w:t>
            </w:r>
          </w:p>
        </w:tc>
        <w:tc>
          <w:tcPr>
            <w:tcW w:w="8537" w:type="dxa"/>
          </w:tcPr>
          <w:p w14:paraId="575E5AE9">
            <w:pPr>
              <w:keepNext w:val="0"/>
              <w:keepLines w:val="0"/>
              <w:pageBreakBefore w:val="0"/>
              <w:widowControl w:val="0"/>
              <w:kinsoku/>
              <w:wordWrap/>
              <w:overflowPunct/>
              <w:topLinePunct w:val="0"/>
              <w:autoSpaceDE/>
              <w:autoSpaceDN/>
              <w:bidi w:val="0"/>
              <w:adjustRightInd w:val="0"/>
              <w:snapToGrid w:val="0"/>
              <w:spacing w:line="440" w:lineRule="exact"/>
              <w:textAlignment w:val="auto"/>
              <w:rPr>
                <w:b/>
                <w:bCs/>
                <w:color w:val="auto"/>
                <w:sz w:val="24"/>
                <w:szCs w:val="32"/>
                <w:highlight w:val="none"/>
              </w:rPr>
            </w:pPr>
            <w:r>
              <w:rPr>
                <w:rFonts w:hint="eastAsia"/>
                <w:b/>
                <w:bCs/>
                <w:color w:val="auto"/>
                <w:sz w:val="24"/>
                <w:szCs w:val="32"/>
                <w:highlight w:val="none"/>
              </w:rPr>
              <w:t>1</w:t>
            </w:r>
            <w:r>
              <w:rPr>
                <w:rFonts w:hint="eastAsia"/>
                <w:b/>
                <w:bCs/>
                <w:color w:val="auto"/>
                <w:sz w:val="24"/>
                <w:szCs w:val="32"/>
                <w:highlight w:val="none"/>
                <w:lang w:eastAsia="zh-CN"/>
              </w:rPr>
              <w:t>、</w:t>
            </w:r>
            <w:r>
              <w:rPr>
                <w:b/>
                <w:bCs/>
                <w:color w:val="auto"/>
                <w:sz w:val="24"/>
                <w:szCs w:val="32"/>
                <w:highlight w:val="none"/>
              </w:rPr>
              <w:t>大气环境</w:t>
            </w:r>
          </w:p>
          <w:p w14:paraId="59D2847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auto"/>
                <w:sz w:val="24"/>
                <w:szCs w:val="32"/>
                <w:highlight w:val="none"/>
              </w:rPr>
            </w:pPr>
            <w:r>
              <w:rPr>
                <w:color w:val="auto"/>
                <w:sz w:val="24"/>
                <w:szCs w:val="32"/>
                <w:highlight w:val="none"/>
              </w:rPr>
              <w:t>项目厂界外500米范围内无自然保护区、风景名胜区、文化区等保护目标</w:t>
            </w:r>
            <w:r>
              <w:rPr>
                <w:rFonts w:hint="eastAsia"/>
                <w:color w:val="auto"/>
                <w:sz w:val="24"/>
                <w:szCs w:val="32"/>
                <w:highlight w:val="none"/>
              </w:rPr>
              <w:t>，扩建后大气保护目标为居住区</w:t>
            </w:r>
            <w:r>
              <w:rPr>
                <w:rFonts w:hint="eastAsia"/>
                <w:color w:val="auto"/>
                <w:sz w:val="24"/>
                <w:szCs w:val="32"/>
                <w:highlight w:val="none"/>
                <w:lang w:val="en-US" w:eastAsia="zh-CN"/>
              </w:rPr>
              <w:t>大法古村居民</w:t>
            </w:r>
            <w:r>
              <w:rPr>
                <w:rFonts w:hint="eastAsia"/>
                <w:color w:val="auto"/>
                <w:sz w:val="24"/>
                <w:szCs w:val="32"/>
                <w:highlight w:val="none"/>
              </w:rPr>
              <w:t>。</w:t>
            </w:r>
          </w:p>
          <w:p w14:paraId="7C31CC88">
            <w:pPr>
              <w:keepNext w:val="0"/>
              <w:keepLines w:val="0"/>
              <w:pageBreakBefore w:val="0"/>
              <w:widowControl w:val="0"/>
              <w:kinsoku/>
              <w:wordWrap/>
              <w:overflowPunct/>
              <w:topLinePunct w:val="0"/>
              <w:autoSpaceDE/>
              <w:autoSpaceDN/>
              <w:bidi w:val="0"/>
              <w:adjustRightInd w:val="0"/>
              <w:snapToGrid w:val="0"/>
              <w:spacing w:line="440" w:lineRule="exact"/>
              <w:textAlignment w:val="auto"/>
              <w:rPr>
                <w:b/>
                <w:bCs/>
                <w:color w:val="auto"/>
                <w:sz w:val="24"/>
                <w:szCs w:val="32"/>
                <w:highlight w:val="none"/>
              </w:rPr>
            </w:pPr>
            <w:r>
              <w:rPr>
                <w:rFonts w:hint="eastAsia"/>
                <w:b/>
                <w:bCs/>
                <w:color w:val="auto"/>
                <w:sz w:val="24"/>
                <w:szCs w:val="32"/>
                <w:highlight w:val="none"/>
              </w:rPr>
              <w:t>2</w:t>
            </w:r>
            <w:r>
              <w:rPr>
                <w:rFonts w:hint="eastAsia"/>
                <w:b/>
                <w:bCs/>
                <w:color w:val="auto"/>
                <w:sz w:val="24"/>
                <w:szCs w:val="32"/>
                <w:highlight w:val="none"/>
                <w:lang w:eastAsia="zh-CN"/>
              </w:rPr>
              <w:t>、</w:t>
            </w:r>
            <w:r>
              <w:rPr>
                <w:b/>
                <w:bCs/>
                <w:color w:val="auto"/>
                <w:sz w:val="24"/>
                <w:szCs w:val="32"/>
                <w:highlight w:val="none"/>
              </w:rPr>
              <w:t>声环境</w:t>
            </w:r>
          </w:p>
          <w:p w14:paraId="1D8079CA">
            <w:pPr>
              <w:keepNext w:val="0"/>
              <w:keepLines w:val="0"/>
              <w:pageBreakBefore w:val="0"/>
              <w:widowControl w:val="0"/>
              <w:kinsoku/>
              <w:wordWrap/>
              <w:overflowPunct/>
              <w:topLinePunct w:val="0"/>
              <w:autoSpaceDE/>
              <w:autoSpaceDN/>
              <w:bidi w:val="0"/>
              <w:spacing w:line="440" w:lineRule="exact"/>
              <w:ind w:firstLine="480" w:firstLineChars="200"/>
              <w:textAlignment w:val="auto"/>
              <w:rPr>
                <w:color w:val="auto"/>
                <w:kern w:val="0"/>
                <w:sz w:val="24"/>
                <w:highlight w:val="none"/>
                <w:lang w:bidi="ar"/>
              </w:rPr>
            </w:pPr>
            <w:r>
              <w:rPr>
                <w:rFonts w:hint="eastAsia"/>
                <w:color w:val="auto"/>
                <w:kern w:val="0"/>
                <w:sz w:val="24"/>
                <w:highlight w:val="none"/>
                <w:lang w:bidi="ar"/>
              </w:rPr>
              <w:t>扩建后，整个厂区</w:t>
            </w:r>
            <w:r>
              <w:rPr>
                <w:color w:val="auto"/>
                <w:kern w:val="0"/>
                <w:sz w:val="24"/>
                <w:highlight w:val="none"/>
                <w:lang w:bidi="ar"/>
              </w:rPr>
              <w:t>厂界外50米范围内</w:t>
            </w:r>
            <w:r>
              <w:rPr>
                <w:rFonts w:hint="eastAsia"/>
                <w:color w:val="auto"/>
                <w:kern w:val="0"/>
                <w:sz w:val="24"/>
                <w:highlight w:val="none"/>
                <w:lang w:bidi="ar"/>
              </w:rPr>
              <w:t>无</w:t>
            </w:r>
            <w:r>
              <w:rPr>
                <w:color w:val="auto"/>
                <w:kern w:val="0"/>
                <w:sz w:val="24"/>
                <w:highlight w:val="none"/>
                <w:lang w:bidi="ar"/>
              </w:rPr>
              <w:t>声环境保护目标。</w:t>
            </w:r>
          </w:p>
          <w:p w14:paraId="64CD01F0">
            <w:pPr>
              <w:keepNext w:val="0"/>
              <w:keepLines w:val="0"/>
              <w:pageBreakBefore w:val="0"/>
              <w:widowControl w:val="0"/>
              <w:kinsoku/>
              <w:wordWrap/>
              <w:overflowPunct/>
              <w:topLinePunct w:val="0"/>
              <w:autoSpaceDE/>
              <w:autoSpaceDN/>
              <w:bidi w:val="0"/>
              <w:adjustRightInd w:val="0"/>
              <w:snapToGrid w:val="0"/>
              <w:spacing w:line="440" w:lineRule="exact"/>
              <w:textAlignment w:val="auto"/>
              <w:rPr>
                <w:b/>
                <w:bCs/>
                <w:color w:val="auto"/>
                <w:sz w:val="24"/>
                <w:szCs w:val="32"/>
                <w:highlight w:val="none"/>
              </w:rPr>
            </w:pPr>
            <w:r>
              <w:rPr>
                <w:rFonts w:hint="eastAsia"/>
                <w:b/>
                <w:bCs/>
                <w:color w:val="auto"/>
                <w:sz w:val="24"/>
                <w:szCs w:val="32"/>
                <w:highlight w:val="none"/>
              </w:rPr>
              <w:t>3</w:t>
            </w:r>
            <w:r>
              <w:rPr>
                <w:rFonts w:hint="eastAsia"/>
                <w:b/>
                <w:bCs/>
                <w:color w:val="auto"/>
                <w:sz w:val="24"/>
                <w:szCs w:val="32"/>
                <w:highlight w:val="none"/>
                <w:lang w:eastAsia="zh-CN"/>
              </w:rPr>
              <w:t>、</w:t>
            </w:r>
            <w:r>
              <w:rPr>
                <w:b/>
                <w:bCs/>
                <w:color w:val="auto"/>
                <w:sz w:val="24"/>
                <w:szCs w:val="32"/>
                <w:highlight w:val="none"/>
              </w:rPr>
              <w:t>地</w:t>
            </w:r>
            <w:r>
              <w:rPr>
                <w:rFonts w:hint="eastAsia"/>
                <w:b/>
                <w:bCs/>
                <w:color w:val="auto"/>
                <w:sz w:val="24"/>
                <w:szCs w:val="32"/>
                <w:highlight w:val="none"/>
              </w:rPr>
              <w:t>表</w:t>
            </w:r>
            <w:r>
              <w:rPr>
                <w:b/>
                <w:bCs/>
                <w:color w:val="auto"/>
                <w:sz w:val="24"/>
                <w:szCs w:val="32"/>
                <w:highlight w:val="none"/>
              </w:rPr>
              <w:t>水环境</w:t>
            </w:r>
          </w:p>
          <w:p w14:paraId="27D03FF0">
            <w:pPr>
              <w:keepNext w:val="0"/>
              <w:keepLines w:val="0"/>
              <w:pageBreakBefore w:val="0"/>
              <w:widowControl w:val="0"/>
              <w:kinsoku/>
              <w:wordWrap/>
              <w:overflowPunct/>
              <w:topLinePunct w:val="0"/>
              <w:autoSpaceDE/>
              <w:autoSpaceDN/>
              <w:bidi w:val="0"/>
              <w:spacing w:line="440" w:lineRule="exact"/>
              <w:ind w:firstLine="480" w:firstLineChars="200"/>
              <w:textAlignment w:val="auto"/>
              <w:rPr>
                <w:color w:val="auto"/>
                <w:kern w:val="0"/>
                <w:sz w:val="24"/>
                <w:highlight w:val="none"/>
                <w:lang w:bidi="ar"/>
              </w:rPr>
            </w:pPr>
            <w:r>
              <w:rPr>
                <w:rFonts w:hint="eastAsia"/>
                <w:color w:val="auto"/>
                <w:kern w:val="0"/>
                <w:sz w:val="24"/>
                <w:highlight w:val="none"/>
                <w:lang w:bidi="ar"/>
              </w:rPr>
              <w:t>扩建后，</w:t>
            </w:r>
            <w:r>
              <w:rPr>
                <w:color w:val="auto"/>
                <w:kern w:val="0"/>
                <w:sz w:val="24"/>
                <w:highlight w:val="none"/>
                <w:lang w:bidi="ar"/>
              </w:rPr>
              <w:t>项目</w:t>
            </w:r>
            <w:r>
              <w:rPr>
                <w:rFonts w:hint="eastAsia"/>
                <w:color w:val="auto"/>
                <w:kern w:val="0"/>
                <w:sz w:val="24"/>
                <w:highlight w:val="none"/>
                <w:lang w:bidi="ar"/>
              </w:rPr>
              <w:t>距</w:t>
            </w:r>
            <w:r>
              <w:rPr>
                <w:color w:val="auto"/>
                <w:kern w:val="0"/>
                <w:sz w:val="24"/>
                <w:highlight w:val="none"/>
                <w:lang w:bidi="ar"/>
              </w:rPr>
              <w:t>离</w:t>
            </w:r>
            <w:r>
              <w:rPr>
                <w:rFonts w:hint="eastAsia"/>
                <w:color w:val="auto"/>
                <w:kern w:val="0"/>
                <w:sz w:val="24"/>
                <w:highlight w:val="none"/>
                <w:lang w:bidi="ar"/>
              </w:rPr>
              <w:t>东侧</w:t>
            </w:r>
            <w:r>
              <w:rPr>
                <w:rFonts w:hint="eastAsia"/>
                <w:color w:val="auto"/>
                <w:sz w:val="24"/>
                <w:highlight w:val="none"/>
              </w:rPr>
              <w:t>牛栏江约19</w:t>
            </w:r>
            <w:r>
              <w:rPr>
                <w:rFonts w:hint="eastAsia"/>
                <w:color w:val="auto"/>
                <w:sz w:val="24"/>
                <w:highlight w:val="none"/>
                <w:lang w:val="en-US" w:eastAsia="zh-CN"/>
              </w:rPr>
              <w:t>80</w:t>
            </w:r>
            <w:r>
              <w:rPr>
                <w:rFonts w:hint="eastAsia"/>
                <w:color w:val="auto"/>
                <w:sz w:val="24"/>
                <w:highlight w:val="none"/>
              </w:rPr>
              <w:t>m</w:t>
            </w:r>
            <w:r>
              <w:rPr>
                <w:color w:val="auto"/>
                <w:kern w:val="0"/>
                <w:sz w:val="24"/>
                <w:highlight w:val="none"/>
                <w:lang w:bidi="ar"/>
              </w:rPr>
              <w:t>，把</w:t>
            </w:r>
            <w:r>
              <w:rPr>
                <w:rFonts w:hint="eastAsia"/>
                <w:color w:val="auto"/>
                <w:sz w:val="24"/>
                <w:highlight w:val="none"/>
              </w:rPr>
              <w:t>牛栏江</w:t>
            </w:r>
            <w:r>
              <w:rPr>
                <w:color w:val="auto"/>
                <w:kern w:val="0"/>
                <w:sz w:val="24"/>
                <w:highlight w:val="none"/>
                <w:lang w:bidi="ar"/>
              </w:rPr>
              <w:t>列入地表水环境保护目标</w:t>
            </w:r>
            <w:r>
              <w:rPr>
                <w:rFonts w:hint="eastAsia"/>
                <w:color w:val="auto"/>
                <w:kern w:val="0"/>
                <w:sz w:val="24"/>
                <w:highlight w:val="none"/>
                <w:lang w:bidi="ar"/>
              </w:rPr>
              <w:t>，详见表3-</w:t>
            </w:r>
            <w:r>
              <w:rPr>
                <w:rFonts w:hint="eastAsia"/>
                <w:color w:val="auto"/>
                <w:kern w:val="0"/>
                <w:sz w:val="24"/>
                <w:highlight w:val="none"/>
                <w:lang w:val="en-US" w:eastAsia="zh-CN" w:bidi="ar"/>
              </w:rPr>
              <w:t>9</w:t>
            </w:r>
            <w:r>
              <w:rPr>
                <w:color w:val="auto"/>
                <w:kern w:val="0"/>
                <w:sz w:val="24"/>
                <w:highlight w:val="none"/>
                <w:lang w:bidi="ar"/>
              </w:rPr>
              <w:t>。</w:t>
            </w:r>
          </w:p>
          <w:p w14:paraId="7B31954D">
            <w:pPr>
              <w:keepNext w:val="0"/>
              <w:keepLines w:val="0"/>
              <w:pageBreakBefore w:val="0"/>
              <w:widowControl w:val="0"/>
              <w:kinsoku/>
              <w:wordWrap/>
              <w:overflowPunct/>
              <w:topLinePunct w:val="0"/>
              <w:autoSpaceDE/>
              <w:autoSpaceDN/>
              <w:bidi w:val="0"/>
              <w:adjustRightInd w:val="0"/>
              <w:snapToGrid w:val="0"/>
              <w:spacing w:line="440" w:lineRule="exact"/>
              <w:textAlignment w:val="auto"/>
              <w:rPr>
                <w:b/>
                <w:bCs/>
                <w:color w:val="auto"/>
                <w:sz w:val="24"/>
                <w:szCs w:val="32"/>
                <w:highlight w:val="none"/>
              </w:rPr>
            </w:pPr>
            <w:r>
              <w:rPr>
                <w:rFonts w:hint="eastAsia"/>
                <w:b/>
                <w:bCs/>
                <w:color w:val="auto"/>
                <w:sz w:val="24"/>
                <w:szCs w:val="32"/>
                <w:highlight w:val="none"/>
              </w:rPr>
              <w:t>4</w:t>
            </w:r>
            <w:r>
              <w:rPr>
                <w:rFonts w:hint="eastAsia"/>
                <w:b/>
                <w:bCs/>
                <w:color w:val="auto"/>
                <w:sz w:val="24"/>
                <w:szCs w:val="32"/>
                <w:highlight w:val="none"/>
                <w:lang w:eastAsia="zh-CN"/>
              </w:rPr>
              <w:t>、</w:t>
            </w:r>
            <w:r>
              <w:rPr>
                <w:b/>
                <w:bCs/>
                <w:color w:val="auto"/>
                <w:sz w:val="24"/>
                <w:szCs w:val="32"/>
                <w:highlight w:val="none"/>
              </w:rPr>
              <w:t>地</w:t>
            </w:r>
            <w:r>
              <w:rPr>
                <w:rFonts w:hint="eastAsia"/>
                <w:b/>
                <w:bCs/>
                <w:color w:val="auto"/>
                <w:sz w:val="24"/>
                <w:szCs w:val="32"/>
                <w:highlight w:val="none"/>
              </w:rPr>
              <w:t>下</w:t>
            </w:r>
            <w:r>
              <w:rPr>
                <w:b/>
                <w:bCs/>
                <w:color w:val="auto"/>
                <w:sz w:val="24"/>
                <w:szCs w:val="32"/>
                <w:highlight w:val="none"/>
              </w:rPr>
              <w:t>水环境</w:t>
            </w:r>
          </w:p>
          <w:p w14:paraId="3839B73D">
            <w:pPr>
              <w:keepNext w:val="0"/>
              <w:keepLines w:val="0"/>
              <w:pageBreakBefore w:val="0"/>
              <w:widowControl w:val="0"/>
              <w:kinsoku/>
              <w:wordWrap/>
              <w:overflowPunct/>
              <w:topLinePunct w:val="0"/>
              <w:autoSpaceDE/>
              <w:autoSpaceDN/>
              <w:bidi w:val="0"/>
              <w:spacing w:line="440" w:lineRule="exact"/>
              <w:ind w:firstLine="480" w:firstLineChars="200"/>
              <w:textAlignment w:val="auto"/>
              <w:rPr>
                <w:color w:val="auto"/>
                <w:kern w:val="0"/>
                <w:sz w:val="24"/>
                <w:highlight w:val="none"/>
                <w:lang w:bidi="ar"/>
              </w:rPr>
            </w:pPr>
            <w:r>
              <w:rPr>
                <w:rFonts w:hint="eastAsia"/>
                <w:color w:val="auto"/>
                <w:kern w:val="0"/>
                <w:sz w:val="24"/>
                <w:highlight w:val="none"/>
                <w:lang w:bidi="ar"/>
              </w:rPr>
              <w:t>项目厂界外500m范围内均无集中式饮用水源和热水、矿泉水、温泉等特殊地下水资源。扩建后，地下水环境保护目标为项目所在区域水文地质单元潜水含水层。</w:t>
            </w:r>
          </w:p>
          <w:p w14:paraId="19377A33">
            <w:pPr>
              <w:keepNext w:val="0"/>
              <w:keepLines w:val="0"/>
              <w:pageBreakBefore w:val="0"/>
              <w:widowControl w:val="0"/>
              <w:kinsoku/>
              <w:wordWrap/>
              <w:overflowPunct/>
              <w:topLinePunct w:val="0"/>
              <w:autoSpaceDE/>
              <w:autoSpaceDN/>
              <w:bidi w:val="0"/>
              <w:adjustRightInd w:val="0"/>
              <w:snapToGrid w:val="0"/>
              <w:spacing w:line="440" w:lineRule="exact"/>
              <w:textAlignment w:val="auto"/>
              <w:rPr>
                <w:b/>
                <w:bCs/>
                <w:color w:val="auto"/>
                <w:sz w:val="24"/>
                <w:szCs w:val="32"/>
                <w:highlight w:val="none"/>
              </w:rPr>
            </w:pPr>
            <w:r>
              <w:rPr>
                <w:rFonts w:hint="eastAsia"/>
                <w:b/>
                <w:bCs/>
                <w:color w:val="auto"/>
                <w:sz w:val="24"/>
                <w:szCs w:val="32"/>
                <w:highlight w:val="none"/>
              </w:rPr>
              <w:t>5</w:t>
            </w:r>
            <w:r>
              <w:rPr>
                <w:rFonts w:hint="eastAsia"/>
                <w:b/>
                <w:bCs/>
                <w:color w:val="auto"/>
                <w:sz w:val="24"/>
                <w:szCs w:val="32"/>
                <w:highlight w:val="none"/>
                <w:lang w:eastAsia="zh-CN"/>
              </w:rPr>
              <w:t>、</w:t>
            </w:r>
            <w:r>
              <w:rPr>
                <w:rFonts w:hint="eastAsia"/>
                <w:b/>
                <w:bCs/>
                <w:color w:val="auto"/>
                <w:sz w:val="24"/>
                <w:szCs w:val="32"/>
                <w:highlight w:val="none"/>
              </w:rPr>
              <w:t>土壤</w:t>
            </w:r>
            <w:r>
              <w:rPr>
                <w:b/>
                <w:bCs/>
                <w:color w:val="auto"/>
                <w:sz w:val="24"/>
                <w:szCs w:val="32"/>
                <w:highlight w:val="none"/>
              </w:rPr>
              <w:t>环境</w:t>
            </w:r>
          </w:p>
          <w:p w14:paraId="0057C49B">
            <w:pPr>
              <w:keepNext w:val="0"/>
              <w:keepLines w:val="0"/>
              <w:pageBreakBefore w:val="0"/>
              <w:widowControl w:val="0"/>
              <w:kinsoku/>
              <w:wordWrap/>
              <w:overflowPunct/>
              <w:topLinePunct w:val="0"/>
              <w:autoSpaceDE/>
              <w:autoSpaceDN/>
              <w:bidi w:val="0"/>
              <w:spacing w:line="440" w:lineRule="exact"/>
              <w:ind w:firstLine="480" w:firstLineChars="200"/>
              <w:textAlignment w:val="auto"/>
              <w:rPr>
                <w:color w:val="auto"/>
                <w:sz w:val="24"/>
                <w:szCs w:val="32"/>
                <w:highlight w:val="none"/>
              </w:rPr>
            </w:pPr>
            <w:r>
              <w:rPr>
                <w:rFonts w:hint="eastAsia"/>
                <w:color w:val="auto"/>
                <w:sz w:val="24"/>
                <w:szCs w:val="32"/>
                <w:highlight w:val="none"/>
              </w:rPr>
              <w:t>扩建后，土壤环境保护目标为项目所在地及周边50m的土壤环境。</w:t>
            </w:r>
          </w:p>
          <w:p w14:paraId="421E2C20">
            <w:pPr>
              <w:keepNext w:val="0"/>
              <w:keepLines w:val="0"/>
              <w:pageBreakBefore w:val="0"/>
              <w:widowControl w:val="0"/>
              <w:kinsoku/>
              <w:wordWrap/>
              <w:overflowPunct/>
              <w:topLinePunct w:val="0"/>
              <w:autoSpaceDE/>
              <w:autoSpaceDN/>
              <w:bidi w:val="0"/>
              <w:adjustRightInd w:val="0"/>
              <w:snapToGrid w:val="0"/>
              <w:spacing w:line="440" w:lineRule="exact"/>
              <w:textAlignment w:val="auto"/>
              <w:rPr>
                <w:b/>
                <w:bCs/>
                <w:color w:val="auto"/>
                <w:sz w:val="24"/>
                <w:szCs w:val="32"/>
                <w:highlight w:val="none"/>
              </w:rPr>
            </w:pPr>
            <w:r>
              <w:rPr>
                <w:rFonts w:hint="eastAsia"/>
                <w:b/>
                <w:bCs/>
                <w:color w:val="auto"/>
                <w:sz w:val="24"/>
                <w:szCs w:val="32"/>
                <w:highlight w:val="none"/>
              </w:rPr>
              <w:t>6</w:t>
            </w:r>
            <w:r>
              <w:rPr>
                <w:rFonts w:hint="eastAsia"/>
                <w:b/>
                <w:bCs/>
                <w:color w:val="auto"/>
                <w:sz w:val="24"/>
                <w:szCs w:val="32"/>
                <w:highlight w:val="none"/>
                <w:lang w:eastAsia="zh-CN"/>
              </w:rPr>
              <w:t>、</w:t>
            </w:r>
            <w:r>
              <w:rPr>
                <w:rFonts w:hint="eastAsia"/>
                <w:b/>
                <w:bCs/>
                <w:color w:val="auto"/>
                <w:sz w:val="24"/>
                <w:szCs w:val="32"/>
                <w:highlight w:val="none"/>
              </w:rPr>
              <w:t>生态</w:t>
            </w:r>
            <w:r>
              <w:rPr>
                <w:b/>
                <w:bCs/>
                <w:color w:val="auto"/>
                <w:sz w:val="24"/>
                <w:szCs w:val="32"/>
                <w:highlight w:val="none"/>
              </w:rPr>
              <w:t>环境</w:t>
            </w:r>
          </w:p>
          <w:p w14:paraId="1A8F9BD9">
            <w:pPr>
              <w:keepNext w:val="0"/>
              <w:keepLines w:val="0"/>
              <w:pageBreakBefore w:val="0"/>
              <w:widowControl w:val="0"/>
              <w:kinsoku/>
              <w:wordWrap/>
              <w:overflowPunct/>
              <w:topLinePunct w:val="0"/>
              <w:autoSpaceDE/>
              <w:autoSpaceDN/>
              <w:bidi w:val="0"/>
              <w:spacing w:line="440" w:lineRule="exact"/>
              <w:ind w:firstLine="480" w:firstLineChars="200"/>
              <w:textAlignment w:val="auto"/>
              <w:rPr>
                <w:color w:val="auto"/>
                <w:sz w:val="24"/>
                <w:highlight w:val="none"/>
              </w:rPr>
            </w:pPr>
            <w:r>
              <w:rPr>
                <w:rFonts w:hint="eastAsia"/>
                <w:color w:val="auto"/>
                <w:sz w:val="24"/>
                <w:szCs w:val="32"/>
                <w:highlight w:val="none"/>
              </w:rPr>
              <w:t>扩建后，生态环境保护目标为项目所在地及周边500m的动植物及水土流失。</w:t>
            </w:r>
          </w:p>
          <w:p w14:paraId="125A9BFE">
            <w:pPr>
              <w:keepNext w:val="0"/>
              <w:keepLines w:val="0"/>
              <w:pageBreakBefore w:val="0"/>
              <w:widowControl w:val="0"/>
              <w:kinsoku/>
              <w:wordWrap/>
              <w:overflowPunct/>
              <w:topLinePunct w:val="0"/>
              <w:autoSpaceDE/>
              <w:autoSpaceDN/>
              <w:bidi w:val="0"/>
              <w:spacing w:line="440" w:lineRule="exact"/>
              <w:ind w:firstLine="480" w:firstLineChars="200"/>
              <w:textAlignment w:val="auto"/>
              <w:rPr>
                <w:b/>
                <w:color w:val="auto"/>
                <w:kern w:val="0"/>
                <w:szCs w:val="21"/>
                <w:highlight w:val="none"/>
              </w:rPr>
            </w:pPr>
            <w:r>
              <w:rPr>
                <w:color w:val="auto"/>
                <w:kern w:val="0"/>
                <w:sz w:val="24"/>
                <w:highlight w:val="none"/>
              </w:rPr>
              <w:t>项目</w:t>
            </w:r>
            <w:r>
              <w:rPr>
                <w:rFonts w:hint="eastAsia"/>
                <w:color w:val="auto"/>
                <w:kern w:val="0"/>
                <w:sz w:val="24"/>
                <w:highlight w:val="none"/>
              </w:rPr>
              <w:t>周边</w:t>
            </w:r>
            <w:r>
              <w:rPr>
                <w:color w:val="auto"/>
                <w:kern w:val="0"/>
                <w:sz w:val="24"/>
                <w:highlight w:val="none"/>
              </w:rPr>
              <w:t>主要环境保护目标详见表3-</w:t>
            </w:r>
            <w:r>
              <w:rPr>
                <w:rFonts w:hint="eastAsia"/>
                <w:color w:val="auto"/>
                <w:kern w:val="0"/>
                <w:sz w:val="24"/>
                <w:highlight w:val="none"/>
              </w:rPr>
              <w:t>9</w:t>
            </w:r>
            <w:r>
              <w:rPr>
                <w:color w:val="auto"/>
                <w:kern w:val="0"/>
                <w:sz w:val="24"/>
                <w:highlight w:val="none"/>
              </w:rPr>
              <w:t>。</w:t>
            </w:r>
          </w:p>
          <w:p w14:paraId="391F0F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color w:val="auto"/>
                <w:kern w:val="0"/>
                <w:szCs w:val="21"/>
                <w:highlight w:val="none"/>
              </w:rPr>
            </w:pPr>
            <w:r>
              <w:rPr>
                <w:b/>
                <w:color w:val="auto"/>
                <w:kern w:val="0"/>
                <w:szCs w:val="21"/>
                <w:highlight w:val="none"/>
              </w:rPr>
              <w:t xml:space="preserve">表3-9 </w:t>
            </w:r>
            <w:r>
              <w:rPr>
                <w:rFonts w:hint="eastAsia"/>
                <w:b/>
                <w:color w:val="auto"/>
                <w:kern w:val="0"/>
                <w:szCs w:val="21"/>
                <w:highlight w:val="none"/>
                <w:lang w:val="en-US" w:eastAsia="zh-CN"/>
              </w:rPr>
              <w:t xml:space="preserve"> </w:t>
            </w:r>
            <w:r>
              <w:rPr>
                <w:b/>
                <w:color w:val="auto"/>
                <w:kern w:val="0"/>
                <w:szCs w:val="21"/>
                <w:highlight w:val="none"/>
              </w:rPr>
              <w:t>项目周围环境保护目标一览表</w:t>
            </w:r>
          </w:p>
          <w:tbl>
            <w:tblPr>
              <w:tblStyle w:val="26"/>
              <w:tblW w:w="85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936"/>
              <w:gridCol w:w="1620"/>
              <w:gridCol w:w="1344"/>
              <w:gridCol w:w="684"/>
              <w:gridCol w:w="948"/>
              <w:gridCol w:w="688"/>
              <w:gridCol w:w="668"/>
              <w:gridCol w:w="940"/>
            </w:tblGrid>
            <w:tr w14:paraId="588B8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82" w:type="dxa"/>
                  <w:vMerge w:val="restart"/>
                  <w:vAlign w:val="center"/>
                </w:tcPr>
                <w:p w14:paraId="77A946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环境</w:t>
                  </w:r>
                </w:p>
                <w:p w14:paraId="340B10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要素</w:t>
                  </w:r>
                </w:p>
              </w:tc>
              <w:tc>
                <w:tcPr>
                  <w:tcW w:w="936" w:type="dxa"/>
                  <w:vMerge w:val="restart"/>
                  <w:vAlign w:val="center"/>
                </w:tcPr>
                <w:p w14:paraId="2775C1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名称</w:t>
                  </w:r>
                </w:p>
              </w:tc>
              <w:tc>
                <w:tcPr>
                  <w:tcW w:w="2964" w:type="dxa"/>
                  <w:gridSpan w:val="2"/>
                  <w:vAlign w:val="center"/>
                </w:tcPr>
                <w:p w14:paraId="6B7B5F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坐标</w:t>
                  </w:r>
                </w:p>
              </w:tc>
              <w:tc>
                <w:tcPr>
                  <w:tcW w:w="684" w:type="dxa"/>
                  <w:vMerge w:val="restart"/>
                  <w:vAlign w:val="center"/>
                </w:tcPr>
                <w:p w14:paraId="068516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保护对象</w:t>
                  </w:r>
                </w:p>
              </w:tc>
              <w:tc>
                <w:tcPr>
                  <w:tcW w:w="948" w:type="dxa"/>
                  <w:vMerge w:val="restart"/>
                  <w:vAlign w:val="center"/>
                </w:tcPr>
                <w:p w14:paraId="3AC625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保护</w:t>
                  </w:r>
                </w:p>
                <w:p w14:paraId="5E900B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内容</w:t>
                  </w:r>
                </w:p>
              </w:tc>
              <w:tc>
                <w:tcPr>
                  <w:tcW w:w="688" w:type="dxa"/>
                  <w:vMerge w:val="restart"/>
                  <w:vAlign w:val="center"/>
                </w:tcPr>
                <w:p w14:paraId="570B77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环境</w:t>
                  </w:r>
                </w:p>
                <w:p w14:paraId="6DE221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功能区</w:t>
                  </w:r>
                </w:p>
              </w:tc>
              <w:tc>
                <w:tcPr>
                  <w:tcW w:w="668" w:type="dxa"/>
                  <w:vMerge w:val="restart"/>
                  <w:vAlign w:val="center"/>
                </w:tcPr>
                <w:p w14:paraId="173B9D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相对厂址方位</w:t>
                  </w:r>
                </w:p>
              </w:tc>
              <w:tc>
                <w:tcPr>
                  <w:tcW w:w="940" w:type="dxa"/>
                  <w:vMerge w:val="restart"/>
                  <w:vAlign w:val="center"/>
                </w:tcPr>
                <w:p w14:paraId="651102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相对厂界距离/m</w:t>
                  </w:r>
                </w:p>
              </w:tc>
            </w:tr>
            <w:tr w14:paraId="2446E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B4C4B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c>
                <w:tcPr>
                  <w:tcW w:w="936" w:type="dxa"/>
                  <w:vMerge w:val="continue"/>
                  <w:vAlign w:val="center"/>
                </w:tcPr>
                <w:p w14:paraId="38ECF9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c>
                <w:tcPr>
                  <w:tcW w:w="1620" w:type="dxa"/>
                  <w:vAlign w:val="center"/>
                </w:tcPr>
                <w:p w14:paraId="762403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iCs/>
                      <w:color w:val="auto"/>
                      <w:szCs w:val="21"/>
                      <w:highlight w:val="none"/>
                    </w:rPr>
                  </w:pPr>
                  <w:r>
                    <w:rPr>
                      <w:b/>
                      <w:bCs/>
                      <w:iCs/>
                      <w:color w:val="auto"/>
                      <w:szCs w:val="21"/>
                      <w:highlight w:val="none"/>
                    </w:rPr>
                    <w:t>经度</w:t>
                  </w:r>
                </w:p>
              </w:tc>
              <w:tc>
                <w:tcPr>
                  <w:tcW w:w="1344" w:type="dxa"/>
                  <w:vAlign w:val="center"/>
                </w:tcPr>
                <w:p w14:paraId="5EA3E5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iCs/>
                      <w:color w:val="auto"/>
                      <w:szCs w:val="21"/>
                      <w:highlight w:val="none"/>
                    </w:rPr>
                  </w:pPr>
                  <w:r>
                    <w:rPr>
                      <w:b/>
                      <w:bCs/>
                      <w:iCs/>
                      <w:color w:val="auto"/>
                      <w:szCs w:val="21"/>
                      <w:highlight w:val="none"/>
                    </w:rPr>
                    <w:t>纬度</w:t>
                  </w:r>
                </w:p>
              </w:tc>
              <w:tc>
                <w:tcPr>
                  <w:tcW w:w="684" w:type="dxa"/>
                  <w:vMerge w:val="continue"/>
                  <w:vAlign w:val="center"/>
                </w:tcPr>
                <w:p w14:paraId="50AA4F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c>
                <w:tcPr>
                  <w:tcW w:w="948" w:type="dxa"/>
                  <w:vMerge w:val="continue"/>
                  <w:vAlign w:val="center"/>
                </w:tcPr>
                <w:p w14:paraId="30C175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c>
                <w:tcPr>
                  <w:tcW w:w="688" w:type="dxa"/>
                  <w:vMerge w:val="continue"/>
                  <w:vAlign w:val="center"/>
                </w:tcPr>
                <w:p w14:paraId="08D5D9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c>
                <w:tcPr>
                  <w:tcW w:w="668" w:type="dxa"/>
                  <w:vMerge w:val="continue"/>
                  <w:vAlign w:val="center"/>
                </w:tcPr>
                <w:p w14:paraId="0F01B8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c>
                <w:tcPr>
                  <w:tcW w:w="940" w:type="dxa"/>
                  <w:vMerge w:val="continue"/>
                  <w:vAlign w:val="center"/>
                </w:tcPr>
                <w:p w14:paraId="500D2B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r>
            <w:tr w14:paraId="23C3A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710703F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大气</w:t>
                  </w:r>
                </w:p>
                <w:p w14:paraId="4F239F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环境</w:t>
                  </w:r>
                </w:p>
              </w:tc>
              <w:tc>
                <w:tcPr>
                  <w:tcW w:w="936" w:type="dxa"/>
                  <w:vAlign w:val="center"/>
                </w:tcPr>
                <w:p w14:paraId="24A442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散户</w:t>
                  </w:r>
                </w:p>
              </w:tc>
              <w:tc>
                <w:tcPr>
                  <w:tcW w:w="1620" w:type="dxa"/>
                  <w:vAlign w:val="center"/>
                </w:tcPr>
                <w:p w14:paraId="4C894241">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kern w:val="1"/>
                      <w:szCs w:val="21"/>
                      <w:highlight w:val="none"/>
                    </w:rPr>
                    <w:t>10</w:t>
                  </w:r>
                  <w:r>
                    <w:rPr>
                      <w:rFonts w:hint="eastAsia"/>
                      <w:color w:val="auto"/>
                      <w:kern w:val="1"/>
                      <w:szCs w:val="21"/>
                      <w:highlight w:val="none"/>
                    </w:rPr>
                    <w:t>3</w:t>
                  </w:r>
                  <w:r>
                    <w:rPr>
                      <w:color w:val="auto"/>
                      <w:kern w:val="1"/>
                      <w:szCs w:val="21"/>
                      <w:highlight w:val="none"/>
                    </w:rPr>
                    <w:t>°</w:t>
                  </w:r>
                  <w:r>
                    <w:rPr>
                      <w:rFonts w:hint="eastAsia"/>
                      <w:color w:val="auto"/>
                      <w:kern w:val="1"/>
                      <w:szCs w:val="21"/>
                      <w:highlight w:val="none"/>
                    </w:rPr>
                    <w:t>18</w:t>
                  </w:r>
                  <w:r>
                    <w:rPr>
                      <w:color w:val="auto"/>
                      <w:kern w:val="1"/>
                      <w:szCs w:val="21"/>
                      <w:highlight w:val="none"/>
                    </w:rPr>
                    <w:t>'</w:t>
                  </w:r>
                  <w:r>
                    <w:rPr>
                      <w:rFonts w:hint="eastAsia"/>
                      <w:color w:val="auto"/>
                      <w:kern w:val="1"/>
                      <w:szCs w:val="21"/>
                      <w:highlight w:val="none"/>
                    </w:rPr>
                    <w:t>30.558</w:t>
                  </w:r>
                  <w:r>
                    <w:rPr>
                      <w:color w:val="auto"/>
                      <w:kern w:val="1"/>
                      <w:szCs w:val="21"/>
                      <w:highlight w:val="none"/>
                    </w:rPr>
                    <w:t>"</w:t>
                  </w:r>
                </w:p>
              </w:tc>
              <w:tc>
                <w:tcPr>
                  <w:tcW w:w="1344" w:type="dxa"/>
                  <w:vAlign w:val="center"/>
                </w:tcPr>
                <w:p w14:paraId="48BF8AC9">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kern w:val="1"/>
                      <w:szCs w:val="21"/>
                      <w:highlight w:val="none"/>
                    </w:rPr>
                    <w:t>2</w:t>
                  </w:r>
                  <w:r>
                    <w:rPr>
                      <w:rFonts w:hint="eastAsia"/>
                      <w:color w:val="auto"/>
                      <w:kern w:val="1"/>
                      <w:szCs w:val="21"/>
                      <w:highlight w:val="none"/>
                    </w:rPr>
                    <w:t>5</w:t>
                  </w:r>
                  <w:r>
                    <w:rPr>
                      <w:color w:val="auto"/>
                      <w:kern w:val="1"/>
                      <w:szCs w:val="21"/>
                      <w:highlight w:val="none"/>
                    </w:rPr>
                    <w:t>°</w:t>
                  </w:r>
                  <w:r>
                    <w:rPr>
                      <w:rFonts w:hint="eastAsia"/>
                      <w:color w:val="auto"/>
                      <w:kern w:val="1"/>
                      <w:szCs w:val="21"/>
                      <w:highlight w:val="none"/>
                    </w:rPr>
                    <w:t>34</w:t>
                  </w:r>
                  <w:r>
                    <w:rPr>
                      <w:color w:val="auto"/>
                      <w:kern w:val="1"/>
                      <w:szCs w:val="21"/>
                      <w:highlight w:val="none"/>
                    </w:rPr>
                    <w:t>'</w:t>
                  </w:r>
                  <w:r>
                    <w:rPr>
                      <w:rFonts w:hint="eastAsia"/>
                      <w:color w:val="auto"/>
                      <w:kern w:val="1"/>
                      <w:szCs w:val="21"/>
                      <w:highlight w:val="none"/>
                    </w:rPr>
                    <w:t>2.325</w:t>
                  </w:r>
                  <w:r>
                    <w:rPr>
                      <w:color w:val="auto"/>
                      <w:kern w:val="1"/>
                      <w:szCs w:val="21"/>
                      <w:highlight w:val="none"/>
                    </w:rPr>
                    <w:t>"</w:t>
                  </w:r>
                </w:p>
              </w:tc>
              <w:tc>
                <w:tcPr>
                  <w:tcW w:w="684" w:type="dxa"/>
                  <w:vMerge w:val="restart"/>
                  <w:vAlign w:val="center"/>
                </w:tcPr>
                <w:p w14:paraId="773C0C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居住区</w:t>
                  </w:r>
                </w:p>
              </w:tc>
              <w:tc>
                <w:tcPr>
                  <w:tcW w:w="948" w:type="dxa"/>
                  <w:vAlign w:val="center"/>
                </w:tcPr>
                <w:p w14:paraId="55B194AF">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约2</w:t>
                  </w:r>
                  <w:r>
                    <w:rPr>
                      <w:color w:val="auto"/>
                      <w:szCs w:val="21"/>
                      <w:highlight w:val="none"/>
                    </w:rPr>
                    <w:t>0人</w:t>
                  </w:r>
                </w:p>
              </w:tc>
              <w:tc>
                <w:tcPr>
                  <w:tcW w:w="688" w:type="dxa"/>
                  <w:vMerge w:val="restart"/>
                  <w:vAlign w:val="center"/>
                </w:tcPr>
                <w:p w14:paraId="18A1D0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环境空气二类区</w:t>
                  </w:r>
                </w:p>
              </w:tc>
              <w:tc>
                <w:tcPr>
                  <w:tcW w:w="668" w:type="dxa"/>
                  <w:vAlign w:val="center"/>
                </w:tcPr>
                <w:p w14:paraId="12D4DA90">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西</w:t>
                  </w:r>
                  <w:r>
                    <w:rPr>
                      <w:rFonts w:hint="eastAsia"/>
                      <w:color w:val="auto"/>
                      <w:szCs w:val="21"/>
                      <w:highlight w:val="none"/>
                    </w:rPr>
                    <w:t>南</w:t>
                  </w:r>
                  <w:r>
                    <w:rPr>
                      <w:color w:val="auto"/>
                      <w:szCs w:val="21"/>
                      <w:highlight w:val="none"/>
                    </w:rPr>
                    <w:t>（W</w:t>
                  </w:r>
                  <w:r>
                    <w:rPr>
                      <w:rFonts w:hint="eastAsia"/>
                      <w:color w:val="auto"/>
                      <w:szCs w:val="21"/>
                      <w:highlight w:val="none"/>
                    </w:rPr>
                    <w:t>S</w:t>
                  </w:r>
                  <w:r>
                    <w:rPr>
                      <w:color w:val="auto"/>
                      <w:szCs w:val="21"/>
                      <w:highlight w:val="none"/>
                    </w:rPr>
                    <w:t>）</w:t>
                  </w:r>
                </w:p>
              </w:tc>
              <w:tc>
                <w:tcPr>
                  <w:tcW w:w="940" w:type="dxa"/>
                  <w:vAlign w:val="center"/>
                </w:tcPr>
                <w:p w14:paraId="0AD18A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74</w:t>
                  </w:r>
                </w:p>
              </w:tc>
            </w:tr>
            <w:tr w14:paraId="4F74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516C9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c>
                <w:tcPr>
                  <w:tcW w:w="936" w:type="dxa"/>
                  <w:vAlign w:val="center"/>
                </w:tcPr>
                <w:p w14:paraId="76473A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大法古</w:t>
                  </w:r>
                </w:p>
              </w:tc>
              <w:tc>
                <w:tcPr>
                  <w:tcW w:w="1620" w:type="dxa"/>
                  <w:vAlign w:val="center"/>
                </w:tcPr>
                <w:p w14:paraId="25972402">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kern w:val="1"/>
                      <w:szCs w:val="21"/>
                      <w:highlight w:val="none"/>
                    </w:rPr>
                    <w:t>10</w:t>
                  </w:r>
                  <w:r>
                    <w:rPr>
                      <w:rFonts w:hint="eastAsia"/>
                      <w:color w:val="auto"/>
                      <w:kern w:val="1"/>
                      <w:szCs w:val="21"/>
                      <w:highlight w:val="none"/>
                    </w:rPr>
                    <w:t>3</w:t>
                  </w:r>
                  <w:r>
                    <w:rPr>
                      <w:color w:val="auto"/>
                      <w:kern w:val="1"/>
                      <w:szCs w:val="21"/>
                      <w:highlight w:val="none"/>
                    </w:rPr>
                    <w:t>°</w:t>
                  </w:r>
                  <w:r>
                    <w:rPr>
                      <w:rFonts w:hint="eastAsia"/>
                      <w:color w:val="auto"/>
                      <w:kern w:val="1"/>
                      <w:szCs w:val="21"/>
                      <w:highlight w:val="none"/>
                    </w:rPr>
                    <w:t>18</w:t>
                  </w:r>
                  <w:r>
                    <w:rPr>
                      <w:color w:val="auto"/>
                      <w:kern w:val="1"/>
                      <w:szCs w:val="21"/>
                      <w:highlight w:val="none"/>
                    </w:rPr>
                    <w:t>'</w:t>
                  </w:r>
                  <w:r>
                    <w:rPr>
                      <w:rFonts w:hint="eastAsia"/>
                      <w:color w:val="auto"/>
                      <w:kern w:val="1"/>
                      <w:szCs w:val="21"/>
                      <w:highlight w:val="none"/>
                    </w:rPr>
                    <w:t>20.670</w:t>
                  </w:r>
                  <w:r>
                    <w:rPr>
                      <w:color w:val="auto"/>
                      <w:kern w:val="1"/>
                      <w:szCs w:val="21"/>
                      <w:highlight w:val="none"/>
                    </w:rPr>
                    <w:t>"</w:t>
                  </w:r>
                </w:p>
              </w:tc>
              <w:tc>
                <w:tcPr>
                  <w:tcW w:w="1344" w:type="dxa"/>
                  <w:vAlign w:val="center"/>
                </w:tcPr>
                <w:p w14:paraId="324D1DF2">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kern w:val="1"/>
                      <w:szCs w:val="21"/>
                      <w:highlight w:val="none"/>
                    </w:rPr>
                    <w:t>2</w:t>
                  </w:r>
                  <w:r>
                    <w:rPr>
                      <w:rFonts w:hint="eastAsia"/>
                      <w:color w:val="auto"/>
                      <w:kern w:val="1"/>
                      <w:szCs w:val="21"/>
                      <w:highlight w:val="none"/>
                    </w:rPr>
                    <w:t>5</w:t>
                  </w:r>
                  <w:r>
                    <w:rPr>
                      <w:color w:val="auto"/>
                      <w:kern w:val="1"/>
                      <w:szCs w:val="21"/>
                      <w:highlight w:val="none"/>
                    </w:rPr>
                    <w:t>°</w:t>
                  </w:r>
                  <w:r>
                    <w:rPr>
                      <w:rFonts w:hint="eastAsia"/>
                      <w:color w:val="auto"/>
                      <w:kern w:val="1"/>
                      <w:szCs w:val="21"/>
                      <w:highlight w:val="none"/>
                    </w:rPr>
                    <w:t>33</w:t>
                  </w:r>
                  <w:r>
                    <w:rPr>
                      <w:color w:val="auto"/>
                      <w:kern w:val="1"/>
                      <w:szCs w:val="21"/>
                      <w:highlight w:val="none"/>
                    </w:rPr>
                    <w:t>'</w:t>
                  </w:r>
                  <w:r>
                    <w:rPr>
                      <w:rFonts w:hint="eastAsia"/>
                      <w:color w:val="auto"/>
                      <w:kern w:val="1"/>
                      <w:szCs w:val="21"/>
                      <w:highlight w:val="none"/>
                    </w:rPr>
                    <w:t>58.057</w:t>
                  </w:r>
                  <w:r>
                    <w:rPr>
                      <w:color w:val="auto"/>
                      <w:kern w:val="1"/>
                      <w:szCs w:val="21"/>
                      <w:highlight w:val="none"/>
                    </w:rPr>
                    <w:t>"</w:t>
                  </w:r>
                </w:p>
              </w:tc>
              <w:tc>
                <w:tcPr>
                  <w:tcW w:w="684" w:type="dxa"/>
                  <w:vMerge w:val="continue"/>
                  <w:vAlign w:val="center"/>
                </w:tcPr>
                <w:p w14:paraId="53828F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c>
                <w:tcPr>
                  <w:tcW w:w="948" w:type="dxa"/>
                  <w:vAlign w:val="center"/>
                </w:tcPr>
                <w:p w14:paraId="52D1937D">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约</w:t>
                  </w:r>
                </w:p>
                <w:p w14:paraId="4D13FAFA">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20</w:t>
                  </w:r>
                  <w:r>
                    <w:rPr>
                      <w:color w:val="auto"/>
                      <w:szCs w:val="21"/>
                      <w:highlight w:val="none"/>
                    </w:rPr>
                    <w:t>00人</w:t>
                  </w:r>
                </w:p>
              </w:tc>
              <w:tc>
                <w:tcPr>
                  <w:tcW w:w="688" w:type="dxa"/>
                  <w:vMerge w:val="continue"/>
                  <w:vAlign w:val="center"/>
                </w:tcPr>
                <w:p w14:paraId="129017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c>
                <w:tcPr>
                  <w:tcW w:w="668" w:type="dxa"/>
                  <w:vAlign w:val="center"/>
                </w:tcPr>
                <w:p w14:paraId="3CD3D2FC">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西</w:t>
                  </w:r>
                  <w:r>
                    <w:rPr>
                      <w:rFonts w:hint="eastAsia"/>
                      <w:color w:val="auto"/>
                      <w:szCs w:val="21"/>
                      <w:highlight w:val="none"/>
                    </w:rPr>
                    <w:t>南</w:t>
                  </w:r>
                  <w:r>
                    <w:rPr>
                      <w:color w:val="auto"/>
                      <w:szCs w:val="21"/>
                      <w:highlight w:val="none"/>
                    </w:rPr>
                    <w:t>（W</w:t>
                  </w:r>
                  <w:r>
                    <w:rPr>
                      <w:rFonts w:hint="eastAsia"/>
                      <w:color w:val="auto"/>
                      <w:szCs w:val="21"/>
                      <w:highlight w:val="none"/>
                    </w:rPr>
                    <w:t>S</w:t>
                  </w:r>
                  <w:r>
                    <w:rPr>
                      <w:color w:val="auto"/>
                      <w:szCs w:val="21"/>
                      <w:highlight w:val="none"/>
                    </w:rPr>
                    <w:t>）</w:t>
                  </w:r>
                </w:p>
              </w:tc>
              <w:tc>
                <w:tcPr>
                  <w:tcW w:w="940" w:type="dxa"/>
                  <w:vAlign w:val="center"/>
                </w:tcPr>
                <w:p w14:paraId="2551D5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313</w:t>
                  </w:r>
                </w:p>
              </w:tc>
            </w:tr>
            <w:tr w14:paraId="3B612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AD10A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声环境</w:t>
                  </w:r>
                </w:p>
              </w:tc>
              <w:tc>
                <w:tcPr>
                  <w:tcW w:w="7828" w:type="dxa"/>
                  <w:gridSpan w:val="8"/>
                  <w:vAlign w:val="center"/>
                </w:tcPr>
                <w:p w14:paraId="5099E7D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kern w:val="0"/>
                      <w:szCs w:val="21"/>
                      <w:highlight w:val="none"/>
                      <w:lang w:bidi="ar"/>
                    </w:rPr>
                    <w:t>项目厂界外50米范围内</w:t>
                  </w:r>
                  <w:r>
                    <w:rPr>
                      <w:rFonts w:hint="eastAsia"/>
                      <w:color w:val="auto"/>
                      <w:kern w:val="0"/>
                      <w:szCs w:val="21"/>
                      <w:highlight w:val="none"/>
                      <w:lang w:bidi="ar"/>
                    </w:rPr>
                    <w:t>无</w:t>
                  </w:r>
                  <w:r>
                    <w:rPr>
                      <w:color w:val="auto"/>
                      <w:kern w:val="0"/>
                      <w:szCs w:val="21"/>
                      <w:highlight w:val="none"/>
                      <w:lang w:bidi="ar"/>
                    </w:rPr>
                    <w:t>声环境保护目标</w:t>
                  </w:r>
                </w:p>
              </w:tc>
            </w:tr>
            <w:tr w14:paraId="6428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88726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地表水</w:t>
                  </w:r>
                </w:p>
              </w:tc>
              <w:tc>
                <w:tcPr>
                  <w:tcW w:w="936" w:type="dxa"/>
                  <w:vAlign w:val="center"/>
                </w:tcPr>
                <w:p w14:paraId="13CDEB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牛栏江</w:t>
                  </w:r>
                </w:p>
              </w:tc>
              <w:tc>
                <w:tcPr>
                  <w:tcW w:w="1620" w:type="dxa"/>
                  <w:vAlign w:val="center"/>
                </w:tcPr>
                <w:p w14:paraId="5DDD97FB">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kern w:val="1"/>
                      <w:szCs w:val="21"/>
                      <w:highlight w:val="none"/>
                    </w:rPr>
                    <w:t>10</w:t>
                  </w:r>
                  <w:r>
                    <w:rPr>
                      <w:rFonts w:hint="eastAsia"/>
                      <w:color w:val="auto"/>
                      <w:kern w:val="1"/>
                      <w:szCs w:val="21"/>
                      <w:highlight w:val="none"/>
                    </w:rPr>
                    <w:t>3</w:t>
                  </w:r>
                  <w:r>
                    <w:rPr>
                      <w:color w:val="auto"/>
                      <w:kern w:val="1"/>
                      <w:szCs w:val="21"/>
                      <w:highlight w:val="none"/>
                    </w:rPr>
                    <w:t>°</w:t>
                  </w:r>
                  <w:r>
                    <w:rPr>
                      <w:rFonts w:hint="eastAsia"/>
                      <w:color w:val="auto"/>
                      <w:kern w:val="1"/>
                      <w:szCs w:val="21"/>
                      <w:highlight w:val="none"/>
                    </w:rPr>
                    <w:t>19</w:t>
                  </w:r>
                  <w:r>
                    <w:rPr>
                      <w:color w:val="auto"/>
                      <w:kern w:val="1"/>
                      <w:szCs w:val="21"/>
                      <w:highlight w:val="none"/>
                    </w:rPr>
                    <w:t>'</w:t>
                  </w:r>
                  <w:r>
                    <w:rPr>
                      <w:rFonts w:hint="eastAsia"/>
                      <w:color w:val="auto"/>
                      <w:kern w:val="1"/>
                      <w:szCs w:val="21"/>
                      <w:highlight w:val="none"/>
                    </w:rPr>
                    <w:t>47.709</w:t>
                  </w:r>
                  <w:r>
                    <w:rPr>
                      <w:color w:val="auto"/>
                      <w:kern w:val="1"/>
                      <w:szCs w:val="21"/>
                      <w:highlight w:val="none"/>
                    </w:rPr>
                    <w:t>"</w:t>
                  </w:r>
                </w:p>
              </w:tc>
              <w:tc>
                <w:tcPr>
                  <w:tcW w:w="1344" w:type="dxa"/>
                  <w:vAlign w:val="center"/>
                </w:tcPr>
                <w:p w14:paraId="191C6236">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kern w:val="1"/>
                      <w:szCs w:val="21"/>
                      <w:highlight w:val="none"/>
                    </w:rPr>
                    <w:t>25</w:t>
                  </w:r>
                  <w:r>
                    <w:rPr>
                      <w:color w:val="auto"/>
                      <w:kern w:val="1"/>
                      <w:szCs w:val="21"/>
                      <w:highlight w:val="none"/>
                    </w:rPr>
                    <w:t>°</w:t>
                  </w:r>
                  <w:r>
                    <w:rPr>
                      <w:rFonts w:hint="eastAsia"/>
                      <w:color w:val="auto"/>
                      <w:kern w:val="1"/>
                      <w:szCs w:val="21"/>
                      <w:highlight w:val="none"/>
                    </w:rPr>
                    <w:t>34</w:t>
                  </w:r>
                  <w:r>
                    <w:rPr>
                      <w:color w:val="auto"/>
                      <w:kern w:val="1"/>
                      <w:szCs w:val="21"/>
                      <w:highlight w:val="none"/>
                    </w:rPr>
                    <w:t>'</w:t>
                  </w:r>
                  <w:r>
                    <w:rPr>
                      <w:rFonts w:hint="eastAsia"/>
                      <w:color w:val="auto"/>
                      <w:kern w:val="1"/>
                      <w:szCs w:val="21"/>
                      <w:highlight w:val="none"/>
                    </w:rPr>
                    <w:t>7.674</w:t>
                  </w:r>
                  <w:r>
                    <w:rPr>
                      <w:color w:val="auto"/>
                      <w:kern w:val="1"/>
                      <w:szCs w:val="21"/>
                      <w:highlight w:val="none"/>
                    </w:rPr>
                    <w:t>"</w:t>
                  </w:r>
                </w:p>
              </w:tc>
              <w:tc>
                <w:tcPr>
                  <w:tcW w:w="684" w:type="dxa"/>
                  <w:vAlign w:val="center"/>
                </w:tcPr>
                <w:p w14:paraId="70F065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河流</w:t>
                  </w:r>
                </w:p>
              </w:tc>
              <w:tc>
                <w:tcPr>
                  <w:tcW w:w="948" w:type="dxa"/>
                  <w:vAlign w:val="center"/>
                </w:tcPr>
                <w:p w14:paraId="5182B9F8">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w:t>
                  </w:r>
                </w:p>
              </w:tc>
              <w:tc>
                <w:tcPr>
                  <w:tcW w:w="688" w:type="dxa"/>
                  <w:vAlign w:val="center"/>
                </w:tcPr>
                <w:p w14:paraId="1F25319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Ⅲ类</w:t>
                  </w:r>
                </w:p>
              </w:tc>
              <w:tc>
                <w:tcPr>
                  <w:tcW w:w="668" w:type="dxa"/>
                  <w:vAlign w:val="center"/>
                </w:tcPr>
                <w:p w14:paraId="70EC472B">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西</w:t>
                  </w:r>
                  <w:r>
                    <w:rPr>
                      <w:color w:val="auto"/>
                      <w:szCs w:val="21"/>
                      <w:highlight w:val="none"/>
                    </w:rPr>
                    <w:t>（</w:t>
                  </w:r>
                  <w:r>
                    <w:rPr>
                      <w:rFonts w:hint="eastAsia"/>
                      <w:color w:val="auto"/>
                      <w:szCs w:val="21"/>
                      <w:highlight w:val="none"/>
                    </w:rPr>
                    <w:t>W</w:t>
                  </w:r>
                  <w:r>
                    <w:rPr>
                      <w:color w:val="auto"/>
                      <w:szCs w:val="21"/>
                      <w:highlight w:val="none"/>
                    </w:rPr>
                    <w:t>）</w:t>
                  </w:r>
                </w:p>
              </w:tc>
              <w:tc>
                <w:tcPr>
                  <w:tcW w:w="940" w:type="dxa"/>
                  <w:vAlign w:val="center"/>
                </w:tcPr>
                <w:p w14:paraId="33732A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color w:val="auto"/>
                      <w:szCs w:val="21"/>
                      <w:highlight w:val="none"/>
                      <w:lang w:val="en-US"/>
                    </w:rPr>
                  </w:pPr>
                  <w:r>
                    <w:rPr>
                      <w:rFonts w:hint="eastAsia"/>
                      <w:color w:val="auto"/>
                      <w:szCs w:val="21"/>
                      <w:highlight w:val="none"/>
                      <w:lang w:val="en-US" w:eastAsia="zh-CN"/>
                    </w:rPr>
                    <w:t>1980</w:t>
                  </w:r>
                </w:p>
              </w:tc>
            </w:tr>
            <w:tr w14:paraId="623D8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B7060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地下水</w:t>
                  </w:r>
                </w:p>
              </w:tc>
              <w:tc>
                <w:tcPr>
                  <w:tcW w:w="7828" w:type="dxa"/>
                  <w:gridSpan w:val="8"/>
                  <w:vAlign w:val="center"/>
                </w:tcPr>
                <w:p w14:paraId="2133FB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项目所在区域水文地质单元潜水含水层</w:t>
                  </w:r>
                </w:p>
              </w:tc>
            </w:tr>
            <w:tr w14:paraId="1DDAD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DB31E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土壤</w:t>
                  </w:r>
                </w:p>
              </w:tc>
              <w:tc>
                <w:tcPr>
                  <w:tcW w:w="7828" w:type="dxa"/>
                  <w:gridSpan w:val="8"/>
                  <w:vAlign w:val="center"/>
                </w:tcPr>
                <w:p w14:paraId="0BB0EF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项目所在地及周边50m的土壤环境</w:t>
                  </w:r>
                </w:p>
              </w:tc>
            </w:tr>
            <w:tr w14:paraId="746A2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EE5D3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生态</w:t>
                  </w:r>
                </w:p>
              </w:tc>
              <w:tc>
                <w:tcPr>
                  <w:tcW w:w="7828" w:type="dxa"/>
                  <w:gridSpan w:val="8"/>
                  <w:vAlign w:val="center"/>
                </w:tcPr>
                <w:p w14:paraId="01ECCC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项目所在地及周边500m的动植物及水土流失</w:t>
                  </w:r>
                </w:p>
              </w:tc>
            </w:tr>
          </w:tbl>
          <w:p w14:paraId="27D10D56">
            <w:pPr>
              <w:rPr>
                <w:color w:val="auto"/>
                <w:kern w:val="0"/>
                <w:sz w:val="24"/>
                <w:highlight w:val="none"/>
              </w:rPr>
            </w:pPr>
          </w:p>
        </w:tc>
      </w:tr>
      <w:tr w14:paraId="4BD38D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51" w:type="dxa"/>
            <w:tcBorders>
              <w:left w:val="single" w:color="auto" w:sz="4" w:space="0"/>
            </w:tcBorders>
            <w:vAlign w:val="center"/>
          </w:tcPr>
          <w:p w14:paraId="11875D10">
            <w:pPr>
              <w:jc w:val="center"/>
              <w:rPr>
                <w:color w:val="auto"/>
                <w:kern w:val="0"/>
                <w:sz w:val="24"/>
                <w:highlight w:val="none"/>
              </w:rPr>
            </w:pPr>
            <w:r>
              <w:rPr>
                <w:color w:val="auto"/>
                <w:kern w:val="0"/>
                <w:sz w:val="24"/>
                <w:highlight w:val="none"/>
              </w:rPr>
              <w:t>污染</w:t>
            </w:r>
          </w:p>
          <w:p w14:paraId="1109F2ED">
            <w:pPr>
              <w:jc w:val="center"/>
              <w:rPr>
                <w:color w:val="auto"/>
                <w:kern w:val="0"/>
                <w:sz w:val="24"/>
                <w:highlight w:val="none"/>
              </w:rPr>
            </w:pPr>
            <w:r>
              <w:rPr>
                <w:color w:val="auto"/>
                <w:kern w:val="0"/>
                <w:sz w:val="24"/>
                <w:highlight w:val="none"/>
              </w:rPr>
              <w:t>物排</w:t>
            </w:r>
          </w:p>
          <w:p w14:paraId="45B925D8">
            <w:pPr>
              <w:jc w:val="center"/>
              <w:rPr>
                <w:color w:val="auto"/>
                <w:kern w:val="0"/>
                <w:sz w:val="24"/>
                <w:highlight w:val="none"/>
              </w:rPr>
            </w:pPr>
            <w:r>
              <w:rPr>
                <w:color w:val="auto"/>
                <w:kern w:val="0"/>
                <w:sz w:val="24"/>
                <w:highlight w:val="none"/>
              </w:rPr>
              <w:t>放控</w:t>
            </w:r>
          </w:p>
          <w:p w14:paraId="6AEDAEB3">
            <w:pPr>
              <w:jc w:val="center"/>
              <w:rPr>
                <w:color w:val="auto"/>
                <w:kern w:val="0"/>
                <w:sz w:val="24"/>
                <w:highlight w:val="none"/>
              </w:rPr>
            </w:pPr>
            <w:r>
              <w:rPr>
                <w:color w:val="auto"/>
                <w:kern w:val="0"/>
                <w:sz w:val="24"/>
                <w:highlight w:val="none"/>
              </w:rPr>
              <w:t>制标</w:t>
            </w:r>
          </w:p>
          <w:p w14:paraId="3B54040F">
            <w:pPr>
              <w:jc w:val="center"/>
              <w:rPr>
                <w:color w:val="auto"/>
                <w:kern w:val="0"/>
                <w:sz w:val="24"/>
                <w:highlight w:val="none"/>
              </w:rPr>
            </w:pPr>
            <w:r>
              <w:rPr>
                <w:color w:val="auto"/>
                <w:kern w:val="0"/>
                <w:sz w:val="24"/>
                <w:highlight w:val="none"/>
              </w:rPr>
              <w:t>准</w:t>
            </w:r>
          </w:p>
        </w:tc>
        <w:tc>
          <w:tcPr>
            <w:tcW w:w="8537" w:type="dxa"/>
            <w:tcBorders>
              <w:right w:val="single" w:color="auto" w:sz="4" w:space="0"/>
            </w:tcBorders>
            <w:vAlign w:val="center"/>
          </w:tcPr>
          <w:p w14:paraId="212C972E">
            <w:pPr>
              <w:keepNext w:val="0"/>
              <w:keepLines w:val="0"/>
              <w:pageBreakBefore w:val="0"/>
              <w:widowControl w:val="0"/>
              <w:tabs>
                <w:tab w:val="left" w:pos="3094"/>
              </w:tabs>
              <w:kinsoku/>
              <w:wordWrap/>
              <w:overflowPunct/>
              <w:topLinePunct w:val="0"/>
              <w:autoSpaceDE/>
              <w:autoSpaceDN/>
              <w:bidi w:val="0"/>
              <w:adjustRightInd/>
              <w:snapToGrid/>
              <w:spacing w:line="440" w:lineRule="exact"/>
              <w:textAlignment w:val="auto"/>
              <w:rPr>
                <w:b/>
                <w:color w:val="auto"/>
                <w:kern w:val="0"/>
                <w:sz w:val="24"/>
                <w:highlight w:val="none"/>
              </w:rPr>
            </w:pPr>
            <w:r>
              <w:rPr>
                <w:b/>
                <w:color w:val="auto"/>
                <w:kern w:val="0"/>
                <w:sz w:val="24"/>
                <w:highlight w:val="none"/>
              </w:rPr>
              <w:t>1、大气污染物</w:t>
            </w:r>
          </w:p>
          <w:p w14:paraId="46B0907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bCs/>
                <w:color w:val="auto"/>
                <w:kern w:val="0"/>
                <w:sz w:val="24"/>
                <w:highlight w:val="none"/>
              </w:rPr>
            </w:pPr>
            <w:r>
              <w:rPr>
                <w:rFonts w:hint="eastAsia"/>
                <w:bCs/>
                <w:color w:val="auto"/>
                <w:kern w:val="0"/>
                <w:sz w:val="24"/>
                <w:highlight w:val="none"/>
              </w:rPr>
              <w:t>（1）施工期</w:t>
            </w:r>
          </w:p>
          <w:p w14:paraId="7EA3B78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szCs w:val="20"/>
                <w:highlight w:val="none"/>
              </w:rPr>
            </w:pPr>
            <w:r>
              <w:rPr>
                <w:rFonts w:hint="eastAsia"/>
                <w:color w:val="auto"/>
                <w:kern w:val="0"/>
                <w:sz w:val="24"/>
                <w:szCs w:val="20"/>
                <w:highlight w:val="none"/>
              </w:rPr>
              <w:t>施工期扬尘</w:t>
            </w:r>
            <w:r>
              <w:rPr>
                <w:color w:val="auto"/>
                <w:kern w:val="0"/>
                <w:sz w:val="24"/>
                <w:szCs w:val="20"/>
                <w:highlight w:val="none"/>
              </w:rPr>
              <w:t>执行《大气污染物综合排放标准》（GB16297-1996）表2中的无组织排放监控浓度限值。污染物排放标准见表</w:t>
            </w:r>
            <w:r>
              <w:rPr>
                <w:rFonts w:hint="eastAsia"/>
                <w:color w:val="auto"/>
                <w:kern w:val="0"/>
                <w:sz w:val="24"/>
                <w:szCs w:val="20"/>
                <w:highlight w:val="none"/>
              </w:rPr>
              <w:t>3-</w:t>
            </w:r>
            <w:r>
              <w:rPr>
                <w:rFonts w:hint="eastAsia"/>
                <w:color w:val="auto"/>
                <w:kern w:val="0"/>
                <w:sz w:val="24"/>
                <w:szCs w:val="20"/>
                <w:highlight w:val="none"/>
                <w:lang w:val="en-US" w:eastAsia="zh-CN"/>
              </w:rPr>
              <w:t>10</w:t>
            </w:r>
            <w:r>
              <w:rPr>
                <w:color w:val="auto"/>
                <w:kern w:val="0"/>
                <w:sz w:val="24"/>
                <w:szCs w:val="20"/>
                <w:highlight w:val="none"/>
              </w:rPr>
              <w:t>。</w:t>
            </w:r>
          </w:p>
          <w:p w14:paraId="69C528CF">
            <w:pPr>
              <w:spacing w:before="48" w:beforeLines="20"/>
              <w:jc w:val="center"/>
              <w:rPr>
                <w:b/>
                <w:bCs/>
                <w:color w:val="auto"/>
                <w:szCs w:val="20"/>
                <w:highlight w:val="none"/>
              </w:rPr>
            </w:pPr>
            <w:r>
              <w:rPr>
                <w:rFonts w:hint="eastAsia"/>
                <w:b/>
                <w:bCs/>
                <w:color w:val="auto"/>
                <w:szCs w:val="20"/>
                <w:highlight w:val="none"/>
              </w:rPr>
              <w:t>表3-</w:t>
            </w:r>
            <w:r>
              <w:rPr>
                <w:rFonts w:hint="eastAsia"/>
                <w:b/>
                <w:bCs/>
                <w:color w:val="auto"/>
                <w:szCs w:val="20"/>
                <w:highlight w:val="none"/>
                <w:lang w:val="en-US" w:eastAsia="zh-CN"/>
              </w:rPr>
              <w:t>10</w:t>
            </w:r>
            <w:r>
              <w:rPr>
                <w:rFonts w:hint="eastAsia"/>
                <w:b/>
                <w:bCs/>
                <w:color w:val="auto"/>
                <w:szCs w:val="20"/>
                <w:highlight w:val="none"/>
              </w:rPr>
              <w:t xml:space="preserve">  施工期颗粒物大气污染物排放浓度限值</w:t>
            </w:r>
          </w:p>
          <w:tbl>
            <w:tblPr>
              <w:tblStyle w:val="26"/>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53"/>
              <w:gridCol w:w="3123"/>
              <w:gridCol w:w="3233"/>
            </w:tblGrid>
            <w:tr w14:paraId="721E0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75" w:type="pct"/>
                  <w:vMerge w:val="restart"/>
                  <w:vAlign w:val="center"/>
                </w:tcPr>
                <w:p w14:paraId="4BBB7A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color w:val="auto"/>
                      <w:kern w:val="0"/>
                      <w:szCs w:val="21"/>
                      <w:highlight w:val="none"/>
                    </w:rPr>
                  </w:pPr>
                  <w:r>
                    <w:rPr>
                      <w:b/>
                      <w:color w:val="auto"/>
                      <w:kern w:val="0"/>
                      <w:szCs w:val="21"/>
                      <w:highlight w:val="none"/>
                    </w:rPr>
                    <w:t>污染物</w:t>
                  </w:r>
                </w:p>
              </w:tc>
              <w:tc>
                <w:tcPr>
                  <w:tcW w:w="3824" w:type="pct"/>
                  <w:gridSpan w:val="2"/>
                  <w:vAlign w:val="center"/>
                </w:tcPr>
                <w:p w14:paraId="72639A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color w:val="auto"/>
                      <w:kern w:val="0"/>
                      <w:szCs w:val="21"/>
                      <w:highlight w:val="none"/>
                    </w:rPr>
                  </w:pPr>
                  <w:r>
                    <w:rPr>
                      <w:b/>
                      <w:color w:val="auto"/>
                      <w:kern w:val="0"/>
                      <w:szCs w:val="21"/>
                      <w:highlight w:val="none"/>
                    </w:rPr>
                    <w:t>无组织排放浓度监控限值</w:t>
                  </w:r>
                </w:p>
              </w:tc>
            </w:tr>
            <w:tr w14:paraId="34031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75" w:type="pct"/>
                  <w:vMerge w:val="continue"/>
                  <w:vAlign w:val="center"/>
                </w:tcPr>
                <w:p w14:paraId="0546C4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color w:val="auto"/>
                      <w:kern w:val="0"/>
                      <w:szCs w:val="21"/>
                      <w:highlight w:val="none"/>
                    </w:rPr>
                  </w:pPr>
                </w:p>
              </w:tc>
              <w:tc>
                <w:tcPr>
                  <w:tcW w:w="1879" w:type="pct"/>
                  <w:vAlign w:val="center"/>
                </w:tcPr>
                <w:p w14:paraId="06E96D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color w:val="auto"/>
                      <w:kern w:val="0"/>
                      <w:szCs w:val="21"/>
                      <w:highlight w:val="none"/>
                    </w:rPr>
                  </w:pPr>
                  <w:r>
                    <w:rPr>
                      <w:b/>
                      <w:color w:val="auto"/>
                      <w:kern w:val="0"/>
                      <w:szCs w:val="21"/>
                      <w:highlight w:val="none"/>
                    </w:rPr>
                    <w:t>监控点</w:t>
                  </w:r>
                </w:p>
              </w:tc>
              <w:tc>
                <w:tcPr>
                  <w:tcW w:w="1944" w:type="pct"/>
                  <w:vAlign w:val="center"/>
                </w:tcPr>
                <w:p w14:paraId="440FFA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color w:val="auto"/>
                      <w:kern w:val="0"/>
                      <w:szCs w:val="21"/>
                      <w:highlight w:val="none"/>
                    </w:rPr>
                  </w:pPr>
                  <w:r>
                    <w:rPr>
                      <w:b/>
                      <w:color w:val="auto"/>
                      <w:kern w:val="0"/>
                      <w:szCs w:val="21"/>
                      <w:highlight w:val="none"/>
                    </w:rPr>
                    <w:t>浓度限值（mg/m</w:t>
                  </w:r>
                  <w:r>
                    <w:rPr>
                      <w:b/>
                      <w:color w:val="auto"/>
                      <w:kern w:val="0"/>
                      <w:szCs w:val="21"/>
                      <w:highlight w:val="none"/>
                      <w:vertAlign w:val="superscript"/>
                    </w:rPr>
                    <w:t>3</w:t>
                  </w:r>
                  <w:r>
                    <w:rPr>
                      <w:b/>
                      <w:color w:val="auto"/>
                      <w:kern w:val="0"/>
                      <w:szCs w:val="21"/>
                      <w:highlight w:val="none"/>
                    </w:rPr>
                    <w:t>）</w:t>
                  </w:r>
                </w:p>
              </w:tc>
            </w:tr>
            <w:tr w14:paraId="565A2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75" w:type="pct"/>
                  <w:vAlign w:val="center"/>
                </w:tcPr>
                <w:p w14:paraId="763332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color w:val="auto"/>
                      <w:kern w:val="0"/>
                      <w:szCs w:val="21"/>
                      <w:highlight w:val="none"/>
                    </w:rPr>
                    <w:t>颗粒物</w:t>
                  </w:r>
                </w:p>
              </w:tc>
              <w:tc>
                <w:tcPr>
                  <w:tcW w:w="1879" w:type="pct"/>
                  <w:vAlign w:val="center"/>
                </w:tcPr>
                <w:p w14:paraId="252516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color w:val="auto"/>
                      <w:kern w:val="0"/>
                      <w:szCs w:val="21"/>
                      <w:highlight w:val="none"/>
                    </w:rPr>
                    <w:t>周界外浓度最高点</w:t>
                  </w:r>
                </w:p>
              </w:tc>
              <w:tc>
                <w:tcPr>
                  <w:tcW w:w="1944" w:type="pct"/>
                  <w:vAlign w:val="center"/>
                </w:tcPr>
                <w:p w14:paraId="1AE175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color w:val="auto"/>
                      <w:kern w:val="0"/>
                      <w:szCs w:val="21"/>
                      <w:highlight w:val="none"/>
                    </w:rPr>
                    <w:t>1.0</w:t>
                  </w:r>
                </w:p>
              </w:tc>
            </w:tr>
          </w:tbl>
          <w:p w14:paraId="5AEAAE2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bCs/>
                <w:color w:val="auto"/>
                <w:kern w:val="0"/>
                <w:sz w:val="24"/>
                <w:highlight w:val="none"/>
              </w:rPr>
            </w:pPr>
            <w:r>
              <w:rPr>
                <w:bCs/>
                <w:color w:val="auto"/>
                <w:kern w:val="0"/>
                <w:sz w:val="24"/>
                <w:highlight w:val="none"/>
              </w:rPr>
              <w:t>（2）运营期</w:t>
            </w:r>
          </w:p>
          <w:p w14:paraId="7828726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szCs w:val="32"/>
                <w:highlight w:val="none"/>
              </w:rPr>
            </w:pPr>
            <w:r>
              <w:rPr>
                <w:rFonts w:hint="eastAsia"/>
                <w:color w:val="auto"/>
                <w:kern w:val="0"/>
                <w:sz w:val="24"/>
                <w:szCs w:val="32"/>
                <w:highlight w:val="none"/>
                <w:lang w:val="en-US" w:eastAsia="zh-CN"/>
              </w:rPr>
              <w:t>本项目</w:t>
            </w:r>
            <w:r>
              <w:rPr>
                <w:rFonts w:hint="eastAsia"/>
                <w:color w:val="auto"/>
                <w:kern w:val="0"/>
                <w:sz w:val="24"/>
                <w:szCs w:val="32"/>
                <w:highlight w:val="none"/>
              </w:rPr>
              <w:t>不对现有工程工艺进行改变，仅为物料流转量变化，因此现有工程</w:t>
            </w:r>
            <w:r>
              <w:rPr>
                <w:rFonts w:hint="eastAsia"/>
                <w:color w:val="auto"/>
                <w:kern w:val="0"/>
                <w:sz w:val="24"/>
                <w:szCs w:val="32"/>
                <w:highlight w:val="none"/>
                <w:lang w:val="en-US" w:eastAsia="zh-CN"/>
              </w:rPr>
              <w:t>排放污染物控制标准</w:t>
            </w:r>
            <w:r>
              <w:rPr>
                <w:rFonts w:hint="eastAsia"/>
                <w:color w:val="auto"/>
                <w:kern w:val="0"/>
                <w:sz w:val="24"/>
                <w:szCs w:val="32"/>
                <w:highlight w:val="none"/>
              </w:rPr>
              <w:t>按原环评批复执行</w:t>
            </w:r>
            <w:r>
              <w:rPr>
                <w:rFonts w:hint="eastAsia"/>
                <w:color w:val="auto"/>
                <w:kern w:val="0"/>
                <w:sz w:val="24"/>
                <w:szCs w:val="32"/>
                <w:highlight w:val="none"/>
                <w:lang w:eastAsia="zh-CN"/>
              </w:rPr>
              <w:t>，</w:t>
            </w:r>
            <w:r>
              <w:rPr>
                <w:rFonts w:hint="eastAsia"/>
                <w:color w:val="auto"/>
                <w:kern w:val="0"/>
                <w:sz w:val="24"/>
                <w:szCs w:val="32"/>
                <w:highlight w:val="none"/>
                <w:lang w:val="en-US" w:eastAsia="zh-CN"/>
              </w:rPr>
              <w:t>本次环评不在重复论述</w:t>
            </w:r>
            <w:r>
              <w:rPr>
                <w:rFonts w:hint="eastAsia"/>
                <w:color w:val="auto"/>
                <w:kern w:val="0"/>
                <w:sz w:val="24"/>
                <w:szCs w:val="32"/>
                <w:highlight w:val="none"/>
              </w:rPr>
              <w:t>。</w:t>
            </w:r>
          </w:p>
          <w:p w14:paraId="37143AE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eastAsia="宋体"/>
                <w:color w:val="auto"/>
                <w:kern w:val="0"/>
                <w:sz w:val="24"/>
                <w:highlight w:val="none"/>
                <w:lang w:val="en-US" w:eastAsia="zh-CN"/>
              </w:rPr>
            </w:pPr>
            <w:r>
              <w:rPr>
                <w:rFonts w:hint="eastAsia"/>
                <w:color w:val="auto"/>
                <w:kern w:val="0"/>
                <w:sz w:val="24"/>
                <w:szCs w:val="32"/>
                <w:highlight w:val="none"/>
                <w:lang w:val="en-US" w:eastAsia="zh-CN"/>
              </w:rPr>
              <w:t>本项目</w:t>
            </w:r>
            <w:r>
              <w:rPr>
                <w:rFonts w:hint="eastAsia"/>
                <w:color w:val="auto"/>
                <w:kern w:val="0"/>
                <w:sz w:val="24"/>
                <w:highlight w:val="none"/>
              </w:rPr>
              <w:t>发酵过程中的废气</w:t>
            </w:r>
            <w:r>
              <w:rPr>
                <w:rFonts w:hint="eastAsia"/>
                <w:color w:val="auto"/>
                <w:kern w:val="0"/>
                <w:sz w:val="24"/>
                <w:highlight w:val="none"/>
                <w:lang w:val="en-US" w:eastAsia="zh-CN"/>
              </w:rPr>
              <w:t>污染物主要为</w:t>
            </w:r>
            <w:r>
              <w:rPr>
                <w:rFonts w:hint="eastAsia"/>
                <w:color w:val="auto"/>
                <w:kern w:val="0"/>
                <w:sz w:val="24"/>
                <w:highlight w:val="none"/>
              </w:rPr>
              <w:t>：氨、硫化氢、异味（以臭气浓度表征）</w:t>
            </w:r>
            <w:r>
              <w:rPr>
                <w:rFonts w:hint="eastAsia"/>
                <w:color w:val="auto"/>
                <w:kern w:val="0"/>
                <w:sz w:val="24"/>
                <w:highlight w:val="none"/>
                <w:lang w:eastAsia="zh-CN"/>
              </w:rPr>
              <w:t>，</w:t>
            </w:r>
            <w:r>
              <w:rPr>
                <w:rFonts w:hint="eastAsia"/>
                <w:color w:val="auto"/>
                <w:kern w:val="0"/>
                <w:sz w:val="24"/>
                <w:highlight w:val="none"/>
                <w:lang w:val="en-US" w:eastAsia="zh-CN"/>
              </w:rPr>
              <w:t>其固体复合微生物肥发酵区废气</w:t>
            </w:r>
            <w:r>
              <w:rPr>
                <w:rFonts w:hint="eastAsia"/>
                <w:color w:val="auto"/>
                <w:kern w:val="0"/>
                <w:sz w:val="24"/>
                <w:highlight w:val="none"/>
              </w:rPr>
              <w:t>经过</w:t>
            </w:r>
            <w:r>
              <w:rPr>
                <w:rFonts w:hint="eastAsia"/>
                <w:color w:val="auto"/>
                <w:kern w:val="0"/>
                <w:sz w:val="24"/>
                <w:highlight w:val="none"/>
                <w:lang w:val="en-US" w:eastAsia="zh-CN"/>
              </w:rPr>
              <w:t>厂房密闭、负压收集后经</w:t>
            </w:r>
            <w:r>
              <w:rPr>
                <w:rFonts w:hint="eastAsia"/>
                <w:color w:val="auto"/>
                <w:kern w:val="0"/>
                <w:sz w:val="24"/>
                <w:highlight w:val="none"/>
              </w:rPr>
              <w:t>生物</w:t>
            </w:r>
            <w:r>
              <w:rPr>
                <w:rFonts w:hint="eastAsia"/>
                <w:color w:val="auto"/>
                <w:kern w:val="0"/>
                <w:sz w:val="24"/>
                <w:highlight w:val="none"/>
                <w:lang w:val="en-US" w:eastAsia="zh-CN"/>
              </w:rPr>
              <w:t>过滤除臭设施处理后经15m排气筒（DA003）有</w:t>
            </w:r>
            <w:r>
              <w:rPr>
                <w:rFonts w:hint="eastAsia"/>
                <w:color w:val="auto"/>
                <w:kern w:val="0"/>
                <w:sz w:val="24"/>
                <w:highlight w:val="none"/>
              </w:rPr>
              <w:t>组织排放，排放</w:t>
            </w:r>
            <w:r>
              <w:rPr>
                <w:rFonts w:hint="eastAsia"/>
                <w:color w:val="auto"/>
                <w:kern w:val="0"/>
                <w:sz w:val="24"/>
                <w:highlight w:val="none"/>
                <w:lang w:val="en-US" w:eastAsia="zh-CN"/>
              </w:rPr>
              <w:t>标准</w:t>
            </w:r>
            <w:r>
              <w:rPr>
                <w:rFonts w:hint="eastAsia"/>
                <w:color w:val="auto"/>
                <w:kern w:val="0"/>
                <w:sz w:val="24"/>
                <w:highlight w:val="none"/>
              </w:rPr>
              <w:t>执行《恶臭污染物排放标准》（GB14554-93）中表</w:t>
            </w:r>
            <w:r>
              <w:rPr>
                <w:rFonts w:hint="eastAsia"/>
                <w:color w:val="auto"/>
                <w:kern w:val="0"/>
                <w:sz w:val="24"/>
                <w:highlight w:val="none"/>
                <w:lang w:val="en-US" w:eastAsia="zh-CN"/>
              </w:rPr>
              <w:t>2</w:t>
            </w:r>
            <w:r>
              <w:rPr>
                <w:rFonts w:hint="eastAsia"/>
                <w:color w:val="auto"/>
                <w:kern w:val="0"/>
                <w:sz w:val="24"/>
                <w:highlight w:val="none"/>
              </w:rPr>
              <w:t>排放标准</w:t>
            </w:r>
            <w:r>
              <w:rPr>
                <w:rFonts w:hint="eastAsia"/>
                <w:color w:val="auto"/>
                <w:kern w:val="0"/>
                <w:sz w:val="24"/>
                <w:highlight w:val="none"/>
                <w:lang w:eastAsia="zh-CN"/>
              </w:rPr>
              <w:t>；</w:t>
            </w:r>
            <w:r>
              <w:rPr>
                <w:rFonts w:hint="eastAsia"/>
                <w:color w:val="auto"/>
                <w:kern w:val="0"/>
                <w:sz w:val="24"/>
                <w:highlight w:val="none"/>
                <w:lang w:val="en-US" w:eastAsia="zh-CN"/>
              </w:rPr>
              <w:t>其他无组织排放的</w:t>
            </w:r>
            <w:r>
              <w:rPr>
                <w:rFonts w:hint="eastAsia"/>
                <w:color w:val="auto"/>
                <w:kern w:val="0"/>
                <w:sz w:val="24"/>
                <w:highlight w:val="none"/>
              </w:rPr>
              <w:t>氨、硫化氢、异味（以臭气浓度表征）</w:t>
            </w:r>
            <w:r>
              <w:rPr>
                <w:rFonts w:hint="eastAsia"/>
                <w:color w:val="auto"/>
                <w:kern w:val="0"/>
                <w:sz w:val="24"/>
                <w:highlight w:val="none"/>
                <w:lang w:val="en-US" w:eastAsia="zh-CN"/>
              </w:rPr>
              <w:t>执行</w:t>
            </w:r>
            <w:r>
              <w:rPr>
                <w:rFonts w:hint="eastAsia"/>
                <w:color w:val="auto"/>
                <w:kern w:val="0"/>
                <w:sz w:val="24"/>
                <w:highlight w:val="none"/>
              </w:rPr>
              <w:t>《恶臭污染物排放标准》（GB14554-93）中表1</w:t>
            </w:r>
            <w:r>
              <w:rPr>
                <w:rFonts w:hint="eastAsia"/>
                <w:color w:val="auto"/>
                <w:kern w:val="0"/>
                <w:sz w:val="24"/>
                <w:highlight w:val="none"/>
                <w:lang w:val="en-US" w:eastAsia="zh-CN"/>
              </w:rPr>
              <w:t>二级</w:t>
            </w:r>
            <w:r>
              <w:rPr>
                <w:rFonts w:hint="eastAsia"/>
                <w:color w:val="auto"/>
                <w:kern w:val="0"/>
                <w:sz w:val="24"/>
                <w:highlight w:val="none"/>
              </w:rPr>
              <w:t>排放标准</w:t>
            </w:r>
            <w:r>
              <w:rPr>
                <w:rFonts w:hint="eastAsia"/>
                <w:color w:val="auto"/>
                <w:kern w:val="0"/>
                <w:sz w:val="24"/>
                <w:highlight w:val="none"/>
                <w:lang w:eastAsia="zh-CN"/>
              </w:rPr>
              <w:t>。</w:t>
            </w:r>
          </w:p>
          <w:p w14:paraId="58611EB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highlight w:val="none"/>
                <w:lang w:eastAsia="zh-CN"/>
              </w:rPr>
            </w:pPr>
            <w:r>
              <w:rPr>
                <w:rFonts w:hint="eastAsia"/>
                <w:color w:val="auto"/>
                <w:kern w:val="0"/>
                <w:sz w:val="24"/>
                <w:szCs w:val="32"/>
                <w:highlight w:val="none"/>
                <w:lang w:val="en-US" w:eastAsia="zh-CN"/>
              </w:rPr>
              <w:t>本项目</w:t>
            </w:r>
            <w:r>
              <w:rPr>
                <w:rFonts w:hint="eastAsia"/>
                <w:color w:val="auto"/>
                <w:kern w:val="0"/>
                <w:sz w:val="24"/>
                <w:highlight w:val="none"/>
                <w:lang w:val="en-US" w:eastAsia="zh-CN"/>
              </w:rPr>
              <w:t>固体复合微生物肥</w:t>
            </w:r>
            <w:r>
              <w:rPr>
                <w:rFonts w:hint="eastAsia"/>
                <w:color w:val="auto"/>
                <w:kern w:val="0"/>
                <w:sz w:val="24"/>
                <w:szCs w:val="32"/>
                <w:highlight w:val="none"/>
              </w:rPr>
              <w:t>投料、粉碎、扑粉、筛分</w:t>
            </w:r>
            <w:r>
              <w:rPr>
                <w:rFonts w:hint="eastAsia"/>
                <w:color w:val="auto"/>
                <w:kern w:val="0"/>
                <w:sz w:val="24"/>
                <w:szCs w:val="32"/>
                <w:highlight w:val="none"/>
                <w:lang w:val="en-US" w:eastAsia="zh-CN"/>
              </w:rPr>
              <w:t>等产生的</w:t>
            </w:r>
            <w:r>
              <w:rPr>
                <w:rFonts w:hint="eastAsia"/>
                <w:color w:val="auto"/>
                <w:kern w:val="0"/>
                <w:sz w:val="24"/>
                <w:szCs w:val="32"/>
                <w:highlight w:val="none"/>
              </w:rPr>
              <w:t>颗粒物经集气罩收集</w:t>
            </w:r>
            <w:r>
              <w:rPr>
                <w:rFonts w:hint="eastAsia"/>
                <w:color w:val="auto"/>
                <w:kern w:val="0"/>
                <w:sz w:val="24"/>
                <w:szCs w:val="32"/>
                <w:highlight w:val="none"/>
                <w:lang w:val="en-US" w:eastAsia="zh-CN"/>
              </w:rPr>
              <w:t>和</w:t>
            </w:r>
            <w:r>
              <w:rPr>
                <w:rFonts w:hint="eastAsia"/>
                <w:color w:val="auto"/>
                <w:kern w:val="0"/>
                <w:sz w:val="24"/>
                <w:szCs w:val="32"/>
                <w:highlight w:val="none"/>
              </w:rPr>
              <w:t>布袋除尘器处理</w:t>
            </w:r>
            <w:r>
              <w:rPr>
                <w:rFonts w:hint="eastAsia"/>
                <w:color w:val="auto"/>
                <w:kern w:val="0"/>
                <w:sz w:val="24"/>
                <w:szCs w:val="32"/>
                <w:highlight w:val="none"/>
                <w:lang w:val="en-US" w:eastAsia="zh-CN"/>
              </w:rPr>
              <w:t>后由</w:t>
            </w:r>
            <w:r>
              <w:rPr>
                <w:rFonts w:hint="eastAsia"/>
                <w:color w:val="auto"/>
                <w:kern w:val="0"/>
                <w:sz w:val="24"/>
                <w:szCs w:val="32"/>
                <w:highlight w:val="none"/>
              </w:rPr>
              <w:t>15m高排气筒DA00</w:t>
            </w:r>
            <w:r>
              <w:rPr>
                <w:rFonts w:hint="eastAsia"/>
                <w:color w:val="auto"/>
                <w:kern w:val="0"/>
                <w:sz w:val="24"/>
                <w:szCs w:val="32"/>
                <w:highlight w:val="none"/>
                <w:lang w:val="en-US" w:eastAsia="zh-CN"/>
              </w:rPr>
              <w:t>4</w:t>
            </w:r>
            <w:r>
              <w:rPr>
                <w:rFonts w:hint="eastAsia"/>
                <w:color w:val="auto"/>
                <w:kern w:val="0"/>
                <w:sz w:val="24"/>
                <w:szCs w:val="32"/>
                <w:highlight w:val="none"/>
              </w:rPr>
              <w:t>排放</w:t>
            </w:r>
            <w:r>
              <w:rPr>
                <w:rFonts w:hint="eastAsia"/>
                <w:color w:val="auto"/>
                <w:kern w:val="0"/>
                <w:sz w:val="24"/>
                <w:szCs w:val="32"/>
                <w:highlight w:val="none"/>
                <w:lang w:eastAsia="zh-CN"/>
              </w:rPr>
              <w:t>，</w:t>
            </w:r>
            <w:r>
              <w:rPr>
                <w:rFonts w:hint="eastAsia"/>
                <w:color w:val="auto"/>
                <w:kern w:val="0"/>
                <w:sz w:val="24"/>
                <w:szCs w:val="32"/>
                <w:highlight w:val="none"/>
              </w:rPr>
              <w:t>执行</w:t>
            </w:r>
            <w:r>
              <w:rPr>
                <w:rFonts w:hint="eastAsia"/>
                <w:color w:val="auto"/>
                <w:kern w:val="0"/>
                <w:sz w:val="24"/>
                <w:highlight w:val="none"/>
              </w:rPr>
              <w:t>《大气污染物综合排放标准》（GB16297-1996）表2有组织排放限值</w:t>
            </w:r>
            <w:r>
              <w:rPr>
                <w:rFonts w:hint="eastAsia"/>
                <w:color w:val="auto"/>
                <w:kern w:val="0"/>
                <w:sz w:val="24"/>
                <w:highlight w:val="none"/>
                <w:lang w:eastAsia="zh-CN"/>
              </w:rPr>
              <w:t>，</w:t>
            </w:r>
            <w:r>
              <w:rPr>
                <w:rFonts w:hint="eastAsia"/>
                <w:color w:val="auto"/>
                <w:kern w:val="0"/>
                <w:sz w:val="24"/>
                <w:highlight w:val="none"/>
                <w:lang w:val="en-US" w:eastAsia="zh-CN"/>
              </w:rPr>
              <w:t>其他</w:t>
            </w:r>
            <w:r>
              <w:rPr>
                <w:rFonts w:hint="eastAsia"/>
                <w:color w:val="auto"/>
                <w:kern w:val="0"/>
                <w:sz w:val="24"/>
                <w:highlight w:val="none"/>
              </w:rPr>
              <w:t>厂界无组织排放颗粒物执行《大气污染物综合排放标准》（GB16297-1996）无组织排放监控限值</w:t>
            </w:r>
            <w:r>
              <w:rPr>
                <w:rFonts w:hint="eastAsia"/>
                <w:color w:val="auto"/>
                <w:kern w:val="0"/>
                <w:sz w:val="24"/>
                <w:highlight w:val="none"/>
                <w:lang w:eastAsia="zh-CN"/>
              </w:rPr>
              <w:t>。</w:t>
            </w:r>
          </w:p>
          <w:p w14:paraId="1EF70A5A">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表</w:t>
            </w:r>
            <w:r>
              <w:rPr>
                <w:rFonts w:hint="eastAsia" w:cs="Times New Roman"/>
                <w:color w:val="auto"/>
                <w:sz w:val="21"/>
                <w:szCs w:val="21"/>
                <w:highlight w:val="none"/>
                <w:lang w:val="en-US" w:eastAsia="zh-CN"/>
              </w:rPr>
              <w:t>3-11</w:t>
            </w:r>
            <w:r>
              <w:rPr>
                <w:rFonts w:hint="eastAsia" w:ascii="Times New Roman" w:hAnsi="Times New Roman" w:eastAsia="宋体" w:cs="Times New Roman"/>
                <w:color w:val="auto"/>
                <w:sz w:val="21"/>
                <w:szCs w:val="21"/>
                <w:highlight w:val="none"/>
              </w:rPr>
              <w:t xml:space="preserve">  </w:t>
            </w:r>
            <w:r>
              <w:rPr>
                <w:rFonts w:ascii="Times New Roman" w:hAnsi="Times New Roman" w:eastAsia="宋体" w:cs="Times New Roman"/>
                <w:color w:val="auto"/>
                <w:sz w:val="21"/>
                <w:szCs w:val="21"/>
                <w:highlight w:val="none"/>
              </w:rPr>
              <w:t>大气污染物排放标准</w:t>
            </w:r>
          </w:p>
          <w:tbl>
            <w:tblPr>
              <w:tblStyle w:val="27"/>
              <w:tblW w:w="0" w:type="auto"/>
              <w:tblInd w:w="17"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04"/>
              <w:gridCol w:w="1843"/>
              <w:gridCol w:w="1506"/>
              <w:gridCol w:w="1552"/>
              <w:gridCol w:w="1946"/>
            </w:tblGrid>
            <w:tr w14:paraId="590CEB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304" w:type="dxa"/>
                  <w:vMerge w:val="restart"/>
                  <w:tcBorders>
                    <w:tl2br w:val="nil"/>
                    <w:tr2bl w:val="nil"/>
                  </w:tcBorders>
                  <w:noWrap w:val="0"/>
                  <w:vAlign w:val="center"/>
                </w:tcPr>
                <w:p w14:paraId="69E5E66D">
                  <w:pPr>
                    <w:jc w:val="center"/>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污染物名称</w:t>
                  </w:r>
                </w:p>
              </w:tc>
              <w:tc>
                <w:tcPr>
                  <w:tcW w:w="1843" w:type="dxa"/>
                  <w:vMerge w:val="restart"/>
                  <w:tcBorders>
                    <w:tl2br w:val="nil"/>
                    <w:tr2bl w:val="nil"/>
                  </w:tcBorders>
                  <w:noWrap w:val="0"/>
                  <w:vAlign w:val="center"/>
                </w:tcPr>
                <w:p w14:paraId="2D5EAEC6">
                  <w:pPr>
                    <w:jc w:val="center"/>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最高允许排放浓度（mg/m</w:t>
                  </w:r>
                  <w:r>
                    <w:rPr>
                      <w:rFonts w:ascii="Times New Roman" w:hAnsi="Times New Roman"/>
                      <w:b w:val="0"/>
                      <w:bCs w:val="0"/>
                      <w:color w:val="auto"/>
                      <w:sz w:val="21"/>
                      <w:szCs w:val="21"/>
                      <w:highlight w:val="none"/>
                      <w:vertAlign w:val="superscript"/>
                    </w:rPr>
                    <w:t>3</w:t>
                  </w:r>
                  <w:r>
                    <w:rPr>
                      <w:rFonts w:ascii="Times New Roman" w:hAnsi="Times New Roman"/>
                      <w:b w:val="0"/>
                      <w:bCs w:val="0"/>
                      <w:color w:val="auto"/>
                      <w:sz w:val="21"/>
                      <w:szCs w:val="21"/>
                      <w:highlight w:val="none"/>
                    </w:rPr>
                    <w:t>）</w:t>
                  </w:r>
                </w:p>
              </w:tc>
              <w:tc>
                <w:tcPr>
                  <w:tcW w:w="3058" w:type="dxa"/>
                  <w:gridSpan w:val="2"/>
                  <w:tcBorders>
                    <w:tl2br w:val="nil"/>
                    <w:tr2bl w:val="nil"/>
                  </w:tcBorders>
                  <w:noWrap w:val="0"/>
                  <w:vAlign w:val="center"/>
                </w:tcPr>
                <w:p w14:paraId="2AD9EA2A">
                  <w:pPr>
                    <w:jc w:val="center"/>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最高允许排放速率（kg/h）</w:t>
                  </w:r>
                </w:p>
              </w:tc>
              <w:tc>
                <w:tcPr>
                  <w:tcW w:w="1946" w:type="dxa"/>
                  <w:vMerge w:val="restart"/>
                  <w:tcBorders>
                    <w:tl2br w:val="nil"/>
                    <w:tr2bl w:val="nil"/>
                  </w:tcBorders>
                  <w:noWrap w:val="0"/>
                  <w:vAlign w:val="center"/>
                </w:tcPr>
                <w:p w14:paraId="74EFF67B">
                  <w:pPr>
                    <w:jc w:val="center"/>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无组织排放浓度限值(mg/m</w:t>
                  </w:r>
                  <w:r>
                    <w:rPr>
                      <w:rFonts w:ascii="Times New Roman" w:hAnsi="Times New Roman"/>
                      <w:b w:val="0"/>
                      <w:bCs w:val="0"/>
                      <w:color w:val="auto"/>
                      <w:sz w:val="21"/>
                      <w:szCs w:val="21"/>
                      <w:highlight w:val="none"/>
                      <w:vertAlign w:val="superscript"/>
                    </w:rPr>
                    <w:t>3</w:t>
                  </w:r>
                  <w:r>
                    <w:rPr>
                      <w:rFonts w:ascii="Times New Roman" w:hAnsi="Times New Roman"/>
                      <w:b w:val="0"/>
                      <w:bCs w:val="0"/>
                      <w:color w:val="auto"/>
                      <w:sz w:val="21"/>
                      <w:szCs w:val="21"/>
                      <w:highlight w:val="none"/>
                    </w:rPr>
                    <w:t>)</w:t>
                  </w:r>
                </w:p>
              </w:tc>
            </w:tr>
            <w:tr w14:paraId="6750FA1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304" w:type="dxa"/>
                  <w:vMerge w:val="continue"/>
                  <w:tcBorders>
                    <w:tl2br w:val="nil"/>
                    <w:tr2bl w:val="nil"/>
                  </w:tcBorders>
                  <w:noWrap w:val="0"/>
                  <w:vAlign w:val="center"/>
                </w:tcPr>
                <w:p w14:paraId="32D5D10E">
                  <w:pPr>
                    <w:jc w:val="center"/>
                    <w:rPr>
                      <w:rFonts w:ascii="Times New Roman" w:hAnsi="Times New Roman"/>
                      <w:b w:val="0"/>
                      <w:bCs w:val="0"/>
                      <w:color w:val="auto"/>
                      <w:sz w:val="21"/>
                      <w:szCs w:val="21"/>
                      <w:highlight w:val="none"/>
                    </w:rPr>
                  </w:pPr>
                </w:p>
              </w:tc>
              <w:tc>
                <w:tcPr>
                  <w:tcW w:w="1843" w:type="dxa"/>
                  <w:vMerge w:val="continue"/>
                  <w:tcBorders>
                    <w:tl2br w:val="nil"/>
                    <w:tr2bl w:val="nil"/>
                  </w:tcBorders>
                  <w:noWrap w:val="0"/>
                  <w:vAlign w:val="center"/>
                </w:tcPr>
                <w:p w14:paraId="7EBC6990">
                  <w:pPr>
                    <w:jc w:val="center"/>
                    <w:rPr>
                      <w:rFonts w:ascii="Times New Roman" w:hAnsi="Times New Roman"/>
                      <w:b w:val="0"/>
                      <w:bCs w:val="0"/>
                      <w:color w:val="auto"/>
                      <w:sz w:val="21"/>
                      <w:szCs w:val="21"/>
                      <w:highlight w:val="none"/>
                    </w:rPr>
                  </w:pPr>
                </w:p>
              </w:tc>
              <w:tc>
                <w:tcPr>
                  <w:tcW w:w="1506" w:type="dxa"/>
                  <w:tcBorders>
                    <w:tl2br w:val="nil"/>
                    <w:tr2bl w:val="nil"/>
                  </w:tcBorders>
                  <w:noWrap w:val="0"/>
                  <w:vAlign w:val="center"/>
                </w:tcPr>
                <w:p w14:paraId="5DD7B1C8">
                  <w:pPr>
                    <w:jc w:val="center"/>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排气筒高度（m）</w:t>
                  </w:r>
                </w:p>
              </w:tc>
              <w:tc>
                <w:tcPr>
                  <w:tcW w:w="1552" w:type="dxa"/>
                  <w:tcBorders>
                    <w:tl2br w:val="nil"/>
                    <w:tr2bl w:val="nil"/>
                  </w:tcBorders>
                  <w:noWrap w:val="0"/>
                  <w:vAlign w:val="center"/>
                </w:tcPr>
                <w:p w14:paraId="2A4B486A">
                  <w:pPr>
                    <w:jc w:val="center"/>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排放限值</w:t>
                  </w:r>
                </w:p>
              </w:tc>
              <w:tc>
                <w:tcPr>
                  <w:tcW w:w="1946" w:type="dxa"/>
                  <w:vMerge w:val="continue"/>
                  <w:tcBorders>
                    <w:tl2br w:val="nil"/>
                    <w:tr2bl w:val="nil"/>
                  </w:tcBorders>
                  <w:noWrap w:val="0"/>
                  <w:vAlign w:val="center"/>
                </w:tcPr>
                <w:p w14:paraId="1093B899">
                  <w:pPr>
                    <w:jc w:val="center"/>
                    <w:rPr>
                      <w:rFonts w:ascii="Times New Roman" w:hAnsi="Times New Roman"/>
                      <w:b w:val="0"/>
                      <w:bCs w:val="0"/>
                      <w:color w:val="auto"/>
                      <w:sz w:val="21"/>
                      <w:szCs w:val="21"/>
                      <w:highlight w:val="none"/>
                    </w:rPr>
                  </w:pPr>
                </w:p>
              </w:tc>
            </w:tr>
            <w:tr w14:paraId="0F76DF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304" w:type="dxa"/>
                  <w:tcBorders>
                    <w:tl2br w:val="nil"/>
                    <w:tr2bl w:val="nil"/>
                  </w:tcBorders>
                  <w:noWrap w:val="0"/>
                  <w:vAlign w:val="center"/>
                </w:tcPr>
                <w:p w14:paraId="2D7FB0F0">
                  <w:pPr>
                    <w:jc w:val="center"/>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颗粒物</w:t>
                  </w:r>
                </w:p>
              </w:tc>
              <w:tc>
                <w:tcPr>
                  <w:tcW w:w="1843" w:type="dxa"/>
                  <w:tcBorders>
                    <w:tl2br w:val="nil"/>
                    <w:tr2bl w:val="nil"/>
                  </w:tcBorders>
                  <w:noWrap w:val="0"/>
                  <w:vAlign w:val="center"/>
                </w:tcPr>
                <w:p w14:paraId="6CD8E923">
                  <w:pPr>
                    <w:jc w:val="center"/>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120</w:t>
                  </w:r>
                </w:p>
              </w:tc>
              <w:tc>
                <w:tcPr>
                  <w:tcW w:w="1506" w:type="dxa"/>
                  <w:tcBorders>
                    <w:tl2br w:val="nil"/>
                    <w:tr2bl w:val="nil"/>
                  </w:tcBorders>
                  <w:noWrap w:val="0"/>
                  <w:vAlign w:val="center"/>
                </w:tcPr>
                <w:p w14:paraId="50379EB5">
                  <w:pPr>
                    <w:jc w:val="center"/>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15</w:t>
                  </w:r>
                </w:p>
              </w:tc>
              <w:tc>
                <w:tcPr>
                  <w:tcW w:w="1552" w:type="dxa"/>
                  <w:tcBorders>
                    <w:tl2br w:val="nil"/>
                    <w:tr2bl w:val="nil"/>
                  </w:tcBorders>
                  <w:noWrap w:val="0"/>
                  <w:vAlign w:val="center"/>
                </w:tcPr>
                <w:p w14:paraId="0D3FEBB0">
                  <w:pPr>
                    <w:jc w:val="center"/>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3.5</w:t>
                  </w:r>
                </w:p>
              </w:tc>
              <w:tc>
                <w:tcPr>
                  <w:tcW w:w="1946" w:type="dxa"/>
                  <w:tcBorders>
                    <w:tl2br w:val="nil"/>
                    <w:tr2bl w:val="nil"/>
                  </w:tcBorders>
                  <w:noWrap w:val="0"/>
                  <w:vAlign w:val="center"/>
                </w:tcPr>
                <w:p w14:paraId="42A38DA5">
                  <w:pPr>
                    <w:jc w:val="center"/>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1.0</w:t>
                  </w:r>
                </w:p>
              </w:tc>
            </w:tr>
          </w:tbl>
          <w:p w14:paraId="32EADC6C">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表</w:t>
            </w:r>
            <w:r>
              <w:rPr>
                <w:rFonts w:hint="eastAsia" w:cs="Times New Roman"/>
                <w:color w:val="auto"/>
                <w:sz w:val="21"/>
                <w:szCs w:val="21"/>
                <w:highlight w:val="none"/>
                <w:lang w:val="en-US" w:eastAsia="zh-CN"/>
              </w:rPr>
              <w:t>3-1</w:t>
            </w:r>
            <w:r>
              <w:rPr>
                <w:rFonts w:hint="eastAsia" w:ascii="Times New Roman" w:hAnsi="Times New Roman" w:eastAsia="宋体" w:cs="Times New Roman"/>
                <w:color w:val="auto"/>
                <w:sz w:val="21"/>
                <w:szCs w:val="21"/>
                <w:highlight w:val="none"/>
                <w:lang w:val="en-US" w:eastAsia="zh-CN"/>
              </w:rPr>
              <w:t xml:space="preserve">2 </w:t>
            </w:r>
            <w:r>
              <w:rPr>
                <w:rFonts w:hint="eastAsia" w:ascii="Times New Roman" w:hAnsi="Times New Roman" w:eastAsia="宋体" w:cs="Times New Roman"/>
                <w:color w:val="auto"/>
                <w:sz w:val="21"/>
                <w:szCs w:val="21"/>
                <w:highlight w:val="none"/>
              </w:rPr>
              <w:t xml:space="preserve"> </w:t>
            </w:r>
            <w:r>
              <w:rPr>
                <w:rFonts w:ascii="Times New Roman" w:hAnsi="Times New Roman" w:eastAsia="宋体" w:cs="Times New Roman"/>
                <w:color w:val="auto"/>
                <w:sz w:val="21"/>
                <w:szCs w:val="21"/>
                <w:highlight w:val="none"/>
              </w:rPr>
              <w:t>恶臭污染物排放标准</w:t>
            </w:r>
          </w:p>
          <w:tbl>
            <w:tblPr>
              <w:tblStyle w:val="2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144"/>
              <w:gridCol w:w="2019"/>
              <w:gridCol w:w="2079"/>
              <w:gridCol w:w="2079"/>
            </w:tblGrid>
            <w:tr w14:paraId="10B9112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89" w:type="pct"/>
                  <w:vMerge w:val="restart"/>
                  <w:tcBorders>
                    <w:tl2br w:val="nil"/>
                    <w:tr2bl w:val="nil"/>
                  </w:tcBorders>
                  <w:noWrap w:val="0"/>
                  <w:vAlign w:val="center"/>
                </w:tcPr>
                <w:p w14:paraId="7AA153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污染物名称</w:t>
                  </w:r>
                </w:p>
              </w:tc>
              <w:tc>
                <w:tcPr>
                  <w:tcW w:w="2462" w:type="pct"/>
                  <w:gridSpan w:val="2"/>
                  <w:tcBorders>
                    <w:tl2br w:val="nil"/>
                    <w:tr2bl w:val="nil"/>
                  </w:tcBorders>
                  <w:noWrap w:val="0"/>
                  <w:vAlign w:val="center"/>
                </w:tcPr>
                <w:p w14:paraId="27C9189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最高允许排放速率（kg/h）</w:t>
                  </w:r>
                </w:p>
              </w:tc>
              <w:tc>
                <w:tcPr>
                  <w:tcW w:w="1249" w:type="pct"/>
                  <w:vMerge w:val="restart"/>
                  <w:tcBorders>
                    <w:tl2br w:val="nil"/>
                    <w:tr2bl w:val="nil"/>
                  </w:tcBorders>
                  <w:noWrap w:val="0"/>
                  <w:vAlign w:val="center"/>
                </w:tcPr>
                <w:p w14:paraId="1AE1923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无组织排放浓度限值(mg/m</w:t>
                  </w:r>
                  <w:r>
                    <w:rPr>
                      <w:rFonts w:ascii="Times New Roman" w:hAnsi="Times New Roman"/>
                      <w:b w:val="0"/>
                      <w:bCs w:val="0"/>
                      <w:color w:val="auto"/>
                      <w:sz w:val="21"/>
                      <w:szCs w:val="21"/>
                      <w:highlight w:val="none"/>
                      <w:vertAlign w:val="superscript"/>
                    </w:rPr>
                    <w:t>3</w:t>
                  </w:r>
                  <w:r>
                    <w:rPr>
                      <w:rFonts w:ascii="Times New Roman" w:hAnsi="Times New Roman"/>
                      <w:b w:val="0"/>
                      <w:bCs w:val="0"/>
                      <w:color w:val="auto"/>
                      <w:sz w:val="21"/>
                      <w:szCs w:val="21"/>
                      <w:highlight w:val="none"/>
                    </w:rPr>
                    <w:t>)</w:t>
                  </w:r>
                </w:p>
              </w:tc>
            </w:tr>
            <w:tr w14:paraId="7C4B11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89" w:type="pct"/>
                  <w:vMerge w:val="continue"/>
                  <w:tcBorders>
                    <w:tl2br w:val="nil"/>
                    <w:tr2bl w:val="nil"/>
                  </w:tcBorders>
                  <w:noWrap w:val="0"/>
                  <w:vAlign w:val="center"/>
                </w:tcPr>
                <w:p w14:paraId="1ACA6D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b w:val="0"/>
                      <w:bCs w:val="0"/>
                      <w:color w:val="auto"/>
                      <w:sz w:val="21"/>
                      <w:szCs w:val="21"/>
                      <w:highlight w:val="none"/>
                    </w:rPr>
                  </w:pPr>
                </w:p>
              </w:tc>
              <w:tc>
                <w:tcPr>
                  <w:tcW w:w="1213" w:type="pct"/>
                  <w:tcBorders>
                    <w:tl2br w:val="nil"/>
                    <w:tr2bl w:val="nil"/>
                  </w:tcBorders>
                  <w:noWrap w:val="0"/>
                  <w:vAlign w:val="center"/>
                </w:tcPr>
                <w:p w14:paraId="30CC10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排气筒高度（m）</w:t>
                  </w:r>
                </w:p>
              </w:tc>
              <w:tc>
                <w:tcPr>
                  <w:tcW w:w="1249" w:type="pct"/>
                  <w:tcBorders>
                    <w:tl2br w:val="nil"/>
                    <w:tr2bl w:val="nil"/>
                  </w:tcBorders>
                  <w:noWrap w:val="0"/>
                  <w:vAlign w:val="center"/>
                </w:tcPr>
                <w:p w14:paraId="425631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排放限值</w:t>
                  </w:r>
                </w:p>
              </w:tc>
              <w:tc>
                <w:tcPr>
                  <w:tcW w:w="1249" w:type="pct"/>
                  <w:vMerge w:val="continue"/>
                  <w:tcBorders>
                    <w:tl2br w:val="nil"/>
                    <w:tr2bl w:val="nil"/>
                  </w:tcBorders>
                  <w:noWrap w:val="0"/>
                  <w:vAlign w:val="center"/>
                </w:tcPr>
                <w:p w14:paraId="5C4F72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b w:val="0"/>
                      <w:bCs w:val="0"/>
                      <w:color w:val="auto"/>
                      <w:sz w:val="21"/>
                      <w:szCs w:val="21"/>
                      <w:highlight w:val="none"/>
                    </w:rPr>
                  </w:pPr>
                </w:p>
              </w:tc>
            </w:tr>
            <w:tr w14:paraId="70F4661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89" w:type="pct"/>
                  <w:tcBorders>
                    <w:tl2br w:val="nil"/>
                    <w:tr2bl w:val="nil"/>
                  </w:tcBorders>
                  <w:noWrap w:val="0"/>
                  <w:vAlign w:val="center"/>
                </w:tcPr>
                <w:p w14:paraId="266B0F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H</w:t>
                  </w:r>
                  <w:r>
                    <w:rPr>
                      <w:rFonts w:ascii="Times New Roman" w:hAnsi="Times New Roman"/>
                      <w:b w:val="0"/>
                      <w:bCs w:val="0"/>
                      <w:color w:val="auto"/>
                      <w:sz w:val="21"/>
                      <w:szCs w:val="21"/>
                      <w:highlight w:val="none"/>
                      <w:vertAlign w:val="subscript"/>
                    </w:rPr>
                    <w:t>2</w:t>
                  </w:r>
                  <w:r>
                    <w:rPr>
                      <w:rFonts w:ascii="Times New Roman" w:hAnsi="Times New Roman"/>
                      <w:b w:val="0"/>
                      <w:bCs w:val="0"/>
                      <w:color w:val="auto"/>
                      <w:sz w:val="21"/>
                      <w:szCs w:val="21"/>
                      <w:highlight w:val="none"/>
                    </w:rPr>
                    <w:t>S</w:t>
                  </w:r>
                </w:p>
              </w:tc>
              <w:tc>
                <w:tcPr>
                  <w:tcW w:w="1213" w:type="pct"/>
                  <w:tcBorders>
                    <w:tl2br w:val="nil"/>
                    <w:tr2bl w:val="nil"/>
                  </w:tcBorders>
                  <w:noWrap w:val="0"/>
                  <w:vAlign w:val="center"/>
                </w:tcPr>
                <w:p w14:paraId="2A9BF5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15</w:t>
                  </w:r>
                </w:p>
              </w:tc>
              <w:tc>
                <w:tcPr>
                  <w:tcW w:w="1249" w:type="pct"/>
                  <w:tcBorders>
                    <w:tl2br w:val="nil"/>
                    <w:tr2bl w:val="nil"/>
                  </w:tcBorders>
                  <w:noWrap w:val="0"/>
                  <w:vAlign w:val="center"/>
                </w:tcPr>
                <w:p w14:paraId="76099C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0.33</w:t>
                  </w:r>
                </w:p>
              </w:tc>
              <w:tc>
                <w:tcPr>
                  <w:tcW w:w="1249" w:type="pct"/>
                  <w:tcBorders>
                    <w:tl2br w:val="nil"/>
                    <w:tr2bl w:val="nil"/>
                  </w:tcBorders>
                  <w:noWrap w:val="0"/>
                  <w:vAlign w:val="center"/>
                </w:tcPr>
                <w:p w14:paraId="06760B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0.06</w:t>
                  </w:r>
                </w:p>
              </w:tc>
            </w:tr>
            <w:tr w14:paraId="401E85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89" w:type="pct"/>
                  <w:tcBorders>
                    <w:tl2br w:val="nil"/>
                    <w:tr2bl w:val="nil"/>
                  </w:tcBorders>
                  <w:noWrap w:val="0"/>
                  <w:vAlign w:val="center"/>
                </w:tcPr>
                <w:p w14:paraId="04C1FE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b w:val="0"/>
                      <w:bCs w:val="0"/>
                      <w:color w:val="auto"/>
                      <w:sz w:val="21"/>
                      <w:szCs w:val="21"/>
                      <w:highlight w:val="none"/>
                      <w:vertAlign w:val="subscript"/>
                    </w:rPr>
                  </w:pPr>
                  <w:r>
                    <w:rPr>
                      <w:rFonts w:ascii="Times New Roman" w:hAnsi="Times New Roman"/>
                      <w:b w:val="0"/>
                      <w:bCs w:val="0"/>
                      <w:color w:val="auto"/>
                      <w:sz w:val="21"/>
                      <w:szCs w:val="21"/>
                      <w:highlight w:val="none"/>
                    </w:rPr>
                    <w:t>NH</w:t>
                  </w:r>
                  <w:r>
                    <w:rPr>
                      <w:rFonts w:ascii="Times New Roman" w:hAnsi="Times New Roman"/>
                      <w:b w:val="0"/>
                      <w:bCs w:val="0"/>
                      <w:color w:val="auto"/>
                      <w:sz w:val="21"/>
                      <w:szCs w:val="21"/>
                      <w:highlight w:val="none"/>
                      <w:vertAlign w:val="subscript"/>
                    </w:rPr>
                    <w:t>3</w:t>
                  </w:r>
                </w:p>
              </w:tc>
              <w:tc>
                <w:tcPr>
                  <w:tcW w:w="1213" w:type="pct"/>
                  <w:tcBorders>
                    <w:tl2br w:val="nil"/>
                    <w:tr2bl w:val="nil"/>
                  </w:tcBorders>
                  <w:noWrap w:val="0"/>
                  <w:vAlign w:val="center"/>
                </w:tcPr>
                <w:p w14:paraId="7FC79D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15</w:t>
                  </w:r>
                </w:p>
              </w:tc>
              <w:tc>
                <w:tcPr>
                  <w:tcW w:w="1249" w:type="pct"/>
                  <w:tcBorders>
                    <w:tl2br w:val="nil"/>
                    <w:tr2bl w:val="nil"/>
                  </w:tcBorders>
                  <w:noWrap w:val="0"/>
                  <w:vAlign w:val="center"/>
                </w:tcPr>
                <w:p w14:paraId="309D39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4.9</w:t>
                  </w:r>
                </w:p>
              </w:tc>
              <w:tc>
                <w:tcPr>
                  <w:tcW w:w="1249" w:type="pct"/>
                  <w:tcBorders>
                    <w:tl2br w:val="nil"/>
                    <w:tr2bl w:val="nil"/>
                  </w:tcBorders>
                  <w:noWrap w:val="0"/>
                  <w:vAlign w:val="center"/>
                </w:tcPr>
                <w:p w14:paraId="699117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b w:val="0"/>
                      <w:bCs w:val="0"/>
                      <w:color w:val="auto"/>
                      <w:sz w:val="21"/>
                      <w:szCs w:val="21"/>
                      <w:highlight w:val="none"/>
                    </w:rPr>
                  </w:pPr>
                  <w:r>
                    <w:rPr>
                      <w:rFonts w:ascii="Times New Roman" w:hAnsi="Times New Roman"/>
                      <w:b w:val="0"/>
                      <w:bCs w:val="0"/>
                      <w:color w:val="auto"/>
                      <w:sz w:val="21"/>
                      <w:szCs w:val="21"/>
                      <w:highlight w:val="none"/>
                    </w:rPr>
                    <w:t>1.5</w:t>
                  </w:r>
                </w:p>
              </w:tc>
            </w:tr>
            <w:tr w14:paraId="440B8E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89" w:type="pct"/>
                  <w:tcBorders>
                    <w:tl2br w:val="nil"/>
                    <w:tr2bl w:val="nil"/>
                  </w:tcBorders>
                  <w:noWrap w:val="0"/>
                  <w:vAlign w:val="center"/>
                </w:tcPr>
                <w:p w14:paraId="73D0A28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b w:val="0"/>
                      <w:bCs w:val="0"/>
                      <w:color w:val="auto"/>
                      <w:sz w:val="21"/>
                      <w:szCs w:val="21"/>
                      <w:highlight w:val="none"/>
                      <w:lang w:eastAsia="zh-CN"/>
                    </w:rPr>
                  </w:pPr>
                  <w:r>
                    <w:rPr>
                      <w:rFonts w:hint="eastAsia" w:ascii="Times New Roman" w:hAnsi="Times New Roman"/>
                      <w:b w:val="0"/>
                      <w:bCs w:val="0"/>
                      <w:color w:val="auto"/>
                      <w:sz w:val="21"/>
                      <w:szCs w:val="21"/>
                      <w:highlight w:val="none"/>
                      <w:lang w:eastAsia="zh-CN"/>
                    </w:rPr>
                    <w:t>臭气浓度</w:t>
                  </w:r>
                </w:p>
              </w:tc>
              <w:tc>
                <w:tcPr>
                  <w:tcW w:w="1213" w:type="pct"/>
                  <w:tcBorders>
                    <w:tl2br w:val="nil"/>
                    <w:tr2bl w:val="nil"/>
                  </w:tcBorders>
                  <w:noWrap w:val="0"/>
                  <w:vAlign w:val="center"/>
                </w:tcPr>
                <w:p w14:paraId="6E1934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b w:val="0"/>
                      <w:bCs w:val="0"/>
                      <w:color w:val="auto"/>
                      <w:sz w:val="21"/>
                      <w:szCs w:val="21"/>
                      <w:highlight w:val="none"/>
                      <w:lang w:val="en-US" w:eastAsia="zh-CN"/>
                    </w:rPr>
                  </w:pPr>
                  <w:r>
                    <w:rPr>
                      <w:rFonts w:hint="eastAsia" w:ascii="Times New Roman" w:hAnsi="Times New Roman"/>
                      <w:b w:val="0"/>
                      <w:bCs w:val="0"/>
                      <w:color w:val="auto"/>
                      <w:sz w:val="21"/>
                      <w:szCs w:val="21"/>
                      <w:highlight w:val="none"/>
                      <w:lang w:val="en-US" w:eastAsia="zh-CN"/>
                    </w:rPr>
                    <w:t>15</w:t>
                  </w:r>
                </w:p>
              </w:tc>
              <w:tc>
                <w:tcPr>
                  <w:tcW w:w="1249" w:type="pct"/>
                  <w:tcBorders>
                    <w:tl2br w:val="nil"/>
                    <w:tr2bl w:val="nil"/>
                  </w:tcBorders>
                  <w:noWrap w:val="0"/>
                  <w:vAlign w:val="center"/>
                </w:tcPr>
                <w:p w14:paraId="20F1F5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b w:val="0"/>
                      <w:bCs w:val="0"/>
                      <w:color w:val="auto"/>
                      <w:sz w:val="21"/>
                      <w:szCs w:val="21"/>
                      <w:highlight w:val="none"/>
                      <w:lang w:val="en-US" w:eastAsia="zh-CN"/>
                    </w:rPr>
                  </w:pPr>
                  <w:r>
                    <w:rPr>
                      <w:rFonts w:hint="eastAsia" w:ascii="Times New Roman" w:hAnsi="Times New Roman"/>
                      <w:b w:val="0"/>
                      <w:bCs w:val="0"/>
                      <w:color w:val="auto"/>
                      <w:sz w:val="21"/>
                      <w:szCs w:val="21"/>
                      <w:highlight w:val="none"/>
                      <w:lang w:val="en-US" w:eastAsia="zh-CN"/>
                    </w:rPr>
                    <w:t>2000</w:t>
                  </w:r>
                </w:p>
              </w:tc>
              <w:tc>
                <w:tcPr>
                  <w:tcW w:w="1249" w:type="pct"/>
                  <w:tcBorders>
                    <w:tl2br w:val="nil"/>
                    <w:tr2bl w:val="nil"/>
                  </w:tcBorders>
                  <w:noWrap w:val="0"/>
                  <w:vAlign w:val="center"/>
                </w:tcPr>
                <w:p w14:paraId="1C3DB8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b w:val="0"/>
                      <w:bCs w:val="0"/>
                      <w:color w:val="auto"/>
                      <w:sz w:val="21"/>
                      <w:szCs w:val="21"/>
                      <w:highlight w:val="none"/>
                      <w:lang w:val="en-US" w:eastAsia="zh-CN"/>
                    </w:rPr>
                  </w:pPr>
                  <w:r>
                    <w:rPr>
                      <w:rFonts w:hint="eastAsia" w:ascii="Times New Roman" w:hAnsi="Times New Roman"/>
                      <w:b w:val="0"/>
                      <w:bCs w:val="0"/>
                      <w:color w:val="auto"/>
                      <w:sz w:val="21"/>
                      <w:szCs w:val="21"/>
                      <w:highlight w:val="none"/>
                      <w:lang w:val="en-US" w:eastAsia="zh-CN"/>
                    </w:rPr>
                    <w:t>20</w:t>
                  </w:r>
                </w:p>
              </w:tc>
            </w:tr>
          </w:tbl>
          <w:p w14:paraId="0BAF13F6">
            <w:pPr>
              <w:keepNext w:val="0"/>
              <w:keepLines w:val="0"/>
              <w:pageBreakBefore w:val="0"/>
              <w:widowControl w:val="0"/>
              <w:kinsoku/>
              <w:wordWrap/>
              <w:overflowPunct/>
              <w:topLinePunct w:val="0"/>
              <w:autoSpaceDE/>
              <w:autoSpaceDN/>
              <w:bidi w:val="0"/>
              <w:adjustRightInd/>
              <w:snapToGrid/>
              <w:spacing w:line="440" w:lineRule="exact"/>
              <w:textAlignment w:val="auto"/>
              <w:rPr>
                <w:b/>
                <w:bCs/>
                <w:color w:val="auto"/>
                <w:kern w:val="0"/>
                <w:sz w:val="24"/>
                <w:highlight w:val="none"/>
              </w:rPr>
            </w:pPr>
            <w:r>
              <w:rPr>
                <w:rFonts w:hint="eastAsia"/>
                <w:b/>
                <w:bCs/>
                <w:color w:val="auto"/>
                <w:kern w:val="0"/>
                <w:sz w:val="24"/>
                <w:highlight w:val="none"/>
              </w:rPr>
              <w:t>2、废水排放标准</w:t>
            </w:r>
          </w:p>
          <w:p w14:paraId="569D852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highlight w:val="none"/>
              </w:rPr>
            </w:pPr>
            <w:r>
              <w:rPr>
                <w:rFonts w:hint="eastAsia"/>
                <w:color w:val="auto"/>
                <w:kern w:val="0"/>
                <w:sz w:val="24"/>
                <w:highlight w:val="none"/>
              </w:rPr>
              <w:t>（1）施工期</w:t>
            </w:r>
          </w:p>
          <w:p w14:paraId="00010C5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eastAsia="宋体"/>
                <w:color w:val="auto"/>
                <w:sz w:val="24"/>
                <w:highlight w:val="none"/>
                <w:lang w:val="en-US" w:eastAsia="zh-CN"/>
              </w:rPr>
            </w:pPr>
            <w:r>
              <w:rPr>
                <w:rFonts w:hint="eastAsia"/>
                <w:color w:val="auto"/>
                <w:sz w:val="24"/>
                <w:highlight w:val="none"/>
              </w:rPr>
              <w:t>公司果蔬加工项目已通过竣工验收，环保设施完善。</w:t>
            </w:r>
            <w:r>
              <w:rPr>
                <w:color w:val="auto"/>
                <w:sz w:val="24"/>
                <w:highlight w:val="none"/>
              </w:rPr>
              <w:t>项目施工期</w:t>
            </w:r>
            <w:r>
              <w:rPr>
                <w:rFonts w:hint="eastAsia"/>
                <w:color w:val="auto"/>
                <w:sz w:val="24"/>
                <w:highlight w:val="none"/>
              </w:rPr>
              <w:t>施工废水</w:t>
            </w:r>
            <w:r>
              <w:rPr>
                <w:color w:val="auto"/>
                <w:sz w:val="24"/>
                <w:highlight w:val="none"/>
              </w:rPr>
              <w:t>，</w:t>
            </w:r>
            <w:r>
              <w:rPr>
                <w:rFonts w:hint="eastAsia"/>
                <w:color w:val="auto"/>
                <w:sz w:val="24"/>
                <w:highlight w:val="none"/>
              </w:rPr>
              <w:t>回</w:t>
            </w:r>
            <w:r>
              <w:rPr>
                <w:color w:val="auto"/>
                <w:sz w:val="24"/>
                <w:highlight w:val="none"/>
              </w:rPr>
              <w:t>用于施工场地洒水降尘，不外排</w:t>
            </w:r>
            <w:r>
              <w:rPr>
                <w:rFonts w:hint="eastAsia"/>
                <w:color w:val="auto"/>
                <w:sz w:val="24"/>
                <w:highlight w:val="none"/>
                <w:lang w:eastAsia="zh-CN"/>
              </w:rPr>
              <w:t>；</w:t>
            </w:r>
            <w:r>
              <w:rPr>
                <w:rFonts w:hint="eastAsia"/>
                <w:color w:val="auto"/>
                <w:sz w:val="24"/>
                <w:highlight w:val="none"/>
              </w:rPr>
              <w:t>施工人员生活废水</w:t>
            </w:r>
            <w:r>
              <w:rPr>
                <w:rFonts w:hint="eastAsia"/>
                <w:color w:val="auto"/>
                <w:sz w:val="24"/>
                <w:highlight w:val="none"/>
                <w:lang w:val="en-US" w:eastAsia="zh-CN"/>
              </w:rPr>
              <w:t>依托</w:t>
            </w:r>
            <w:r>
              <w:rPr>
                <w:rFonts w:hint="eastAsia"/>
                <w:color w:val="auto"/>
                <w:sz w:val="24"/>
                <w:highlight w:val="none"/>
              </w:rPr>
              <w:t>现有</w:t>
            </w:r>
            <w:r>
              <w:rPr>
                <w:rFonts w:hint="eastAsia"/>
                <w:color w:val="auto"/>
                <w:sz w:val="24"/>
                <w:highlight w:val="none"/>
                <w:lang w:val="en-US" w:eastAsia="zh-CN"/>
              </w:rPr>
              <w:t>项目已建</w:t>
            </w:r>
            <w:r>
              <w:rPr>
                <w:rFonts w:hint="eastAsia"/>
                <w:color w:val="auto"/>
                <w:sz w:val="24"/>
                <w:highlight w:val="none"/>
              </w:rPr>
              <w:t>化粪池</w:t>
            </w:r>
            <w:r>
              <w:rPr>
                <w:rFonts w:hint="eastAsia"/>
                <w:color w:val="auto"/>
                <w:sz w:val="24"/>
                <w:highlight w:val="none"/>
                <w:lang w:val="en-US" w:eastAsia="zh-CN"/>
              </w:rPr>
              <w:t>处理后，进入寻甸县污水处理厂处理，其执行</w:t>
            </w:r>
            <w:r>
              <w:rPr>
                <w:rFonts w:hint="eastAsia"/>
                <w:color w:val="auto"/>
                <w:sz w:val="24"/>
                <w:highlight w:val="none"/>
              </w:rPr>
              <w:t>《污水综合排放标准》（GB 8978-1996）中三级标准</w:t>
            </w:r>
            <w:r>
              <w:rPr>
                <w:rFonts w:hint="eastAsia"/>
                <w:color w:val="auto"/>
                <w:sz w:val="24"/>
                <w:highlight w:val="none"/>
                <w:lang w:eastAsia="zh-CN"/>
              </w:rPr>
              <w:t>。</w:t>
            </w:r>
          </w:p>
          <w:p w14:paraId="680FBE0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highlight w:val="none"/>
              </w:rPr>
            </w:pPr>
            <w:r>
              <w:rPr>
                <w:rFonts w:hint="eastAsia"/>
                <w:color w:val="auto"/>
                <w:kern w:val="0"/>
                <w:sz w:val="24"/>
                <w:highlight w:val="none"/>
              </w:rPr>
              <w:t>（2）运营期</w:t>
            </w:r>
          </w:p>
          <w:p w14:paraId="74F3AD9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highlight w:val="none"/>
              </w:rPr>
            </w:pPr>
            <w:r>
              <w:rPr>
                <w:rFonts w:hint="eastAsia"/>
                <w:color w:val="auto"/>
                <w:sz w:val="24"/>
                <w:highlight w:val="none"/>
                <w:lang w:val="en-US" w:eastAsia="zh-CN"/>
              </w:rPr>
              <w:t>本次</w:t>
            </w:r>
            <w:r>
              <w:rPr>
                <w:rFonts w:hint="eastAsia"/>
                <w:color w:val="auto"/>
                <w:sz w:val="24"/>
                <w:highlight w:val="none"/>
              </w:rPr>
              <w:t>改扩建不新增排污口，新增的液</w:t>
            </w:r>
            <w:r>
              <w:rPr>
                <w:rFonts w:hint="eastAsia"/>
                <w:color w:val="auto"/>
                <w:sz w:val="24"/>
                <w:highlight w:val="none"/>
                <w:lang w:val="en-US" w:eastAsia="zh-CN"/>
              </w:rPr>
              <w:t>体复合微生物肥</w:t>
            </w:r>
            <w:r>
              <w:rPr>
                <w:rFonts w:hint="eastAsia"/>
                <w:color w:val="auto"/>
                <w:sz w:val="24"/>
                <w:highlight w:val="none"/>
              </w:rPr>
              <w:t>灌装设备及车间地面清洗废水均</w:t>
            </w:r>
            <w:r>
              <w:rPr>
                <w:rFonts w:hint="eastAsia"/>
                <w:color w:val="auto"/>
                <w:sz w:val="24"/>
                <w:highlight w:val="none"/>
                <w:lang w:val="en-US" w:eastAsia="zh-CN"/>
              </w:rPr>
              <w:t>依托现有污水处理站处理后</w:t>
            </w:r>
            <w:r>
              <w:rPr>
                <w:rFonts w:hint="eastAsia"/>
                <w:color w:val="auto"/>
                <w:sz w:val="24"/>
                <w:highlight w:val="none"/>
              </w:rPr>
              <w:t>汇入厂区综合排污口D</w:t>
            </w:r>
            <w:r>
              <w:rPr>
                <w:rFonts w:hint="eastAsia"/>
                <w:color w:val="auto"/>
                <w:sz w:val="24"/>
                <w:highlight w:val="none"/>
                <w:lang w:val="en-US" w:eastAsia="zh-CN"/>
              </w:rPr>
              <w:t>W</w:t>
            </w:r>
            <w:r>
              <w:rPr>
                <w:rFonts w:hint="eastAsia"/>
                <w:color w:val="auto"/>
                <w:sz w:val="24"/>
                <w:highlight w:val="none"/>
              </w:rPr>
              <w:t>001，从衔接排污许可证要求的角度出发，污水排入设置二级污水处理厂的城镇排水系统的污水，应执行三级标准</w:t>
            </w:r>
            <w:r>
              <w:rPr>
                <w:rFonts w:hint="eastAsia"/>
                <w:color w:val="auto"/>
                <w:sz w:val="24"/>
                <w:highlight w:val="none"/>
                <w:lang w:eastAsia="zh-CN"/>
              </w:rPr>
              <w:t>，</w:t>
            </w:r>
            <w:r>
              <w:rPr>
                <w:rFonts w:hint="eastAsia"/>
                <w:color w:val="auto"/>
                <w:sz w:val="24"/>
                <w:highlight w:val="none"/>
                <w:lang w:val="en-US" w:eastAsia="zh-CN"/>
              </w:rPr>
              <w:t>即本项目</w:t>
            </w:r>
            <w:r>
              <w:rPr>
                <w:rFonts w:hint="eastAsia"/>
                <w:color w:val="auto"/>
                <w:sz w:val="24"/>
                <w:highlight w:val="none"/>
              </w:rPr>
              <w:t>改扩建后全厂综合废水排放口应执行《污水综合排放标准》（GB 8978-1996）中三级标准。</w:t>
            </w:r>
          </w:p>
          <w:p w14:paraId="7C25199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b/>
                <w:bCs/>
                <w:color w:val="auto"/>
                <w:szCs w:val="21"/>
                <w:highlight w:val="none"/>
                <w:lang w:val="en-US"/>
              </w:rPr>
            </w:pPr>
            <w:r>
              <w:rPr>
                <w:rFonts w:hint="eastAsia" w:ascii="Times New Roman" w:hAnsi="Times New Roman" w:eastAsia="宋体" w:cs="宋体"/>
                <w:b/>
                <w:bCs/>
                <w:color w:val="auto"/>
                <w:kern w:val="2"/>
                <w:sz w:val="21"/>
                <w:szCs w:val="21"/>
                <w:highlight w:val="none"/>
                <w:lang w:val="en-US" w:eastAsia="zh-CN" w:bidi="ar"/>
              </w:rPr>
              <w:t>表</w:t>
            </w:r>
            <w:r>
              <w:rPr>
                <w:rFonts w:hint="default" w:ascii="Times New Roman" w:hAnsi="Times New Roman" w:eastAsia="宋体" w:cs="Times New Roman"/>
                <w:b/>
                <w:bCs/>
                <w:color w:val="auto"/>
                <w:kern w:val="2"/>
                <w:sz w:val="21"/>
                <w:szCs w:val="21"/>
                <w:highlight w:val="none"/>
                <w:lang w:val="en-US" w:eastAsia="zh-CN" w:bidi="ar"/>
              </w:rPr>
              <w:t>3-</w:t>
            </w:r>
            <w:r>
              <w:rPr>
                <w:rFonts w:hint="eastAsia" w:cs="Times New Roman"/>
                <w:b/>
                <w:bCs/>
                <w:color w:val="auto"/>
                <w:kern w:val="2"/>
                <w:sz w:val="21"/>
                <w:szCs w:val="21"/>
                <w:highlight w:val="none"/>
                <w:lang w:val="en-US" w:eastAsia="zh-CN" w:bidi="ar"/>
              </w:rPr>
              <w:t>13</w:t>
            </w:r>
            <w:r>
              <w:rPr>
                <w:rFonts w:hint="default" w:ascii="Times New Roman" w:hAnsi="Times New Roman" w:eastAsia="宋体" w:cs="Times New Roman"/>
                <w:b/>
                <w:bCs/>
                <w:color w:val="auto"/>
                <w:kern w:val="2"/>
                <w:sz w:val="21"/>
                <w:szCs w:val="21"/>
                <w:highlight w:val="none"/>
                <w:lang w:val="en-US" w:eastAsia="zh-CN" w:bidi="ar"/>
              </w:rPr>
              <w:t xml:space="preserve">  </w:t>
            </w:r>
            <w:r>
              <w:rPr>
                <w:rFonts w:ascii="Times New Roman" w:hAnsi="Times New Roman" w:eastAsia="宋体" w:cs="Times New Roman"/>
                <w:b/>
                <w:bCs w:val="0"/>
                <w:color w:val="auto"/>
                <w:sz w:val="21"/>
                <w:szCs w:val="21"/>
                <w:highlight w:val="none"/>
                <w:lang w:val="en-US" w:eastAsia="zh-CN"/>
              </w:rPr>
              <w:t>项目</w:t>
            </w:r>
            <w:r>
              <w:rPr>
                <w:rFonts w:hint="eastAsia" w:ascii="Times New Roman" w:hAnsi="Times New Roman" w:eastAsia="宋体" w:cs="Times New Roman"/>
                <w:b/>
                <w:bCs w:val="0"/>
                <w:color w:val="auto"/>
                <w:sz w:val="21"/>
                <w:szCs w:val="21"/>
                <w:highlight w:val="none"/>
                <w:lang w:val="en-US" w:eastAsia="zh-CN"/>
              </w:rPr>
              <w:t>废水</w:t>
            </w:r>
            <w:r>
              <w:rPr>
                <w:rFonts w:ascii="Times New Roman" w:hAnsi="Times New Roman" w:eastAsia="宋体" w:cs="Times New Roman"/>
                <w:b/>
                <w:bCs w:val="0"/>
                <w:color w:val="auto"/>
                <w:sz w:val="21"/>
                <w:szCs w:val="21"/>
                <w:highlight w:val="none"/>
                <w:lang w:val="en-US" w:eastAsia="zh-CN"/>
              </w:rPr>
              <w:t>标准限值（</w:t>
            </w:r>
            <w:r>
              <w:rPr>
                <w:rFonts w:hint="default" w:ascii="Times New Roman" w:hAnsi="Times New Roman" w:eastAsia="宋体" w:cs="Times New Roman"/>
                <w:b/>
                <w:bCs w:val="0"/>
                <w:color w:val="auto"/>
                <w:sz w:val="21"/>
                <w:szCs w:val="21"/>
                <w:highlight w:val="none"/>
                <w:lang w:val="en-US" w:eastAsia="zh-CN"/>
              </w:rPr>
              <w:t>mg/L</w:t>
            </w:r>
            <w:r>
              <w:rPr>
                <w:rFonts w:hint="eastAsia" w:ascii="Times New Roman" w:hAnsi="Times New Roman" w:eastAsia="宋体" w:cs="Times New Roman"/>
                <w:b/>
                <w:bCs w:val="0"/>
                <w:color w:val="auto"/>
                <w:sz w:val="21"/>
                <w:szCs w:val="21"/>
                <w:highlight w:val="none"/>
                <w:lang w:val="en-US" w:eastAsia="zh-CN"/>
              </w:rPr>
              <w:t>，</w:t>
            </w:r>
            <w:r>
              <w:rPr>
                <w:rFonts w:hint="default" w:ascii="Times New Roman" w:hAnsi="Times New Roman" w:eastAsia="宋体" w:cs="Times New Roman"/>
                <w:b/>
                <w:bCs w:val="0"/>
                <w:color w:val="auto"/>
                <w:sz w:val="21"/>
                <w:szCs w:val="21"/>
                <w:highlight w:val="none"/>
                <w:lang w:val="en-US" w:eastAsia="zh-CN"/>
              </w:rPr>
              <w:t>pH</w:t>
            </w:r>
            <w:r>
              <w:rPr>
                <w:rFonts w:hint="eastAsia" w:ascii="Times New Roman" w:hAnsi="Times New Roman" w:eastAsia="宋体" w:cs="Times New Roman"/>
                <w:b/>
                <w:bCs w:val="0"/>
                <w:color w:val="auto"/>
                <w:sz w:val="21"/>
                <w:szCs w:val="21"/>
                <w:highlight w:val="none"/>
                <w:lang w:val="en-US" w:eastAsia="zh-CN"/>
              </w:rPr>
              <w:t>除外）</w:t>
            </w:r>
          </w:p>
          <w:tbl>
            <w:tblPr>
              <w:tblStyle w:val="26"/>
              <w:tblW w:w="846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72"/>
              <w:gridCol w:w="1174"/>
              <w:gridCol w:w="876"/>
              <w:gridCol w:w="672"/>
              <w:gridCol w:w="840"/>
              <w:gridCol w:w="1119"/>
              <w:gridCol w:w="804"/>
              <w:gridCol w:w="803"/>
            </w:tblGrid>
            <w:tr w14:paraId="54FFD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72" w:type="dxa"/>
                  <w:tcBorders>
                    <w:top w:val="single" w:color="auto" w:sz="6" w:space="0"/>
                    <w:left w:val="single" w:color="auto" w:sz="6" w:space="0"/>
                    <w:bottom w:val="single" w:color="auto" w:sz="6" w:space="0"/>
                    <w:right w:val="single" w:color="auto" w:sz="6" w:space="0"/>
                  </w:tcBorders>
                  <w:noWrap w:val="0"/>
                  <w:vAlign w:val="center"/>
                </w:tcPr>
                <w:p w14:paraId="29C263A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b/>
                      <w:color w:val="auto"/>
                      <w:szCs w:val="21"/>
                      <w:highlight w:val="none"/>
                    </w:rPr>
                  </w:pPr>
                  <w:r>
                    <w:rPr>
                      <w:b/>
                      <w:color w:val="auto"/>
                      <w:szCs w:val="21"/>
                      <w:highlight w:val="none"/>
                      <w:lang w:bidi="ar"/>
                    </w:rPr>
                    <w:t>标准类别</w:t>
                  </w:r>
                </w:p>
              </w:tc>
              <w:tc>
                <w:tcPr>
                  <w:tcW w:w="1174" w:type="dxa"/>
                  <w:tcBorders>
                    <w:top w:val="single" w:color="auto" w:sz="6" w:space="0"/>
                    <w:left w:val="single" w:color="auto" w:sz="6" w:space="0"/>
                    <w:bottom w:val="single" w:color="auto" w:sz="6" w:space="0"/>
                    <w:right w:val="single" w:color="auto" w:sz="6" w:space="0"/>
                  </w:tcBorders>
                  <w:noWrap w:val="0"/>
                  <w:vAlign w:val="center"/>
                </w:tcPr>
                <w:p w14:paraId="51BC40A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b/>
                      <w:color w:val="auto"/>
                      <w:szCs w:val="21"/>
                      <w:highlight w:val="none"/>
                    </w:rPr>
                  </w:pPr>
                  <w:r>
                    <w:rPr>
                      <w:b/>
                      <w:color w:val="auto"/>
                      <w:szCs w:val="21"/>
                      <w:highlight w:val="none"/>
                      <w:lang w:bidi="ar"/>
                    </w:rPr>
                    <w:t>pH</w:t>
                  </w:r>
                </w:p>
              </w:tc>
              <w:tc>
                <w:tcPr>
                  <w:tcW w:w="876" w:type="dxa"/>
                  <w:tcBorders>
                    <w:top w:val="single" w:color="auto" w:sz="6" w:space="0"/>
                    <w:left w:val="single" w:color="auto" w:sz="6" w:space="0"/>
                    <w:bottom w:val="single" w:color="auto" w:sz="6" w:space="0"/>
                    <w:right w:val="single" w:color="auto" w:sz="6" w:space="0"/>
                  </w:tcBorders>
                  <w:noWrap w:val="0"/>
                  <w:vAlign w:val="center"/>
                </w:tcPr>
                <w:p w14:paraId="4E549D3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b/>
                      <w:color w:val="auto"/>
                      <w:szCs w:val="21"/>
                      <w:highlight w:val="none"/>
                    </w:rPr>
                  </w:pPr>
                  <w:r>
                    <w:rPr>
                      <w:b/>
                      <w:color w:val="auto"/>
                      <w:szCs w:val="21"/>
                      <w:highlight w:val="none"/>
                      <w:lang w:bidi="ar"/>
                    </w:rPr>
                    <w:t>COD</w:t>
                  </w:r>
                  <w:r>
                    <w:rPr>
                      <w:b/>
                      <w:color w:val="auto"/>
                      <w:szCs w:val="21"/>
                      <w:highlight w:val="none"/>
                      <w:vertAlign w:val="subscript"/>
                      <w:lang w:bidi="ar"/>
                    </w:rPr>
                    <w:t>cr</w:t>
                  </w:r>
                </w:p>
              </w:tc>
              <w:tc>
                <w:tcPr>
                  <w:tcW w:w="672" w:type="dxa"/>
                  <w:tcBorders>
                    <w:top w:val="single" w:color="auto" w:sz="6" w:space="0"/>
                    <w:left w:val="single" w:color="auto" w:sz="6" w:space="0"/>
                    <w:bottom w:val="single" w:color="auto" w:sz="6" w:space="0"/>
                    <w:right w:val="single" w:color="auto" w:sz="6" w:space="0"/>
                  </w:tcBorders>
                  <w:noWrap w:val="0"/>
                  <w:vAlign w:val="center"/>
                </w:tcPr>
                <w:p w14:paraId="75A6F3C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b/>
                      <w:color w:val="auto"/>
                      <w:szCs w:val="21"/>
                      <w:highlight w:val="none"/>
                    </w:rPr>
                  </w:pPr>
                  <w:r>
                    <w:rPr>
                      <w:b/>
                      <w:color w:val="auto"/>
                      <w:szCs w:val="21"/>
                      <w:highlight w:val="none"/>
                      <w:lang w:bidi="ar"/>
                    </w:rPr>
                    <w:t>SS</w:t>
                  </w:r>
                </w:p>
              </w:tc>
              <w:tc>
                <w:tcPr>
                  <w:tcW w:w="840" w:type="dxa"/>
                  <w:tcBorders>
                    <w:top w:val="single" w:color="auto" w:sz="6" w:space="0"/>
                    <w:left w:val="single" w:color="auto" w:sz="6" w:space="0"/>
                    <w:bottom w:val="single" w:color="auto" w:sz="6" w:space="0"/>
                    <w:right w:val="single" w:color="auto" w:sz="6" w:space="0"/>
                  </w:tcBorders>
                  <w:noWrap w:val="0"/>
                  <w:vAlign w:val="center"/>
                </w:tcPr>
                <w:p w14:paraId="3E7D8DA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b/>
                      <w:color w:val="auto"/>
                      <w:szCs w:val="21"/>
                      <w:highlight w:val="none"/>
                    </w:rPr>
                  </w:pPr>
                  <w:r>
                    <w:rPr>
                      <w:b/>
                      <w:color w:val="auto"/>
                      <w:szCs w:val="21"/>
                      <w:highlight w:val="none"/>
                      <w:lang w:bidi="ar"/>
                    </w:rPr>
                    <w:t>BOD</w:t>
                  </w:r>
                  <w:r>
                    <w:rPr>
                      <w:b/>
                      <w:color w:val="auto"/>
                      <w:szCs w:val="21"/>
                      <w:highlight w:val="none"/>
                      <w:vertAlign w:val="subscript"/>
                      <w:lang w:bidi="ar"/>
                    </w:rPr>
                    <w:t>5</w:t>
                  </w:r>
                </w:p>
              </w:tc>
              <w:tc>
                <w:tcPr>
                  <w:tcW w:w="1119" w:type="dxa"/>
                  <w:tcBorders>
                    <w:top w:val="single" w:color="auto" w:sz="6" w:space="0"/>
                    <w:left w:val="single" w:color="auto" w:sz="6" w:space="0"/>
                    <w:bottom w:val="single" w:color="auto" w:sz="6" w:space="0"/>
                    <w:right w:val="single" w:color="auto" w:sz="6" w:space="0"/>
                  </w:tcBorders>
                  <w:noWrap w:val="0"/>
                  <w:vAlign w:val="center"/>
                </w:tcPr>
                <w:p w14:paraId="513FDBE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b/>
                      <w:color w:val="auto"/>
                      <w:szCs w:val="21"/>
                      <w:highlight w:val="none"/>
                    </w:rPr>
                  </w:pPr>
                  <w:r>
                    <w:rPr>
                      <w:b/>
                      <w:color w:val="auto"/>
                      <w:szCs w:val="21"/>
                      <w:highlight w:val="none"/>
                      <w:lang w:bidi="ar"/>
                    </w:rPr>
                    <w:t>动植物油</w:t>
                  </w:r>
                </w:p>
              </w:tc>
              <w:tc>
                <w:tcPr>
                  <w:tcW w:w="804" w:type="dxa"/>
                  <w:tcBorders>
                    <w:top w:val="single" w:color="auto" w:sz="6" w:space="0"/>
                    <w:left w:val="single" w:color="auto" w:sz="6" w:space="0"/>
                    <w:bottom w:val="single" w:color="auto" w:sz="6" w:space="0"/>
                    <w:right w:val="single" w:color="auto" w:sz="6" w:space="0"/>
                  </w:tcBorders>
                  <w:noWrap w:val="0"/>
                  <w:vAlign w:val="center"/>
                </w:tcPr>
                <w:p w14:paraId="1B2C131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b/>
                      <w:color w:val="auto"/>
                      <w:szCs w:val="21"/>
                      <w:highlight w:val="none"/>
                    </w:rPr>
                  </w:pPr>
                  <w:r>
                    <w:rPr>
                      <w:b/>
                      <w:color w:val="auto"/>
                      <w:szCs w:val="21"/>
                      <w:highlight w:val="none"/>
                    </w:rPr>
                    <w:t>氨氮</w:t>
                  </w:r>
                </w:p>
              </w:tc>
              <w:tc>
                <w:tcPr>
                  <w:tcW w:w="803" w:type="dxa"/>
                  <w:tcBorders>
                    <w:top w:val="single" w:color="auto" w:sz="6" w:space="0"/>
                    <w:left w:val="single" w:color="auto" w:sz="6" w:space="0"/>
                    <w:bottom w:val="single" w:color="auto" w:sz="6" w:space="0"/>
                    <w:right w:val="single" w:color="auto" w:sz="6" w:space="0"/>
                  </w:tcBorders>
                  <w:noWrap w:val="0"/>
                  <w:vAlign w:val="center"/>
                </w:tcPr>
                <w:p w14:paraId="53E9BA2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b/>
                      <w:color w:val="auto"/>
                      <w:szCs w:val="21"/>
                      <w:highlight w:val="none"/>
                    </w:rPr>
                  </w:pPr>
                  <w:r>
                    <w:rPr>
                      <w:b/>
                      <w:color w:val="auto"/>
                      <w:szCs w:val="21"/>
                      <w:highlight w:val="none"/>
                    </w:rPr>
                    <w:t>总磷</w:t>
                  </w:r>
                </w:p>
              </w:tc>
            </w:tr>
            <w:tr w14:paraId="02272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2172" w:type="dxa"/>
                  <w:tcBorders>
                    <w:top w:val="single" w:color="auto" w:sz="6" w:space="0"/>
                    <w:left w:val="single" w:color="auto" w:sz="6" w:space="0"/>
                    <w:bottom w:val="single" w:color="auto" w:sz="6" w:space="0"/>
                    <w:right w:val="single" w:color="auto" w:sz="6" w:space="0"/>
                  </w:tcBorders>
                  <w:noWrap w:val="0"/>
                  <w:vAlign w:val="center"/>
                </w:tcPr>
                <w:p w14:paraId="13AC3CD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color w:val="auto"/>
                      <w:szCs w:val="21"/>
                      <w:highlight w:val="none"/>
                    </w:rPr>
                  </w:pPr>
                  <w:r>
                    <w:rPr>
                      <w:color w:val="auto"/>
                      <w:szCs w:val="21"/>
                      <w:highlight w:val="none"/>
                      <w:lang w:bidi="ar"/>
                    </w:rPr>
                    <w:t>GB8978-1996三级</w:t>
                  </w:r>
                </w:p>
              </w:tc>
              <w:tc>
                <w:tcPr>
                  <w:tcW w:w="1174" w:type="dxa"/>
                  <w:tcBorders>
                    <w:top w:val="single" w:color="auto" w:sz="6" w:space="0"/>
                    <w:left w:val="single" w:color="auto" w:sz="6" w:space="0"/>
                    <w:bottom w:val="single" w:color="auto" w:sz="6" w:space="0"/>
                    <w:right w:val="single" w:color="auto" w:sz="6" w:space="0"/>
                  </w:tcBorders>
                  <w:noWrap w:val="0"/>
                  <w:vAlign w:val="center"/>
                </w:tcPr>
                <w:p w14:paraId="020A0E7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color w:val="auto"/>
                      <w:szCs w:val="21"/>
                      <w:highlight w:val="none"/>
                    </w:rPr>
                  </w:pPr>
                  <w:r>
                    <w:rPr>
                      <w:color w:val="auto"/>
                      <w:szCs w:val="21"/>
                      <w:highlight w:val="none"/>
                      <w:lang w:bidi="ar"/>
                    </w:rPr>
                    <w:t>6~9</w:t>
                  </w:r>
                </w:p>
              </w:tc>
              <w:tc>
                <w:tcPr>
                  <w:tcW w:w="876" w:type="dxa"/>
                  <w:tcBorders>
                    <w:top w:val="single" w:color="auto" w:sz="6" w:space="0"/>
                    <w:left w:val="single" w:color="auto" w:sz="6" w:space="0"/>
                    <w:bottom w:val="single" w:color="auto" w:sz="6" w:space="0"/>
                    <w:right w:val="single" w:color="auto" w:sz="6" w:space="0"/>
                  </w:tcBorders>
                  <w:noWrap w:val="0"/>
                  <w:vAlign w:val="center"/>
                </w:tcPr>
                <w:p w14:paraId="5E461A6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color w:val="auto"/>
                      <w:szCs w:val="21"/>
                      <w:highlight w:val="none"/>
                    </w:rPr>
                  </w:pPr>
                  <w:r>
                    <w:rPr>
                      <w:color w:val="auto"/>
                      <w:szCs w:val="21"/>
                      <w:highlight w:val="none"/>
                      <w:lang w:bidi="ar"/>
                    </w:rPr>
                    <w:t>500</w:t>
                  </w:r>
                </w:p>
              </w:tc>
              <w:tc>
                <w:tcPr>
                  <w:tcW w:w="672" w:type="dxa"/>
                  <w:tcBorders>
                    <w:top w:val="single" w:color="auto" w:sz="6" w:space="0"/>
                    <w:left w:val="single" w:color="auto" w:sz="6" w:space="0"/>
                    <w:bottom w:val="single" w:color="auto" w:sz="6" w:space="0"/>
                    <w:right w:val="single" w:color="auto" w:sz="6" w:space="0"/>
                  </w:tcBorders>
                  <w:noWrap w:val="0"/>
                  <w:vAlign w:val="center"/>
                </w:tcPr>
                <w:p w14:paraId="5E05088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color w:val="auto"/>
                      <w:szCs w:val="21"/>
                      <w:highlight w:val="none"/>
                    </w:rPr>
                  </w:pPr>
                  <w:r>
                    <w:rPr>
                      <w:color w:val="auto"/>
                      <w:szCs w:val="21"/>
                      <w:highlight w:val="none"/>
                      <w:lang w:bidi="ar"/>
                    </w:rPr>
                    <w:t>400</w:t>
                  </w:r>
                </w:p>
              </w:tc>
              <w:tc>
                <w:tcPr>
                  <w:tcW w:w="840" w:type="dxa"/>
                  <w:tcBorders>
                    <w:top w:val="single" w:color="auto" w:sz="6" w:space="0"/>
                    <w:left w:val="single" w:color="auto" w:sz="6" w:space="0"/>
                    <w:bottom w:val="single" w:color="auto" w:sz="6" w:space="0"/>
                    <w:right w:val="single" w:color="auto" w:sz="6" w:space="0"/>
                  </w:tcBorders>
                  <w:noWrap w:val="0"/>
                  <w:vAlign w:val="center"/>
                </w:tcPr>
                <w:p w14:paraId="7A17FA8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color w:val="auto"/>
                      <w:szCs w:val="21"/>
                      <w:highlight w:val="none"/>
                    </w:rPr>
                  </w:pPr>
                  <w:r>
                    <w:rPr>
                      <w:color w:val="auto"/>
                      <w:szCs w:val="21"/>
                      <w:highlight w:val="none"/>
                      <w:lang w:bidi="ar"/>
                    </w:rPr>
                    <w:t>300</w:t>
                  </w:r>
                </w:p>
              </w:tc>
              <w:tc>
                <w:tcPr>
                  <w:tcW w:w="1119" w:type="dxa"/>
                  <w:tcBorders>
                    <w:top w:val="single" w:color="auto" w:sz="6" w:space="0"/>
                    <w:left w:val="single" w:color="auto" w:sz="6" w:space="0"/>
                    <w:bottom w:val="single" w:color="auto" w:sz="6" w:space="0"/>
                    <w:right w:val="single" w:color="auto" w:sz="6" w:space="0"/>
                  </w:tcBorders>
                  <w:noWrap w:val="0"/>
                  <w:vAlign w:val="center"/>
                </w:tcPr>
                <w:p w14:paraId="32AF98C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color w:val="auto"/>
                      <w:szCs w:val="21"/>
                      <w:highlight w:val="none"/>
                    </w:rPr>
                  </w:pPr>
                  <w:r>
                    <w:rPr>
                      <w:color w:val="auto"/>
                      <w:szCs w:val="21"/>
                      <w:highlight w:val="none"/>
                      <w:lang w:bidi="ar"/>
                    </w:rPr>
                    <w:t>20</w:t>
                  </w:r>
                </w:p>
              </w:tc>
              <w:tc>
                <w:tcPr>
                  <w:tcW w:w="804" w:type="dxa"/>
                  <w:tcBorders>
                    <w:top w:val="single" w:color="auto" w:sz="6" w:space="0"/>
                    <w:left w:val="single" w:color="auto" w:sz="6" w:space="0"/>
                    <w:bottom w:val="single" w:color="auto" w:sz="6" w:space="0"/>
                    <w:right w:val="single" w:color="auto" w:sz="6" w:space="0"/>
                  </w:tcBorders>
                  <w:noWrap w:val="0"/>
                  <w:vAlign w:val="center"/>
                </w:tcPr>
                <w:p w14:paraId="1EBE4DD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color w:val="auto"/>
                      <w:szCs w:val="21"/>
                      <w:highlight w:val="none"/>
                    </w:rPr>
                  </w:pPr>
                  <w:r>
                    <w:rPr>
                      <w:color w:val="auto"/>
                      <w:szCs w:val="21"/>
                      <w:highlight w:val="none"/>
                      <w:lang w:bidi="ar"/>
                    </w:rPr>
                    <w:t>/</w:t>
                  </w:r>
                </w:p>
              </w:tc>
              <w:tc>
                <w:tcPr>
                  <w:tcW w:w="803" w:type="dxa"/>
                  <w:tcBorders>
                    <w:top w:val="single" w:color="auto" w:sz="6" w:space="0"/>
                    <w:left w:val="single" w:color="auto" w:sz="6" w:space="0"/>
                    <w:bottom w:val="single" w:color="auto" w:sz="6" w:space="0"/>
                    <w:right w:val="single" w:color="auto" w:sz="6" w:space="0"/>
                  </w:tcBorders>
                  <w:noWrap w:val="0"/>
                  <w:vAlign w:val="center"/>
                </w:tcPr>
                <w:p w14:paraId="750A8F4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color w:val="auto"/>
                      <w:szCs w:val="21"/>
                      <w:highlight w:val="none"/>
                    </w:rPr>
                  </w:pPr>
                  <w:r>
                    <w:rPr>
                      <w:color w:val="auto"/>
                      <w:szCs w:val="21"/>
                      <w:highlight w:val="none"/>
                      <w:lang w:bidi="ar"/>
                    </w:rPr>
                    <w:t>/</w:t>
                  </w:r>
                </w:p>
              </w:tc>
            </w:tr>
          </w:tbl>
          <w:p w14:paraId="76B71B71">
            <w:pPr>
              <w:keepNext w:val="0"/>
              <w:keepLines w:val="0"/>
              <w:pageBreakBefore w:val="0"/>
              <w:widowControl w:val="0"/>
              <w:tabs>
                <w:tab w:val="left" w:pos="3094"/>
              </w:tabs>
              <w:kinsoku/>
              <w:wordWrap/>
              <w:overflowPunct/>
              <w:topLinePunct w:val="0"/>
              <w:autoSpaceDE/>
              <w:autoSpaceDN/>
              <w:bidi w:val="0"/>
              <w:adjustRightInd/>
              <w:snapToGrid/>
              <w:spacing w:line="440" w:lineRule="exact"/>
              <w:textAlignment w:val="auto"/>
              <w:rPr>
                <w:b/>
                <w:color w:val="auto"/>
                <w:kern w:val="0"/>
                <w:sz w:val="24"/>
                <w:szCs w:val="28"/>
                <w:highlight w:val="none"/>
              </w:rPr>
            </w:pPr>
            <w:r>
              <w:rPr>
                <w:rFonts w:hint="eastAsia"/>
                <w:b/>
                <w:color w:val="auto"/>
                <w:kern w:val="0"/>
                <w:sz w:val="24"/>
                <w:szCs w:val="28"/>
                <w:highlight w:val="none"/>
              </w:rPr>
              <w:t>3、噪声排放标准</w:t>
            </w:r>
          </w:p>
          <w:p w14:paraId="69A4B09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bCs/>
                <w:color w:val="auto"/>
                <w:kern w:val="0"/>
                <w:sz w:val="24"/>
                <w:highlight w:val="none"/>
              </w:rPr>
            </w:pPr>
            <w:r>
              <w:rPr>
                <w:bCs/>
                <w:color w:val="auto"/>
                <w:kern w:val="0"/>
                <w:sz w:val="24"/>
                <w:highlight w:val="none"/>
              </w:rPr>
              <w:t>施工期噪声执行《</w:t>
            </w:r>
            <w:r>
              <w:rPr>
                <w:rFonts w:hint="eastAsia"/>
                <w:bCs/>
                <w:color w:val="auto"/>
                <w:kern w:val="0"/>
                <w:sz w:val="24"/>
                <w:highlight w:val="none"/>
              </w:rPr>
              <w:t>建筑施工噪声排放标准</w:t>
            </w:r>
            <w:r>
              <w:rPr>
                <w:bCs/>
                <w:color w:val="auto"/>
                <w:kern w:val="0"/>
                <w:sz w:val="24"/>
                <w:highlight w:val="none"/>
              </w:rPr>
              <w:t>》（</w:t>
            </w:r>
            <w:r>
              <w:rPr>
                <w:rFonts w:hint="eastAsia"/>
                <w:bCs/>
                <w:color w:val="auto"/>
                <w:kern w:val="0"/>
                <w:sz w:val="24"/>
                <w:highlight w:val="none"/>
              </w:rPr>
              <w:t>GB 12523-2025</w:t>
            </w:r>
            <w:r>
              <w:rPr>
                <w:bCs/>
                <w:color w:val="auto"/>
                <w:kern w:val="0"/>
                <w:sz w:val="24"/>
                <w:highlight w:val="none"/>
              </w:rPr>
              <w:t>）。标准值见表</w:t>
            </w:r>
            <w:r>
              <w:rPr>
                <w:rFonts w:hint="eastAsia"/>
                <w:bCs/>
                <w:color w:val="auto"/>
                <w:kern w:val="0"/>
                <w:sz w:val="24"/>
                <w:highlight w:val="none"/>
              </w:rPr>
              <w:t>3-1</w:t>
            </w:r>
            <w:r>
              <w:rPr>
                <w:rFonts w:hint="eastAsia"/>
                <w:bCs/>
                <w:color w:val="auto"/>
                <w:kern w:val="0"/>
                <w:sz w:val="24"/>
                <w:highlight w:val="none"/>
                <w:lang w:val="en-US" w:eastAsia="zh-CN"/>
              </w:rPr>
              <w:t>4</w:t>
            </w:r>
            <w:r>
              <w:rPr>
                <w:bCs/>
                <w:color w:val="auto"/>
                <w:kern w:val="0"/>
                <w:sz w:val="24"/>
                <w:highlight w:val="none"/>
              </w:rPr>
              <w:t>。</w:t>
            </w:r>
          </w:p>
          <w:p w14:paraId="6E186CE5">
            <w:pPr>
              <w:ind w:firstLine="103" w:firstLineChars="49"/>
              <w:jc w:val="center"/>
              <w:rPr>
                <w:b/>
                <w:color w:val="auto"/>
                <w:szCs w:val="21"/>
                <w:highlight w:val="none"/>
              </w:rPr>
            </w:pPr>
            <w:r>
              <w:rPr>
                <w:rFonts w:hint="eastAsia"/>
                <w:b/>
                <w:color w:val="auto"/>
                <w:szCs w:val="21"/>
                <w:highlight w:val="none"/>
              </w:rPr>
              <w:t>表3-1</w:t>
            </w:r>
            <w:r>
              <w:rPr>
                <w:rFonts w:hint="eastAsia"/>
                <w:b/>
                <w:color w:val="auto"/>
                <w:szCs w:val="21"/>
                <w:highlight w:val="none"/>
                <w:lang w:val="en-US" w:eastAsia="zh-CN"/>
              </w:rPr>
              <w:t>4</w:t>
            </w:r>
            <w:r>
              <w:rPr>
                <w:rFonts w:hint="eastAsia"/>
                <w:b/>
                <w:color w:val="auto"/>
                <w:szCs w:val="21"/>
                <w:highlight w:val="none"/>
              </w:rPr>
              <w:t xml:space="preserve">  建筑施工噪声排放标准  单位：dB(A)</w:t>
            </w:r>
          </w:p>
          <w:tbl>
            <w:tblPr>
              <w:tblStyle w:val="26"/>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81"/>
              <w:gridCol w:w="3828"/>
            </w:tblGrid>
            <w:tr w14:paraId="75F2F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696" w:type="pct"/>
                  <w:tcBorders>
                    <w:top w:val="single" w:color="000000" w:sz="4" w:space="0"/>
                    <w:left w:val="single" w:color="000000" w:sz="4" w:space="0"/>
                    <w:bottom w:val="single" w:color="000000" w:sz="4" w:space="0"/>
                    <w:right w:val="single" w:color="000000" w:sz="4" w:space="0"/>
                  </w:tcBorders>
                  <w:vAlign w:val="center"/>
                </w:tcPr>
                <w:p w14:paraId="3A1682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color w:val="auto"/>
                      <w:kern w:val="0"/>
                      <w:highlight w:val="none"/>
                    </w:rPr>
                  </w:pPr>
                  <w:r>
                    <w:rPr>
                      <w:bCs/>
                      <w:color w:val="auto"/>
                      <w:kern w:val="0"/>
                      <w:highlight w:val="none"/>
                    </w:rPr>
                    <w:t>昼间</w:t>
                  </w:r>
                </w:p>
              </w:tc>
              <w:tc>
                <w:tcPr>
                  <w:tcW w:w="2303" w:type="pct"/>
                  <w:tcBorders>
                    <w:top w:val="single" w:color="000000" w:sz="4" w:space="0"/>
                    <w:left w:val="single" w:color="000000" w:sz="4" w:space="0"/>
                    <w:bottom w:val="single" w:color="000000" w:sz="4" w:space="0"/>
                    <w:right w:val="single" w:color="000000" w:sz="4" w:space="0"/>
                  </w:tcBorders>
                  <w:vAlign w:val="center"/>
                </w:tcPr>
                <w:p w14:paraId="0CA01F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color w:val="auto"/>
                      <w:kern w:val="0"/>
                      <w:highlight w:val="none"/>
                    </w:rPr>
                  </w:pPr>
                  <w:r>
                    <w:rPr>
                      <w:bCs/>
                      <w:color w:val="auto"/>
                      <w:kern w:val="0"/>
                      <w:highlight w:val="none"/>
                    </w:rPr>
                    <w:t>夜间</w:t>
                  </w:r>
                </w:p>
              </w:tc>
            </w:tr>
            <w:tr w14:paraId="029C8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696" w:type="pct"/>
                  <w:tcBorders>
                    <w:top w:val="single" w:color="000000" w:sz="4" w:space="0"/>
                    <w:left w:val="single" w:color="000000" w:sz="4" w:space="0"/>
                    <w:bottom w:val="single" w:color="000000" w:sz="4" w:space="0"/>
                    <w:right w:val="single" w:color="000000" w:sz="4" w:space="0"/>
                  </w:tcBorders>
                  <w:vAlign w:val="center"/>
                </w:tcPr>
                <w:p w14:paraId="05B3199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color w:val="auto"/>
                      <w:kern w:val="0"/>
                      <w:highlight w:val="none"/>
                    </w:rPr>
                  </w:pPr>
                  <w:r>
                    <w:rPr>
                      <w:bCs/>
                      <w:color w:val="auto"/>
                      <w:kern w:val="0"/>
                      <w:highlight w:val="none"/>
                    </w:rPr>
                    <w:t>70</w:t>
                  </w:r>
                </w:p>
              </w:tc>
              <w:tc>
                <w:tcPr>
                  <w:tcW w:w="2303" w:type="pct"/>
                  <w:tcBorders>
                    <w:top w:val="single" w:color="000000" w:sz="4" w:space="0"/>
                    <w:left w:val="single" w:color="000000" w:sz="4" w:space="0"/>
                    <w:bottom w:val="single" w:color="000000" w:sz="4" w:space="0"/>
                    <w:right w:val="single" w:color="000000" w:sz="4" w:space="0"/>
                  </w:tcBorders>
                  <w:vAlign w:val="center"/>
                </w:tcPr>
                <w:p w14:paraId="42E913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color w:val="auto"/>
                      <w:kern w:val="0"/>
                      <w:highlight w:val="none"/>
                    </w:rPr>
                  </w:pPr>
                  <w:r>
                    <w:rPr>
                      <w:bCs/>
                      <w:color w:val="auto"/>
                      <w:kern w:val="0"/>
                      <w:highlight w:val="none"/>
                    </w:rPr>
                    <w:t>55</w:t>
                  </w:r>
                </w:p>
              </w:tc>
            </w:tr>
          </w:tbl>
          <w:p w14:paraId="106BCE3A">
            <w:pPr>
              <w:tabs>
                <w:tab w:val="left" w:pos="3094"/>
              </w:tabs>
              <w:spacing w:line="360" w:lineRule="auto"/>
              <w:ind w:firstLine="480" w:firstLineChars="200"/>
              <w:rPr>
                <w:bCs/>
                <w:color w:val="auto"/>
                <w:kern w:val="0"/>
                <w:sz w:val="24"/>
                <w:highlight w:val="none"/>
              </w:rPr>
            </w:pPr>
          </w:p>
          <w:p w14:paraId="4A10FAE9">
            <w:pPr>
              <w:keepNext w:val="0"/>
              <w:keepLines w:val="0"/>
              <w:pageBreakBefore w:val="0"/>
              <w:widowControl w:val="0"/>
              <w:tabs>
                <w:tab w:val="left" w:pos="3094"/>
              </w:tabs>
              <w:kinsoku/>
              <w:wordWrap/>
              <w:overflowPunct/>
              <w:topLinePunct w:val="0"/>
              <w:autoSpaceDE/>
              <w:autoSpaceDN/>
              <w:bidi w:val="0"/>
              <w:adjustRightInd/>
              <w:snapToGrid/>
              <w:spacing w:line="440" w:lineRule="exact"/>
              <w:ind w:firstLine="480" w:firstLineChars="200"/>
              <w:textAlignment w:val="auto"/>
              <w:rPr>
                <w:bCs/>
                <w:color w:val="auto"/>
                <w:kern w:val="0"/>
                <w:sz w:val="24"/>
                <w:highlight w:val="none"/>
              </w:rPr>
            </w:pPr>
            <w:r>
              <w:rPr>
                <w:bCs/>
                <w:color w:val="auto"/>
                <w:kern w:val="0"/>
                <w:sz w:val="24"/>
                <w:highlight w:val="none"/>
              </w:rPr>
              <w:t>（2）运营期</w:t>
            </w:r>
          </w:p>
          <w:p w14:paraId="0876A9E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b/>
                <w:color w:val="auto"/>
                <w:kern w:val="0"/>
                <w:szCs w:val="21"/>
                <w:highlight w:val="none"/>
              </w:rPr>
            </w:pPr>
            <w:r>
              <w:rPr>
                <w:rFonts w:hint="eastAsia"/>
                <w:color w:val="auto"/>
                <w:kern w:val="0"/>
                <w:sz w:val="24"/>
                <w:highlight w:val="none"/>
              </w:rPr>
              <w:t>项目区声环境功能区划为</w:t>
            </w:r>
            <w:r>
              <w:rPr>
                <w:rFonts w:hint="eastAsia"/>
                <w:color w:val="auto"/>
                <w:kern w:val="0"/>
                <w:sz w:val="24"/>
                <w:highlight w:val="none"/>
                <w:lang w:val="en-US" w:eastAsia="zh-CN"/>
              </w:rPr>
              <w:t>2</w:t>
            </w:r>
            <w:r>
              <w:rPr>
                <w:rFonts w:hint="eastAsia"/>
                <w:color w:val="auto"/>
                <w:kern w:val="0"/>
                <w:sz w:val="24"/>
                <w:highlight w:val="none"/>
              </w:rPr>
              <w:t>类，故项目运营期厂界噪声排放执行《工业企业厂界环境噪声排放标准》（GB12348-2008）中的</w:t>
            </w:r>
            <w:r>
              <w:rPr>
                <w:rFonts w:hint="eastAsia"/>
                <w:color w:val="auto"/>
                <w:kern w:val="0"/>
                <w:sz w:val="24"/>
                <w:highlight w:val="none"/>
                <w:lang w:val="en-US" w:eastAsia="zh-CN"/>
              </w:rPr>
              <w:t>2</w:t>
            </w:r>
            <w:r>
              <w:rPr>
                <w:rFonts w:hint="eastAsia"/>
                <w:color w:val="auto"/>
                <w:kern w:val="0"/>
                <w:sz w:val="24"/>
                <w:highlight w:val="none"/>
              </w:rPr>
              <w:t>类区标准。</w:t>
            </w:r>
            <w:r>
              <w:rPr>
                <w:color w:val="auto"/>
                <w:kern w:val="0"/>
                <w:sz w:val="24"/>
                <w:highlight w:val="none"/>
              </w:rPr>
              <w:t>标准值见表3-</w:t>
            </w:r>
            <w:r>
              <w:rPr>
                <w:rFonts w:hint="eastAsia"/>
                <w:color w:val="auto"/>
                <w:kern w:val="0"/>
                <w:sz w:val="24"/>
                <w:highlight w:val="none"/>
              </w:rPr>
              <w:t>1</w:t>
            </w:r>
            <w:r>
              <w:rPr>
                <w:rFonts w:hint="eastAsia"/>
                <w:color w:val="auto"/>
                <w:kern w:val="0"/>
                <w:sz w:val="24"/>
                <w:highlight w:val="none"/>
                <w:lang w:val="en-US" w:eastAsia="zh-CN"/>
              </w:rPr>
              <w:t>5</w:t>
            </w:r>
            <w:r>
              <w:rPr>
                <w:color w:val="auto"/>
                <w:kern w:val="0"/>
                <w:sz w:val="24"/>
                <w:highlight w:val="none"/>
              </w:rPr>
              <w:t>。</w:t>
            </w:r>
          </w:p>
          <w:p w14:paraId="4B607A3A">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b/>
                <w:color w:val="auto"/>
                <w:szCs w:val="21"/>
                <w:highlight w:val="none"/>
              </w:rPr>
            </w:pPr>
            <w:r>
              <w:rPr>
                <w:rFonts w:hint="eastAsia"/>
                <w:b/>
                <w:color w:val="auto"/>
                <w:szCs w:val="21"/>
                <w:highlight w:val="none"/>
              </w:rPr>
              <w:t>表3-1</w:t>
            </w:r>
            <w:r>
              <w:rPr>
                <w:rFonts w:hint="eastAsia"/>
                <w:b/>
                <w:color w:val="auto"/>
                <w:szCs w:val="21"/>
                <w:highlight w:val="none"/>
                <w:lang w:val="en-US" w:eastAsia="zh-CN"/>
              </w:rPr>
              <w:t>5</w:t>
            </w:r>
            <w:r>
              <w:rPr>
                <w:rFonts w:hint="eastAsia"/>
                <w:b/>
                <w:color w:val="auto"/>
                <w:szCs w:val="21"/>
                <w:highlight w:val="none"/>
              </w:rPr>
              <w:t xml:space="preserve">  工业企业厂界噪声排放标准  单位：dB(A)</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8"/>
              <w:gridCol w:w="2560"/>
              <w:gridCol w:w="2560"/>
            </w:tblGrid>
            <w:tr w14:paraId="4048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18" w:type="pct"/>
                  <w:tcBorders>
                    <w:top w:val="single" w:color="auto" w:sz="4" w:space="0"/>
                    <w:left w:val="single" w:color="auto" w:sz="4" w:space="0"/>
                    <w:bottom w:val="single" w:color="auto" w:sz="4" w:space="0"/>
                    <w:right w:val="single" w:color="auto" w:sz="4" w:space="0"/>
                  </w:tcBorders>
                  <w:vAlign w:val="center"/>
                </w:tcPr>
                <w:p w14:paraId="4F3DDA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val="0"/>
                      <w:color w:val="auto"/>
                      <w:kern w:val="0"/>
                      <w:highlight w:val="none"/>
                    </w:rPr>
                  </w:pPr>
                  <w:r>
                    <w:rPr>
                      <w:b/>
                      <w:bCs w:val="0"/>
                      <w:color w:val="auto"/>
                      <w:kern w:val="0"/>
                      <w:highlight w:val="none"/>
                    </w:rPr>
                    <w:t>声环境功能区划类别</w:t>
                  </w:r>
                </w:p>
              </w:tc>
              <w:tc>
                <w:tcPr>
                  <w:tcW w:w="1540" w:type="pct"/>
                  <w:tcBorders>
                    <w:top w:val="single" w:color="auto" w:sz="4" w:space="0"/>
                    <w:left w:val="single" w:color="auto" w:sz="4" w:space="0"/>
                    <w:bottom w:val="single" w:color="auto" w:sz="4" w:space="0"/>
                    <w:right w:val="single" w:color="auto" w:sz="4" w:space="0"/>
                  </w:tcBorders>
                  <w:vAlign w:val="center"/>
                </w:tcPr>
                <w:p w14:paraId="12E92C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val="0"/>
                      <w:color w:val="auto"/>
                      <w:kern w:val="0"/>
                      <w:szCs w:val="21"/>
                      <w:highlight w:val="none"/>
                    </w:rPr>
                  </w:pPr>
                  <w:r>
                    <w:rPr>
                      <w:b/>
                      <w:bCs w:val="0"/>
                      <w:color w:val="auto"/>
                      <w:kern w:val="0"/>
                      <w:szCs w:val="21"/>
                      <w:highlight w:val="none"/>
                    </w:rPr>
                    <w:t>昼间</w:t>
                  </w:r>
                </w:p>
              </w:tc>
              <w:tc>
                <w:tcPr>
                  <w:tcW w:w="1540" w:type="pct"/>
                  <w:tcBorders>
                    <w:top w:val="single" w:color="auto" w:sz="4" w:space="0"/>
                    <w:left w:val="single" w:color="auto" w:sz="4" w:space="0"/>
                    <w:bottom w:val="single" w:color="auto" w:sz="4" w:space="0"/>
                    <w:right w:val="single" w:color="auto" w:sz="4" w:space="0"/>
                  </w:tcBorders>
                  <w:vAlign w:val="center"/>
                </w:tcPr>
                <w:p w14:paraId="166F20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val="0"/>
                      <w:color w:val="auto"/>
                      <w:kern w:val="0"/>
                      <w:highlight w:val="none"/>
                    </w:rPr>
                  </w:pPr>
                  <w:r>
                    <w:rPr>
                      <w:b/>
                      <w:bCs w:val="0"/>
                      <w:color w:val="auto"/>
                      <w:kern w:val="0"/>
                      <w:highlight w:val="none"/>
                    </w:rPr>
                    <w:t>夜间</w:t>
                  </w:r>
                </w:p>
              </w:tc>
            </w:tr>
            <w:tr w14:paraId="287A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18" w:type="pct"/>
                  <w:tcBorders>
                    <w:top w:val="single" w:color="auto" w:sz="4" w:space="0"/>
                    <w:left w:val="single" w:color="auto" w:sz="4" w:space="0"/>
                    <w:bottom w:val="single" w:color="auto" w:sz="4" w:space="0"/>
                    <w:right w:val="single" w:color="auto" w:sz="4" w:space="0"/>
                  </w:tcBorders>
                  <w:vAlign w:val="center"/>
                </w:tcPr>
                <w:p w14:paraId="30B91E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color w:val="auto"/>
                      <w:kern w:val="0"/>
                      <w:highlight w:val="none"/>
                    </w:rPr>
                  </w:pPr>
                  <w:r>
                    <w:rPr>
                      <w:rFonts w:hint="eastAsia"/>
                      <w:bCs/>
                      <w:color w:val="auto"/>
                      <w:kern w:val="0"/>
                      <w:highlight w:val="none"/>
                      <w:lang w:val="en-US" w:eastAsia="zh-CN"/>
                    </w:rPr>
                    <w:t>2</w:t>
                  </w:r>
                  <w:r>
                    <w:rPr>
                      <w:bCs/>
                      <w:color w:val="auto"/>
                      <w:kern w:val="0"/>
                      <w:highlight w:val="none"/>
                    </w:rPr>
                    <w:t>类</w:t>
                  </w:r>
                </w:p>
              </w:tc>
              <w:tc>
                <w:tcPr>
                  <w:tcW w:w="1540" w:type="pct"/>
                  <w:tcBorders>
                    <w:top w:val="single" w:color="auto" w:sz="4" w:space="0"/>
                    <w:left w:val="single" w:color="auto" w:sz="4" w:space="0"/>
                    <w:bottom w:val="single" w:color="auto" w:sz="4" w:space="0"/>
                    <w:right w:val="single" w:color="auto" w:sz="4" w:space="0"/>
                  </w:tcBorders>
                  <w:vAlign w:val="center"/>
                </w:tcPr>
                <w:p w14:paraId="48D92C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bCs/>
                      <w:color w:val="auto"/>
                      <w:kern w:val="0"/>
                      <w:highlight w:val="none"/>
                      <w:lang w:val="en-US" w:eastAsia="zh-CN"/>
                    </w:rPr>
                  </w:pPr>
                  <w:r>
                    <w:rPr>
                      <w:rFonts w:hint="eastAsia"/>
                      <w:bCs/>
                      <w:color w:val="auto"/>
                      <w:kern w:val="0"/>
                      <w:highlight w:val="none"/>
                    </w:rPr>
                    <w:t>6</w:t>
                  </w:r>
                  <w:r>
                    <w:rPr>
                      <w:rFonts w:hint="eastAsia"/>
                      <w:bCs/>
                      <w:color w:val="auto"/>
                      <w:kern w:val="0"/>
                      <w:highlight w:val="none"/>
                      <w:lang w:val="en-US" w:eastAsia="zh-CN"/>
                    </w:rPr>
                    <w:t>0</w:t>
                  </w:r>
                </w:p>
              </w:tc>
              <w:tc>
                <w:tcPr>
                  <w:tcW w:w="1540" w:type="pct"/>
                  <w:tcBorders>
                    <w:top w:val="single" w:color="auto" w:sz="4" w:space="0"/>
                    <w:left w:val="single" w:color="auto" w:sz="4" w:space="0"/>
                    <w:bottom w:val="single" w:color="auto" w:sz="4" w:space="0"/>
                    <w:right w:val="single" w:color="auto" w:sz="4" w:space="0"/>
                  </w:tcBorders>
                  <w:vAlign w:val="center"/>
                </w:tcPr>
                <w:p w14:paraId="4E7CE5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bCs/>
                      <w:color w:val="auto"/>
                      <w:kern w:val="0"/>
                      <w:szCs w:val="21"/>
                      <w:highlight w:val="none"/>
                      <w:lang w:val="en-US" w:eastAsia="zh-CN"/>
                    </w:rPr>
                  </w:pPr>
                  <w:r>
                    <w:rPr>
                      <w:rFonts w:hint="eastAsia"/>
                      <w:bCs/>
                      <w:color w:val="auto"/>
                      <w:kern w:val="0"/>
                      <w:szCs w:val="21"/>
                      <w:highlight w:val="none"/>
                    </w:rPr>
                    <w:t>5</w:t>
                  </w:r>
                  <w:r>
                    <w:rPr>
                      <w:rFonts w:hint="eastAsia"/>
                      <w:bCs/>
                      <w:color w:val="auto"/>
                      <w:kern w:val="0"/>
                      <w:szCs w:val="21"/>
                      <w:highlight w:val="none"/>
                      <w:lang w:val="en-US" w:eastAsia="zh-CN"/>
                    </w:rPr>
                    <w:t>0</w:t>
                  </w:r>
                </w:p>
              </w:tc>
            </w:tr>
          </w:tbl>
          <w:p w14:paraId="0D47FA3E">
            <w:pPr>
              <w:keepNext w:val="0"/>
              <w:keepLines w:val="0"/>
              <w:pageBreakBefore w:val="0"/>
              <w:widowControl w:val="0"/>
              <w:tabs>
                <w:tab w:val="left" w:pos="3094"/>
              </w:tabs>
              <w:kinsoku/>
              <w:wordWrap/>
              <w:overflowPunct/>
              <w:topLinePunct w:val="0"/>
              <w:autoSpaceDE/>
              <w:autoSpaceDN/>
              <w:bidi w:val="0"/>
              <w:adjustRightInd/>
              <w:snapToGrid/>
              <w:spacing w:line="440" w:lineRule="exact"/>
              <w:textAlignment w:val="auto"/>
              <w:rPr>
                <w:b/>
                <w:color w:val="auto"/>
                <w:kern w:val="0"/>
                <w:sz w:val="24"/>
                <w:szCs w:val="28"/>
                <w:highlight w:val="none"/>
              </w:rPr>
            </w:pPr>
            <w:r>
              <w:rPr>
                <w:rFonts w:hint="eastAsia"/>
                <w:b/>
                <w:color w:val="auto"/>
                <w:kern w:val="0"/>
                <w:sz w:val="24"/>
                <w:szCs w:val="28"/>
                <w:highlight w:val="none"/>
              </w:rPr>
              <w:t>4、固体废弃物</w:t>
            </w:r>
          </w:p>
          <w:p w14:paraId="29FF4436">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color w:val="auto"/>
                <w:kern w:val="0"/>
                <w:sz w:val="24"/>
                <w:szCs w:val="20"/>
                <w:highlight w:val="none"/>
              </w:rPr>
            </w:pPr>
            <w:r>
              <w:rPr>
                <w:rFonts w:hint="eastAsia"/>
                <w:color w:val="auto"/>
                <w:kern w:val="0"/>
                <w:sz w:val="24"/>
                <w:szCs w:val="20"/>
                <w:highlight w:val="none"/>
              </w:rPr>
              <w:t>（1）一般固体废弃物</w:t>
            </w:r>
          </w:p>
          <w:p w14:paraId="73447122">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color w:val="auto"/>
                <w:kern w:val="0"/>
                <w:sz w:val="24"/>
                <w:szCs w:val="20"/>
                <w:highlight w:val="none"/>
              </w:rPr>
            </w:pPr>
            <w:r>
              <w:rPr>
                <w:rFonts w:hint="eastAsia"/>
                <w:color w:val="auto"/>
                <w:kern w:val="0"/>
                <w:sz w:val="24"/>
                <w:szCs w:val="20"/>
                <w:highlight w:val="none"/>
              </w:rPr>
              <w:t>固体废物处理执行《一般工业固体废物贮存和填埋污染控制标准》（GB18599-2020）（其中采用库房、包装工具（罐、桶、包装袋等）贮存一般工业固体废物过程的污染控制，不适用《一般工业固体废物贮存和填埋污染控制标准》（GB18599-2020），其贮存过程应满足相应防渗漏、防雨淋、防扬尘等环境保护要求）和《中华人民共和国固体废物污染环境防治法》中的有关规定。</w:t>
            </w:r>
          </w:p>
          <w:p w14:paraId="0F507823">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color w:val="auto"/>
                <w:kern w:val="0"/>
                <w:sz w:val="24"/>
                <w:szCs w:val="20"/>
                <w:highlight w:val="none"/>
              </w:rPr>
            </w:pPr>
            <w:r>
              <w:rPr>
                <w:rFonts w:hint="eastAsia"/>
                <w:color w:val="auto"/>
                <w:kern w:val="0"/>
                <w:sz w:val="24"/>
                <w:szCs w:val="20"/>
                <w:highlight w:val="none"/>
              </w:rPr>
              <w:t>（2）危险废物</w:t>
            </w:r>
          </w:p>
          <w:p w14:paraId="1D57C955">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color w:val="auto"/>
                <w:kern w:val="0"/>
                <w:sz w:val="24"/>
                <w:highlight w:val="none"/>
              </w:rPr>
            </w:pPr>
            <w:r>
              <w:rPr>
                <w:rFonts w:hint="eastAsia"/>
                <w:color w:val="auto"/>
                <w:kern w:val="0"/>
                <w:sz w:val="24"/>
                <w:szCs w:val="20"/>
                <w:highlight w:val="none"/>
              </w:rPr>
              <w:t>危险废物集中收集、临时储存执行《危险废物贮存污染控制标准》（GB18597-2023）相关规定。危险废物转移根据《危险废物转移管理办法》（部令第23号）执行。危废暂存间标识牌执行《危险废物识别标志设置技术规范》（HJ1276-2022）。</w:t>
            </w:r>
          </w:p>
        </w:tc>
      </w:tr>
      <w:tr w14:paraId="4040CB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51" w:type="dxa"/>
            <w:vAlign w:val="center"/>
          </w:tcPr>
          <w:p w14:paraId="0DDC0C9C">
            <w:pPr>
              <w:jc w:val="center"/>
              <w:rPr>
                <w:color w:val="auto"/>
                <w:kern w:val="0"/>
                <w:sz w:val="24"/>
                <w:highlight w:val="none"/>
              </w:rPr>
            </w:pPr>
            <w:r>
              <w:rPr>
                <w:color w:val="auto"/>
                <w:kern w:val="0"/>
                <w:sz w:val="24"/>
                <w:highlight w:val="none"/>
              </w:rPr>
              <w:t>总量</w:t>
            </w:r>
          </w:p>
          <w:p w14:paraId="4DDC698E">
            <w:pPr>
              <w:jc w:val="center"/>
              <w:rPr>
                <w:color w:val="auto"/>
                <w:kern w:val="0"/>
                <w:sz w:val="24"/>
                <w:highlight w:val="none"/>
              </w:rPr>
            </w:pPr>
            <w:r>
              <w:rPr>
                <w:color w:val="auto"/>
                <w:kern w:val="0"/>
                <w:sz w:val="24"/>
                <w:highlight w:val="none"/>
              </w:rPr>
              <w:t>控制</w:t>
            </w:r>
          </w:p>
          <w:p w14:paraId="1BCA3EDC">
            <w:pPr>
              <w:jc w:val="center"/>
              <w:rPr>
                <w:color w:val="auto"/>
                <w:kern w:val="0"/>
                <w:sz w:val="24"/>
                <w:highlight w:val="none"/>
              </w:rPr>
            </w:pPr>
            <w:r>
              <w:rPr>
                <w:color w:val="auto"/>
                <w:kern w:val="0"/>
                <w:sz w:val="24"/>
                <w:highlight w:val="none"/>
              </w:rPr>
              <w:t>指标</w:t>
            </w:r>
          </w:p>
        </w:tc>
        <w:tc>
          <w:tcPr>
            <w:tcW w:w="8537" w:type="dxa"/>
          </w:tcPr>
          <w:p w14:paraId="3BB82966">
            <w:pPr>
              <w:keepNext w:val="0"/>
              <w:keepLines w:val="0"/>
              <w:pageBreakBefore w:val="0"/>
              <w:widowControl w:val="0"/>
              <w:kinsoku/>
              <w:wordWrap/>
              <w:overflowPunct/>
              <w:topLinePunct w:val="0"/>
              <w:autoSpaceDE/>
              <w:autoSpaceDN/>
              <w:bidi w:val="0"/>
              <w:spacing w:line="440" w:lineRule="exact"/>
              <w:ind w:firstLine="476" w:firstLineChars="200"/>
              <w:textAlignment w:val="auto"/>
              <w:rPr>
                <w:rFonts w:hint="eastAsia" w:eastAsia="宋体"/>
                <w:b/>
                <w:color w:val="auto"/>
                <w:sz w:val="24"/>
                <w:highlight w:val="none"/>
                <w:lang w:eastAsia="zh-CN"/>
              </w:rPr>
            </w:pPr>
            <w:r>
              <w:rPr>
                <w:rFonts w:hint="eastAsia"/>
                <w:color w:val="auto"/>
                <w:spacing w:val="-1"/>
                <w:sz w:val="24"/>
                <w:highlight w:val="none"/>
              </w:rPr>
              <w:t>根据本工程的具体情况、当地生态环境主管部门要求，同时结合国家污染物排放总量控制原则，本项目总量控制建议指标如下</w:t>
            </w:r>
            <w:r>
              <w:rPr>
                <w:rFonts w:hint="eastAsia"/>
                <w:color w:val="auto"/>
                <w:spacing w:val="-1"/>
                <w:sz w:val="24"/>
                <w:highlight w:val="none"/>
                <w:lang w:eastAsia="zh-CN"/>
              </w:rPr>
              <w:t>：</w:t>
            </w:r>
          </w:p>
          <w:p w14:paraId="2318FF34">
            <w:pPr>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color w:val="auto"/>
                <w:kern w:val="0"/>
                <w:sz w:val="24"/>
                <w:highlight w:val="none"/>
              </w:rPr>
            </w:pPr>
            <w:r>
              <w:rPr>
                <w:rFonts w:hint="eastAsia"/>
                <w:color w:val="auto"/>
                <w:kern w:val="0"/>
                <w:sz w:val="24"/>
                <w:highlight w:val="none"/>
              </w:rPr>
              <w:t>1、废气</w:t>
            </w:r>
          </w:p>
          <w:p w14:paraId="2D9AE1CE">
            <w:pPr>
              <w:adjustRightInd w:val="0"/>
              <w:snapToGrid w:val="0"/>
              <w:spacing w:beforeLines="0" w:afterLines="0" w:line="440" w:lineRule="exact"/>
              <w:ind w:firstLine="480" w:firstLineChars="200"/>
              <w:rPr>
                <w:rFonts w:hint="eastAsia" w:eastAsia="宋体"/>
                <w:b w:val="0"/>
                <w:bCs/>
                <w:color w:val="auto"/>
                <w:sz w:val="24"/>
                <w:szCs w:val="24"/>
                <w:highlight w:val="none"/>
              </w:rPr>
            </w:pPr>
            <w:r>
              <w:rPr>
                <w:rFonts w:hint="eastAsia" w:eastAsia="宋体"/>
                <w:b w:val="0"/>
                <w:bCs/>
                <w:color w:val="auto"/>
                <w:sz w:val="24"/>
                <w:szCs w:val="24"/>
                <w:highlight w:val="none"/>
              </w:rPr>
              <w:t>根据上述分析，本项目排放情况如下</w:t>
            </w:r>
          </w:p>
          <w:p w14:paraId="20EE024E">
            <w:pPr>
              <w:spacing w:beforeLines="0" w:afterLines="0" w:line="320" w:lineRule="exact"/>
              <w:jc w:val="center"/>
              <w:rPr>
                <w:rFonts w:hint="eastAsia"/>
                <w:b/>
                <w:color w:val="auto"/>
                <w:sz w:val="24"/>
                <w:szCs w:val="24"/>
                <w:highlight w:val="none"/>
              </w:rPr>
            </w:pPr>
            <w:r>
              <w:rPr>
                <w:rFonts w:hint="eastAsia" w:eastAsia="宋体"/>
                <w:b/>
                <w:color w:val="auto"/>
                <w:sz w:val="21"/>
                <w:szCs w:val="24"/>
                <w:highlight w:val="none"/>
              </w:rPr>
              <w:t>表</w:t>
            </w:r>
            <w:r>
              <w:rPr>
                <w:rFonts w:hint="eastAsia"/>
                <w:b/>
                <w:color w:val="auto"/>
                <w:sz w:val="21"/>
                <w:szCs w:val="24"/>
                <w:highlight w:val="none"/>
                <w:lang w:val="en-US" w:eastAsia="zh-CN"/>
              </w:rPr>
              <w:t>3-16</w:t>
            </w:r>
            <w:r>
              <w:rPr>
                <w:rFonts w:hint="eastAsia" w:eastAsia="宋体"/>
                <w:b/>
                <w:color w:val="auto"/>
                <w:sz w:val="21"/>
                <w:szCs w:val="24"/>
                <w:highlight w:val="none"/>
              </w:rPr>
              <w:t xml:space="preserve">  本项目废气排放总量一览表</w:t>
            </w:r>
          </w:p>
          <w:tbl>
            <w:tblPr>
              <w:tblStyle w:val="26"/>
              <w:tblW w:w="49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642"/>
              <w:gridCol w:w="1911"/>
              <w:gridCol w:w="2094"/>
              <w:gridCol w:w="1886"/>
            </w:tblGrid>
            <w:tr w14:paraId="4BC1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1AD0600">
                  <w:pPr>
                    <w:snapToGrid w:val="0"/>
                    <w:spacing w:beforeLines="0" w:afterLines="0" w:line="320" w:lineRule="exact"/>
                    <w:jc w:val="center"/>
                    <w:rPr>
                      <w:rFonts w:hint="eastAsia"/>
                      <w:b/>
                      <w:color w:val="auto"/>
                      <w:sz w:val="21"/>
                      <w:szCs w:val="21"/>
                      <w:highlight w:val="none"/>
                    </w:rPr>
                  </w:pPr>
                  <w:r>
                    <w:rPr>
                      <w:rFonts w:hint="eastAsia" w:eastAsia="宋体"/>
                      <w:b/>
                      <w:color w:val="auto"/>
                      <w:sz w:val="21"/>
                      <w:szCs w:val="21"/>
                      <w:highlight w:val="none"/>
                    </w:rPr>
                    <w:t>编号</w:t>
                  </w:r>
                </w:p>
              </w:tc>
              <w:tc>
                <w:tcPr>
                  <w:tcW w:w="100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3EDC71E">
                  <w:pPr>
                    <w:snapToGrid w:val="0"/>
                    <w:spacing w:beforeLines="0" w:afterLines="0" w:line="320" w:lineRule="exact"/>
                    <w:jc w:val="center"/>
                    <w:rPr>
                      <w:rFonts w:hint="eastAsia"/>
                      <w:b/>
                      <w:color w:val="auto"/>
                      <w:sz w:val="21"/>
                      <w:szCs w:val="21"/>
                      <w:highlight w:val="none"/>
                    </w:rPr>
                  </w:pPr>
                  <w:r>
                    <w:rPr>
                      <w:rFonts w:hint="eastAsia" w:eastAsia="宋体"/>
                      <w:b/>
                      <w:color w:val="auto"/>
                      <w:sz w:val="21"/>
                      <w:szCs w:val="21"/>
                      <w:highlight w:val="none"/>
                    </w:rPr>
                    <w:t>污染物</w:t>
                  </w:r>
                </w:p>
              </w:tc>
              <w:tc>
                <w:tcPr>
                  <w:tcW w:w="116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AF7D5CC">
                  <w:pPr>
                    <w:snapToGrid w:val="0"/>
                    <w:spacing w:beforeLines="0" w:afterLines="0" w:line="320" w:lineRule="exact"/>
                    <w:jc w:val="center"/>
                    <w:rPr>
                      <w:rFonts w:hint="eastAsia" w:eastAsia="宋体"/>
                      <w:b/>
                      <w:color w:val="auto"/>
                      <w:sz w:val="21"/>
                      <w:szCs w:val="21"/>
                      <w:highlight w:val="none"/>
                    </w:rPr>
                  </w:pPr>
                  <w:r>
                    <w:rPr>
                      <w:rFonts w:hint="eastAsia" w:eastAsia="宋体"/>
                      <w:b/>
                      <w:color w:val="auto"/>
                      <w:sz w:val="21"/>
                      <w:szCs w:val="21"/>
                      <w:highlight w:val="none"/>
                    </w:rPr>
                    <w:t>无组织</w:t>
                  </w:r>
                </w:p>
              </w:tc>
              <w:tc>
                <w:tcPr>
                  <w:tcW w:w="127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B1805A1">
                  <w:pPr>
                    <w:snapToGrid w:val="0"/>
                    <w:spacing w:beforeLines="0" w:afterLines="0" w:line="320" w:lineRule="exact"/>
                    <w:jc w:val="center"/>
                    <w:rPr>
                      <w:rFonts w:hint="eastAsia" w:eastAsia="宋体"/>
                      <w:b/>
                      <w:color w:val="auto"/>
                      <w:sz w:val="21"/>
                      <w:szCs w:val="21"/>
                      <w:highlight w:val="none"/>
                    </w:rPr>
                  </w:pPr>
                  <w:r>
                    <w:rPr>
                      <w:rFonts w:hint="eastAsia" w:eastAsia="宋体"/>
                      <w:b/>
                      <w:color w:val="auto"/>
                      <w:sz w:val="21"/>
                      <w:szCs w:val="21"/>
                      <w:highlight w:val="none"/>
                    </w:rPr>
                    <w:t>有组织</w:t>
                  </w:r>
                </w:p>
              </w:tc>
              <w:tc>
                <w:tcPr>
                  <w:tcW w:w="114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544CEBF">
                  <w:pPr>
                    <w:snapToGrid w:val="0"/>
                    <w:spacing w:beforeLines="0" w:afterLines="0" w:line="320" w:lineRule="exact"/>
                    <w:jc w:val="center"/>
                    <w:rPr>
                      <w:rFonts w:hint="eastAsia" w:eastAsia="宋体"/>
                      <w:b/>
                      <w:color w:val="auto"/>
                      <w:sz w:val="21"/>
                      <w:szCs w:val="21"/>
                      <w:highlight w:val="none"/>
                    </w:rPr>
                  </w:pPr>
                  <w:r>
                    <w:rPr>
                      <w:rFonts w:hint="eastAsia" w:eastAsia="宋体"/>
                      <w:b/>
                      <w:color w:val="auto"/>
                      <w:sz w:val="21"/>
                      <w:szCs w:val="21"/>
                      <w:highlight w:val="none"/>
                    </w:rPr>
                    <w:t>合计</w:t>
                  </w:r>
                </w:p>
              </w:tc>
            </w:tr>
            <w:tr w14:paraId="36A21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D6DC9A3">
                  <w:pPr>
                    <w:snapToGrid w:val="0"/>
                    <w:spacing w:beforeLines="0" w:afterLines="0" w:line="320" w:lineRule="exact"/>
                    <w:jc w:val="center"/>
                    <w:rPr>
                      <w:rFonts w:hint="eastAsia"/>
                      <w:color w:val="auto"/>
                      <w:sz w:val="21"/>
                      <w:szCs w:val="21"/>
                      <w:highlight w:val="none"/>
                    </w:rPr>
                  </w:pPr>
                  <w:r>
                    <w:rPr>
                      <w:rFonts w:hint="eastAsia"/>
                      <w:color w:val="auto"/>
                      <w:sz w:val="21"/>
                      <w:szCs w:val="21"/>
                      <w:highlight w:val="none"/>
                    </w:rPr>
                    <w:t>1</w:t>
                  </w:r>
                </w:p>
              </w:tc>
              <w:tc>
                <w:tcPr>
                  <w:tcW w:w="100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9535AB0">
                  <w:pPr>
                    <w:snapToGrid w:val="0"/>
                    <w:spacing w:beforeLines="0" w:afterLines="0" w:line="320" w:lineRule="exact"/>
                    <w:jc w:val="center"/>
                    <w:rPr>
                      <w:rFonts w:hint="eastAsia" w:eastAsia="宋体"/>
                      <w:color w:val="auto"/>
                      <w:sz w:val="21"/>
                      <w:szCs w:val="21"/>
                      <w:highlight w:val="none"/>
                    </w:rPr>
                  </w:pPr>
                  <w:r>
                    <w:rPr>
                      <w:rFonts w:hint="eastAsia" w:eastAsia="宋体"/>
                      <w:color w:val="auto"/>
                      <w:sz w:val="21"/>
                      <w:szCs w:val="21"/>
                      <w:highlight w:val="none"/>
                    </w:rPr>
                    <w:t>氨</w:t>
                  </w:r>
                </w:p>
              </w:tc>
              <w:tc>
                <w:tcPr>
                  <w:tcW w:w="116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BB58F7B">
                  <w:pPr>
                    <w:spacing w:beforeLines="0" w:afterLines="0" w:line="320" w:lineRule="exact"/>
                    <w:jc w:val="center"/>
                    <w:rPr>
                      <w:rFonts w:hint="eastAsia"/>
                      <w:color w:val="auto"/>
                      <w:sz w:val="21"/>
                      <w:szCs w:val="21"/>
                      <w:highlight w:val="none"/>
                    </w:rPr>
                  </w:pPr>
                  <w:r>
                    <w:rPr>
                      <w:rFonts w:hint="eastAsia" w:eastAsia="宋体"/>
                      <w:color w:val="auto"/>
                      <w:sz w:val="21"/>
                      <w:szCs w:val="21"/>
                      <w:highlight w:val="none"/>
                    </w:rPr>
                    <w:t>0.236</w:t>
                  </w:r>
                </w:p>
              </w:tc>
              <w:tc>
                <w:tcPr>
                  <w:tcW w:w="127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CF0FFB3">
                  <w:pPr>
                    <w:spacing w:beforeLines="0" w:afterLines="0" w:line="320" w:lineRule="exact"/>
                    <w:jc w:val="center"/>
                    <w:rPr>
                      <w:rFonts w:hint="eastAsia"/>
                      <w:color w:val="auto"/>
                      <w:sz w:val="21"/>
                      <w:szCs w:val="21"/>
                      <w:highlight w:val="none"/>
                    </w:rPr>
                  </w:pPr>
                  <w:r>
                    <w:rPr>
                      <w:rFonts w:hint="eastAsia" w:eastAsia="宋体"/>
                      <w:color w:val="auto"/>
                      <w:sz w:val="21"/>
                      <w:szCs w:val="21"/>
                      <w:highlight w:val="none"/>
                    </w:rPr>
                    <w:t>0.678</w:t>
                  </w:r>
                </w:p>
              </w:tc>
              <w:tc>
                <w:tcPr>
                  <w:tcW w:w="114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5413A81">
                  <w:pPr>
                    <w:snapToGrid w:val="0"/>
                    <w:spacing w:beforeLines="0" w:afterLines="0" w:line="320" w:lineRule="exact"/>
                    <w:jc w:val="center"/>
                    <w:rPr>
                      <w:rFonts w:hint="eastAsia"/>
                      <w:color w:val="auto"/>
                      <w:sz w:val="21"/>
                      <w:szCs w:val="21"/>
                      <w:highlight w:val="none"/>
                    </w:rPr>
                  </w:pPr>
                  <w:r>
                    <w:rPr>
                      <w:rFonts w:hint="eastAsia" w:eastAsia="宋体"/>
                      <w:color w:val="auto"/>
                      <w:sz w:val="21"/>
                      <w:szCs w:val="21"/>
                      <w:highlight w:val="none"/>
                    </w:rPr>
                    <w:t>0.914</w:t>
                  </w:r>
                </w:p>
              </w:tc>
            </w:tr>
            <w:tr w14:paraId="07430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BA3AFDE">
                  <w:pPr>
                    <w:snapToGrid w:val="0"/>
                    <w:spacing w:beforeLines="0" w:afterLines="0" w:line="320" w:lineRule="exact"/>
                    <w:jc w:val="center"/>
                    <w:rPr>
                      <w:rFonts w:hint="eastAsia"/>
                      <w:color w:val="auto"/>
                      <w:sz w:val="21"/>
                      <w:szCs w:val="21"/>
                      <w:highlight w:val="none"/>
                    </w:rPr>
                  </w:pPr>
                  <w:r>
                    <w:rPr>
                      <w:rFonts w:hint="eastAsia"/>
                      <w:color w:val="auto"/>
                      <w:sz w:val="21"/>
                      <w:szCs w:val="21"/>
                      <w:highlight w:val="none"/>
                    </w:rPr>
                    <w:t>2</w:t>
                  </w:r>
                </w:p>
              </w:tc>
              <w:tc>
                <w:tcPr>
                  <w:tcW w:w="100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A53F3AE">
                  <w:pPr>
                    <w:snapToGrid w:val="0"/>
                    <w:spacing w:beforeLines="0" w:afterLines="0" w:line="320" w:lineRule="exact"/>
                    <w:jc w:val="center"/>
                    <w:rPr>
                      <w:rFonts w:hint="eastAsia"/>
                      <w:color w:val="auto"/>
                      <w:sz w:val="21"/>
                      <w:szCs w:val="21"/>
                      <w:highlight w:val="none"/>
                    </w:rPr>
                  </w:pPr>
                  <w:r>
                    <w:rPr>
                      <w:rFonts w:hint="eastAsia" w:eastAsia="宋体"/>
                      <w:color w:val="auto"/>
                      <w:sz w:val="21"/>
                      <w:szCs w:val="21"/>
                      <w:highlight w:val="none"/>
                    </w:rPr>
                    <w:t>硫化氢</w:t>
                  </w:r>
                </w:p>
              </w:tc>
              <w:tc>
                <w:tcPr>
                  <w:tcW w:w="116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0D9891C">
                  <w:pPr>
                    <w:snapToGrid w:val="0"/>
                    <w:spacing w:beforeLines="0" w:afterLines="0" w:line="320" w:lineRule="exact"/>
                    <w:jc w:val="center"/>
                    <w:rPr>
                      <w:rFonts w:hint="eastAsia"/>
                      <w:color w:val="auto"/>
                      <w:sz w:val="21"/>
                      <w:szCs w:val="21"/>
                      <w:highlight w:val="none"/>
                    </w:rPr>
                  </w:pPr>
                  <w:r>
                    <w:rPr>
                      <w:rFonts w:hint="eastAsia" w:eastAsia="宋体"/>
                      <w:color w:val="auto"/>
                      <w:sz w:val="21"/>
                      <w:szCs w:val="21"/>
                      <w:highlight w:val="none"/>
                    </w:rPr>
                    <w:t>0.024</w:t>
                  </w:r>
                </w:p>
              </w:tc>
              <w:tc>
                <w:tcPr>
                  <w:tcW w:w="127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482EF0E">
                  <w:pPr>
                    <w:snapToGrid w:val="0"/>
                    <w:spacing w:beforeLines="0" w:afterLines="0" w:line="320" w:lineRule="exact"/>
                    <w:jc w:val="center"/>
                    <w:rPr>
                      <w:rFonts w:hint="eastAsia"/>
                      <w:color w:val="auto"/>
                      <w:sz w:val="21"/>
                      <w:szCs w:val="21"/>
                      <w:highlight w:val="none"/>
                    </w:rPr>
                  </w:pPr>
                  <w:r>
                    <w:rPr>
                      <w:rFonts w:hint="eastAsia" w:eastAsia="宋体"/>
                      <w:color w:val="auto"/>
                      <w:sz w:val="21"/>
                      <w:szCs w:val="21"/>
                      <w:highlight w:val="none"/>
                    </w:rPr>
                    <w:t>0.068</w:t>
                  </w:r>
                </w:p>
              </w:tc>
              <w:tc>
                <w:tcPr>
                  <w:tcW w:w="114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B32C646">
                  <w:pPr>
                    <w:snapToGrid w:val="0"/>
                    <w:spacing w:beforeLines="0" w:afterLines="0" w:line="320" w:lineRule="exact"/>
                    <w:jc w:val="center"/>
                    <w:rPr>
                      <w:rFonts w:hint="eastAsia"/>
                      <w:color w:val="auto"/>
                      <w:sz w:val="21"/>
                      <w:szCs w:val="21"/>
                      <w:highlight w:val="none"/>
                    </w:rPr>
                  </w:pPr>
                  <w:r>
                    <w:rPr>
                      <w:rFonts w:hint="eastAsia" w:eastAsia="宋体"/>
                      <w:color w:val="auto"/>
                      <w:sz w:val="21"/>
                      <w:szCs w:val="21"/>
                      <w:highlight w:val="none"/>
                    </w:rPr>
                    <w:t>0.092</w:t>
                  </w:r>
                </w:p>
              </w:tc>
            </w:tr>
            <w:tr w14:paraId="7BAAC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81059DA">
                  <w:pPr>
                    <w:snapToGrid w:val="0"/>
                    <w:spacing w:beforeLines="0" w:afterLines="0" w:line="320" w:lineRule="exac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3</w:t>
                  </w:r>
                </w:p>
              </w:tc>
              <w:tc>
                <w:tcPr>
                  <w:tcW w:w="100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ADC82A5">
                  <w:pPr>
                    <w:snapToGrid w:val="0"/>
                    <w:spacing w:beforeLines="0" w:afterLines="0" w:line="320" w:lineRule="exact"/>
                    <w:jc w:val="center"/>
                    <w:rPr>
                      <w:rFonts w:hint="eastAsia"/>
                      <w:color w:val="auto"/>
                      <w:sz w:val="21"/>
                      <w:szCs w:val="21"/>
                      <w:highlight w:val="none"/>
                    </w:rPr>
                  </w:pPr>
                  <w:r>
                    <w:rPr>
                      <w:rFonts w:hint="eastAsia" w:eastAsia="宋体"/>
                      <w:color w:val="auto"/>
                      <w:sz w:val="21"/>
                      <w:szCs w:val="21"/>
                      <w:highlight w:val="none"/>
                    </w:rPr>
                    <w:t>颗粒物</w:t>
                  </w:r>
                </w:p>
              </w:tc>
              <w:tc>
                <w:tcPr>
                  <w:tcW w:w="116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61D4087">
                  <w:pPr>
                    <w:snapToGrid w:val="0"/>
                    <w:spacing w:beforeLines="0" w:afterLines="0" w:line="320" w:lineRule="exact"/>
                    <w:jc w:val="center"/>
                    <w:rPr>
                      <w:rFonts w:hint="eastAsia"/>
                      <w:color w:val="auto"/>
                      <w:sz w:val="21"/>
                      <w:szCs w:val="21"/>
                      <w:highlight w:val="none"/>
                    </w:rPr>
                  </w:pPr>
                  <w:r>
                    <w:rPr>
                      <w:rFonts w:hint="eastAsia" w:eastAsia="宋体"/>
                      <w:color w:val="auto"/>
                      <w:sz w:val="21"/>
                      <w:szCs w:val="21"/>
                      <w:highlight w:val="none"/>
                    </w:rPr>
                    <w:t>1.497</w:t>
                  </w:r>
                </w:p>
              </w:tc>
              <w:tc>
                <w:tcPr>
                  <w:tcW w:w="127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7D4A661">
                  <w:pPr>
                    <w:snapToGrid w:val="0"/>
                    <w:spacing w:beforeLines="0" w:afterLines="0" w:line="320" w:lineRule="exact"/>
                    <w:jc w:val="center"/>
                    <w:rPr>
                      <w:rFonts w:hint="eastAsia"/>
                      <w:color w:val="auto"/>
                      <w:sz w:val="21"/>
                      <w:szCs w:val="21"/>
                      <w:highlight w:val="none"/>
                    </w:rPr>
                  </w:pPr>
                  <w:r>
                    <w:rPr>
                      <w:rFonts w:hint="eastAsia" w:eastAsia="宋体"/>
                      <w:color w:val="auto"/>
                      <w:sz w:val="21"/>
                      <w:szCs w:val="21"/>
                      <w:highlight w:val="none"/>
                    </w:rPr>
                    <w:t>0.509</w:t>
                  </w:r>
                </w:p>
              </w:tc>
              <w:tc>
                <w:tcPr>
                  <w:tcW w:w="114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A484747">
                  <w:pPr>
                    <w:snapToGrid w:val="0"/>
                    <w:spacing w:beforeLines="0" w:afterLines="0" w:line="320" w:lineRule="exact"/>
                    <w:jc w:val="center"/>
                    <w:rPr>
                      <w:rFonts w:hint="eastAsia"/>
                      <w:color w:val="auto"/>
                      <w:sz w:val="21"/>
                      <w:szCs w:val="21"/>
                      <w:highlight w:val="none"/>
                    </w:rPr>
                  </w:pPr>
                  <w:r>
                    <w:rPr>
                      <w:rFonts w:hint="eastAsia" w:eastAsia="宋体"/>
                      <w:color w:val="auto"/>
                      <w:sz w:val="21"/>
                      <w:szCs w:val="21"/>
                      <w:highlight w:val="none"/>
                    </w:rPr>
                    <w:t>2.006</w:t>
                  </w:r>
                </w:p>
              </w:tc>
            </w:tr>
          </w:tbl>
          <w:p w14:paraId="4EAF5B54">
            <w:pPr>
              <w:adjustRightInd w:val="0"/>
              <w:snapToGrid w:val="0"/>
              <w:spacing w:beforeLines="0" w:afterLines="0" w:line="440" w:lineRule="exact"/>
              <w:ind w:firstLine="480" w:firstLineChars="200"/>
              <w:rPr>
                <w:rFonts w:hint="eastAsia" w:eastAsia="宋体"/>
                <w:b w:val="0"/>
                <w:bCs/>
                <w:color w:val="auto"/>
                <w:sz w:val="24"/>
                <w:szCs w:val="24"/>
                <w:highlight w:val="none"/>
              </w:rPr>
            </w:pPr>
            <w:r>
              <w:rPr>
                <w:rFonts w:hint="eastAsia" w:eastAsia="宋体"/>
                <w:b w:val="0"/>
                <w:bCs/>
                <w:color w:val="auto"/>
                <w:sz w:val="24"/>
                <w:szCs w:val="24"/>
                <w:highlight w:val="none"/>
              </w:rPr>
              <w:t>本项目建设完成，全厂排放情况如下</w:t>
            </w:r>
          </w:p>
          <w:p w14:paraId="22442D96">
            <w:pPr>
              <w:spacing w:beforeLines="0" w:afterLines="0" w:line="320" w:lineRule="exact"/>
              <w:jc w:val="center"/>
              <w:rPr>
                <w:rFonts w:hint="eastAsia"/>
                <w:b/>
                <w:color w:val="auto"/>
                <w:sz w:val="21"/>
                <w:szCs w:val="21"/>
                <w:highlight w:val="none"/>
              </w:rPr>
            </w:pPr>
            <w:r>
              <w:rPr>
                <w:rFonts w:hint="eastAsia" w:eastAsia="宋体"/>
                <w:b/>
                <w:color w:val="auto"/>
                <w:sz w:val="21"/>
                <w:szCs w:val="24"/>
                <w:highlight w:val="none"/>
              </w:rPr>
              <w:t>表</w:t>
            </w:r>
            <w:r>
              <w:rPr>
                <w:rFonts w:hint="eastAsia"/>
                <w:b/>
                <w:color w:val="auto"/>
                <w:sz w:val="21"/>
                <w:szCs w:val="24"/>
                <w:highlight w:val="none"/>
                <w:lang w:val="en-US" w:eastAsia="zh-CN"/>
              </w:rPr>
              <w:t>3-17</w:t>
            </w:r>
            <w:r>
              <w:rPr>
                <w:rFonts w:hint="eastAsia" w:eastAsia="宋体"/>
                <w:b/>
                <w:color w:val="auto"/>
                <w:sz w:val="21"/>
                <w:szCs w:val="24"/>
                <w:highlight w:val="none"/>
              </w:rPr>
              <w:t xml:space="preserve">  本项目建设完成全厂废气排放总量一览表</w:t>
            </w:r>
          </w:p>
          <w:tbl>
            <w:tblPr>
              <w:tblStyle w:val="26"/>
              <w:tblW w:w="824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34"/>
              <w:gridCol w:w="1200"/>
              <w:gridCol w:w="1572"/>
              <w:gridCol w:w="1560"/>
              <w:gridCol w:w="1692"/>
              <w:gridCol w:w="1286"/>
            </w:tblGrid>
            <w:tr w14:paraId="2112E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6" w:type="pct"/>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90423E4">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eastAsia"/>
                      <w:b/>
                      <w:color w:val="auto"/>
                      <w:sz w:val="21"/>
                      <w:szCs w:val="21"/>
                      <w:highlight w:val="none"/>
                    </w:rPr>
                  </w:pPr>
                  <w:r>
                    <w:rPr>
                      <w:rFonts w:hint="eastAsia" w:eastAsia="宋体"/>
                      <w:b/>
                      <w:color w:val="auto"/>
                      <w:sz w:val="21"/>
                      <w:szCs w:val="21"/>
                      <w:highlight w:val="none"/>
                    </w:rPr>
                    <w:t>污染物指标</w:t>
                  </w:r>
                </w:p>
              </w:tc>
              <w:tc>
                <w:tcPr>
                  <w:tcW w:w="727" w:type="pct"/>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372DE20">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eastAsia" w:eastAsia="宋体"/>
                      <w:b/>
                      <w:color w:val="auto"/>
                      <w:sz w:val="21"/>
                      <w:szCs w:val="21"/>
                      <w:highlight w:val="none"/>
                    </w:rPr>
                  </w:pPr>
                  <w:r>
                    <w:rPr>
                      <w:rFonts w:hint="eastAsia" w:eastAsia="宋体"/>
                      <w:b/>
                      <w:color w:val="auto"/>
                      <w:sz w:val="21"/>
                      <w:szCs w:val="21"/>
                      <w:highlight w:val="none"/>
                    </w:rPr>
                    <w:t>现有项目</w:t>
                  </w:r>
                </w:p>
                <w:p w14:paraId="665EF2A9">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eastAsia"/>
                      <w:b/>
                      <w:color w:val="auto"/>
                      <w:sz w:val="21"/>
                      <w:szCs w:val="21"/>
                      <w:highlight w:val="none"/>
                    </w:rPr>
                  </w:pPr>
                  <w:r>
                    <w:rPr>
                      <w:rFonts w:hint="eastAsia" w:eastAsia="宋体"/>
                      <w:b/>
                      <w:color w:val="auto"/>
                      <w:sz w:val="21"/>
                      <w:szCs w:val="21"/>
                      <w:highlight w:val="none"/>
                    </w:rPr>
                    <w:t>（t/a）</w:t>
                  </w:r>
                </w:p>
              </w:tc>
              <w:tc>
                <w:tcPr>
                  <w:tcW w:w="1899" w:type="pct"/>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07A35CE">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eastAsia" w:eastAsia="宋体"/>
                      <w:b/>
                      <w:color w:val="auto"/>
                      <w:sz w:val="21"/>
                      <w:szCs w:val="21"/>
                      <w:highlight w:val="none"/>
                    </w:rPr>
                  </w:pPr>
                  <w:r>
                    <w:rPr>
                      <w:rFonts w:hint="eastAsia" w:eastAsia="宋体"/>
                      <w:b/>
                      <w:color w:val="auto"/>
                      <w:sz w:val="21"/>
                      <w:szCs w:val="21"/>
                      <w:highlight w:val="none"/>
                    </w:rPr>
                    <w:t>本项目</w:t>
                  </w:r>
                </w:p>
              </w:tc>
              <w:tc>
                <w:tcPr>
                  <w:tcW w:w="1026" w:type="pct"/>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012E62B">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eastAsia"/>
                      <w:b/>
                      <w:color w:val="auto"/>
                      <w:sz w:val="21"/>
                      <w:szCs w:val="21"/>
                      <w:highlight w:val="none"/>
                    </w:rPr>
                  </w:pPr>
                  <w:r>
                    <w:rPr>
                      <w:rFonts w:hint="eastAsia" w:eastAsia="宋体"/>
                      <w:b/>
                      <w:color w:val="auto"/>
                      <w:sz w:val="21"/>
                      <w:szCs w:val="21"/>
                      <w:highlight w:val="none"/>
                    </w:rPr>
                    <w:t>扩建完成后全厂（t/a）</w:t>
                  </w:r>
                </w:p>
              </w:tc>
              <w:tc>
                <w:tcPr>
                  <w:tcW w:w="779" w:type="pct"/>
                  <w:vMerge w:val="restart"/>
                  <w:tcBorders>
                    <w:top w:val="single" w:color="auto" w:sz="6" w:space="0"/>
                    <w:left w:val="single" w:color="auto" w:sz="6" w:space="0"/>
                    <w:right w:val="single" w:color="auto" w:sz="6" w:space="0"/>
                    <w:tl2br w:val="nil"/>
                    <w:tr2bl w:val="nil"/>
                  </w:tcBorders>
                  <w:noWrap w:val="0"/>
                  <w:vAlign w:val="center"/>
                </w:tcPr>
                <w:p w14:paraId="79AAFDB3">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default" w:eastAsia="宋体"/>
                      <w:b/>
                      <w:color w:val="auto"/>
                      <w:sz w:val="21"/>
                      <w:szCs w:val="21"/>
                      <w:highlight w:val="none"/>
                      <w:lang w:val="en-US" w:eastAsia="zh-CN"/>
                    </w:rPr>
                  </w:pPr>
                  <w:r>
                    <w:rPr>
                      <w:rFonts w:hint="eastAsia"/>
                      <w:b/>
                      <w:color w:val="auto"/>
                      <w:sz w:val="21"/>
                      <w:szCs w:val="21"/>
                      <w:highlight w:val="none"/>
                      <w:lang w:val="en-US" w:eastAsia="zh-CN"/>
                    </w:rPr>
                    <w:t>变化情况</w:t>
                  </w:r>
                </w:p>
              </w:tc>
            </w:tr>
            <w:tr w14:paraId="5DC93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6" w:type="pct"/>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A119C30">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eastAsia"/>
                      <w:b/>
                      <w:color w:val="auto"/>
                      <w:sz w:val="21"/>
                      <w:szCs w:val="21"/>
                      <w:highlight w:val="none"/>
                    </w:rPr>
                  </w:pPr>
                </w:p>
              </w:tc>
              <w:tc>
                <w:tcPr>
                  <w:tcW w:w="727" w:type="pct"/>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98B0A99">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eastAsia" w:eastAsia="宋体"/>
                      <w:b/>
                      <w:color w:val="auto"/>
                      <w:sz w:val="21"/>
                      <w:szCs w:val="21"/>
                      <w:highlight w:val="none"/>
                    </w:rPr>
                  </w:pPr>
                </w:p>
              </w:tc>
              <w:tc>
                <w:tcPr>
                  <w:tcW w:w="953" w:type="pct"/>
                  <w:tcBorders>
                    <w:top w:val="single" w:color="auto" w:sz="6" w:space="0"/>
                    <w:left w:val="single" w:color="auto" w:sz="6" w:space="0"/>
                    <w:bottom w:val="single" w:color="auto" w:sz="6" w:space="0"/>
                    <w:right w:val="single" w:color="auto" w:sz="6" w:space="0"/>
                    <w:tl2br w:val="nil"/>
                    <w:tr2bl w:val="nil"/>
                  </w:tcBorders>
                  <w:noWrap w:val="0"/>
                  <w:vAlign w:val="center"/>
                </w:tcPr>
                <w:p w14:paraId="5C7AB1D9">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eastAsia"/>
                      <w:b/>
                      <w:color w:val="auto"/>
                      <w:sz w:val="21"/>
                      <w:szCs w:val="21"/>
                      <w:highlight w:val="none"/>
                    </w:rPr>
                  </w:pPr>
                  <w:r>
                    <w:rPr>
                      <w:rFonts w:hint="eastAsia" w:eastAsia="宋体"/>
                      <w:b/>
                      <w:color w:val="auto"/>
                      <w:sz w:val="21"/>
                      <w:szCs w:val="21"/>
                      <w:highlight w:val="none"/>
                    </w:rPr>
                    <w:t>排放量（t/a）</w:t>
                  </w:r>
                </w:p>
              </w:tc>
              <w:tc>
                <w:tcPr>
                  <w:tcW w:w="946" w:type="pct"/>
                  <w:tcBorders>
                    <w:top w:val="single" w:color="auto" w:sz="6" w:space="0"/>
                    <w:left w:val="single" w:color="auto" w:sz="6" w:space="0"/>
                    <w:bottom w:val="single" w:color="auto" w:sz="6" w:space="0"/>
                    <w:right w:val="single" w:color="auto" w:sz="6" w:space="0"/>
                    <w:tl2br w:val="nil"/>
                    <w:tr2bl w:val="nil"/>
                  </w:tcBorders>
                  <w:noWrap w:val="0"/>
                  <w:vAlign w:val="center"/>
                </w:tcPr>
                <w:p w14:paraId="1E472F93">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eastAsia"/>
                      <w:b/>
                      <w:color w:val="auto"/>
                      <w:sz w:val="21"/>
                      <w:szCs w:val="21"/>
                      <w:highlight w:val="none"/>
                    </w:rPr>
                  </w:pPr>
                  <w:r>
                    <w:rPr>
                      <w:rFonts w:hint="eastAsia" w:eastAsia="宋体"/>
                      <w:b/>
                      <w:color w:val="auto"/>
                      <w:sz w:val="21"/>
                      <w:szCs w:val="21"/>
                      <w:highlight w:val="none"/>
                    </w:rPr>
                    <w:t>消减量（t/a）</w:t>
                  </w:r>
                </w:p>
              </w:tc>
              <w:tc>
                <w:tcPr>
                  <w:tcW w:w="1026" w:type="pct"/>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179B716">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eastAsia" w:eastAsia="宋体"/>
                      <w:b/>
                      <w:color w:val="auto"/>
                      <w:sz w:val="21"/>
                      <w:szCs w:val="21"/>
                      <w:highlight w:val="none"/>
                    </w:rPr>
                  </w:pPr>
                </w:p>
              </w:tc>
              <w:tc>
                <w:tcPr>
                  <w:tcW w:w="779" w:type="pct"/>
                  <w:vMerge w:val="continue"/>
                  <w:tcBorders>
                    <w:left w:val="single" w:color="auto" w:sz="6" w:space="0"/>
                    <w:bottom w:val="single" w:color="auto" w:sz="6" w:space="0"/>
                    <w:right w:val="single" w:color="auto" w:sz="6" w:space="0"/>
                    <w:tl2br w:val="nil"/>
                    <w:tr2bl w:val="nil"/>
                  </w:tcBorders>
                  <w:noWrap w:val="0"/>
                  <w:vAlign w:val="center"/>
                </w:tcPr>
                <w:p w14:paraId="09CEDE37">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eastAsia" w:eastAsia="宋体"/>
                      <w:b/>
                      <w:color w:val="auto"/>
                      <w:sz w:val="21"/>
                      <w:szCs w:val="21"/>
                      <w:highlight w:val="none"/>
                    </w:rPr>
                  </w:pPr>
                </w:p>
              </w:tc>
            </w:tr>
            <w:tr w14:paraId="59D04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6"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25355F1">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氨</w:t>
                  </w:r>
                </w:p>
              </w:tc>
              <w:tc>
                <w:tcPr>
                  <w:tcW w:w="727" w:type="pct"/>
                  <w:tcBorders>
                    <w:top w:val="single" w:color="auto" w:sz="6" w:space="0"/>
                    <w:left w:val="single" w:color="auto" w:sz="6" w:space="0"/>
                    <w:bottom w:val="single" w:color="auto" w:sz="6" w:space="0"/>
                    <w:right w:val="single" w:color="auto" w:sz="6" w:space="0"/>
                    <w:tl2br w:val="nil"/>
                    <w:tr2bl w:val="nil"/>
                  </w:tcBorders>
                  <w:noWrap w:val="0"/>
                  <w:vAlign w:val="center"/>
                </w:tcPr>
                <w:p w14:paraId="5BDE1C56">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2.107</w:t>
                  </w:r>
                </w:p>
              </w:tc>
              <w:tc>
                <w:tcPr>
                  <w:tcW w:w="953" w:type="pct"/>
                  <w:tcBorders>
                    <w:top w:val="single" w:color="auto" w:sz="6" w:space="0"/>
                    <w:left w:val="single" w:color="auto" w:sz="6" w:space="0"/>
                    <w:bottom w:val="single" w:color="auto" w:sz="6" w:space="0"/>
                    <w:right w:val="single" w:color="auto" w:sz="6" w:space="0"/>
                    <w:tl2br w:val="nil"/>
                    <w:tr2bl w:val="nil"/>
                  </w:tcBorders>
                  <w:noWrap w:val="0"/>
                  <w:vAlign w:val="center"/>
                </w:tcPr>
                <w:p w14:paraId="2C92473A">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0.914</w:t>
                  </w:r>
                </w:p>
              </w:tc>
              <w:tc>
                <w:tcPr>
                  <w:tcW w:w="946"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3DDFA52">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0.927</w:t>
                  </w:r>
                </w:p>
              </w:tc>
              <w:tc>
                <w:tcPr>
                  <w:tcW w:w="1026" w:type="pct"/>
                  <w:tcBorders>
                    <w:top w:val="single" w:color="auto" w:sz="6" w:space="0"/>
                    <w:left w:val="single" w:color="auto" w:sz="6" w:space="0"/>
                    <w:bottom w:val="single" w:color="auto" w:sz="6" w:space="0"/>
                    <w:right w:val="single" w:color="auto" w:sz="6" w:space="0"/>
                    <w:tl2br w:val="nil"/>
                    <w:tr2bl w:val="nil"/>
                  </w:tcBorders>
                  <w:noWrap w:val="0"/>
                  <w:vAlign w:val="center"/>
                </w:tcPr>
                <w:p w14:paraId="4C15F77F">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2.094</w:t>
                  </w:r>
                </w:p>
              </w:tc>
              <w:tc>
                <w:tcPr>
                  <w:tcW w:w="12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8C52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color w:val="auto"/>
                      <w:sz w:val="21"/>
                      <w:szCs w:val="21"/>
                      <w:highlight w:val="none"/>
                    </w:rPr>
                  </w:pPr>
                  <w:r>
                    <w:rPr>
                      <w:rFonts w:hint="eastAsia"/>
                      <w:color w:val="auto"/>
                      <w:szCs w:val="21"/>
                      <w:highlight w:val="none"/>
                      <w:lang w:val="en-US" w:eastAsia="zh-CN"/>
                    </w:rPr>
                    <w:t>-0.013</w:t>
                  </w:r>
                </w:p>
              </w:tc>
            </w:tr>
            <w:tr w14:paraId="0A010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6"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2AB533A">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硫化氢</w:t>
                  </w:r>
                </w:p>
              </w:tc>
              <w:tc>
                <w:tcPr>
                  <w:tcW w:w="727"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60B2AFD">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0.179</w:t>
                  </w:r>
                </w:p>
              </w:tc>
              <w:tc>
                <w:tcPr>
                  <w:tcW w:w="953" w:type="pct"/>
                  <w:tcBorders>
                    <w:top w:val="single" w:color="auto" w:sz="6" w:space="0"/>
                    <w:left w:val="single" w:color="auto" w:sz="6" w:space="0"/>
                    <w:bottom w:val="single" w:color="auto" w:sz="6" w:space="0"/>
                    <w:right w:val="single" w:color="auto" w:sz="6" w:space="0"/>
                    <w:tl2br w:val="nil"/>
                    <w:tr2bl w:val="nil"/>
                  </w:tcBorders>
                  <w:noWrap w:val="0"/>
                  <w:vAlign w:val="center"/>
                </w:tcPr>
                <w:p w14:paraId="65DDA205">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eastAsia="宋体"/>
                      <w:color w:val="auto"/>
                      <w:sz w:val="21"/>
                      <w:szCs w:val="21"/>
                      <w:highlight w:val="none"/>
                    </w:rPr>
                  </w:pPr>
                  <w:r>
                    <w:rPr>
                      <w:rFonts w:hint="eastAsia" w:eastAsia="宋体"/>
                      <w:color w:val="auto"/>
                      <w:sz w:val="21"/>
                      <w:szCs w:val="21"/>
                      <w:highlight w:val="none"/>
                    </w:rPr>
                    <w:t>0.092</w:t>
                  </w:r>
                </w:p>
              </w:tc>
              <w:tc>
                <w:tcPr>
                  <w:tcW w:w="946" w:type="pct"/>
                  <w:tcBorders>
                    <w:top w:val="single" w:color="auto" w:sz="6" w:space="0"/>
                    <w:left w:val="single" w:color="auto" w:sz="6" w:space="0"/>
                    <w:bottom w:val="single" w:color="auto" w:sz="6" w:space="0"/>
                    <w:right w:val="single" w:color="auto" w:sz="6" w:space="0"/>
                    <w:tl2br w:val="nil"/>
                    <w:tr2bl w:val="nil"/>
                  </w:tcBorders>
                  <w:noWrap w:val="0"/>
                  <w:vAlign w:val="center"/>
                </w:tcPr>
                <w:p w14:paraId="3304B422">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eastAsia="宋体"/>
                      <w:color w:val="auto"/>
                      <w:sz w:val="21"/>
                      <w:szCs w:val="21"/>
                      <w:highlight w:val="none"/>
                    </w:rPr>
                  </w:pPr>
                  <w:r>
                    <w:rPr>
                      <w:rFonts w:hint="eastAsia" w:eastAsia="宋体"/>
                      <w:color w:val="auto"/>
                      <w:sz w:val="21"/>
                      <w:szCs w:val="21"/>
                      <w:highlight w:val="none"/>
                    </w:rPr>
                    <w:t>0.1221</w:t>
                  </w:r>
                </w:p>
              </w:tc>
              <w:tc>
                <w:tcPr>
                  <w:tcW w:w="1026"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C07C8B1">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0.1489</w:t>
                  </w:r>
                </w:p>
              </w:tc>
              <w:tc>
                <w:tcPr>
                  <w:tcW w:w="12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9421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color w:val="auto"/>
                      <w:sz w:val="21"/>
                      <w:szCs w:val="21"/>
                      <w:highlight w:val="none"/>
                    </w:rPr>
                  </w:pPr>
                  <w:r>
                    <w:rPr>
                      <w:rFonts w:hint="eastAsia"/>
                      <w:color w:val="auto"/>
                      <w:szCs w:val="21"/>
                      <w:highlight w:val="none"/>
                      <w:lang w:val="en-US" w:eastAsia="zh-CN"/>
                    </w:rPr>
                    <w:t>-0.0301</w:t>
                  </w:r>
                </w:p>
              </w:tc>
            </w:tr>
            <w:tr w14:paraId="0D900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6" w:type="pct"/>
                  <w:tcBorders>
                    <w:top w:val="single" w:color="auto" w:sz="6" w:space="0"/>
                    <w:left w:val="single" w:color="auto" w:sz="6" w:space="0"/>
                    <w:bottom w:val="single" w:color="auto" w:sz="6" w:space="0"/>
                    <w:right w:val="single" w:color="auto" w:sz="6" w:space="0"/>
                    <w:tl2br w:val="nil"/>
                    <w:tr2bl w:val="nil"/>
                  </w:tcBorders>
                  <w:noWrap w:val="0"/>
                  <w:vAlign w:val="center"/>
                </w:tcPr>
                <w:p w14:paraId="62ED86A9">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二氧化硫</w:t>
                  </w:r>
                </w:p>
              </w:tc>
              <w:tc>
                <w:tcPr>
                  <w:tcW w:w="727" w:type="pct"/>
                  <w:tcBorders>
                    <w:top w:val="single" w:color="auto" w:sz="6" w:space="0"/>
                    <w:left w:val="single" w:color="auto" w:sz="6" w:space="0"/>
                    <w:bottom w:val="single" w:color="auto" w:sz="6" w:space="0"/>
                    <w:right w:val="single" w:color="auto" w:sz="6" w:space="0"/>
                    <w:tl2br w:val="nil"/>
                    <w:tr2bl w:val="nil"/>
                  </w:tcBorders>
                  <w:noWrap w:val="0"/>
                  <w:vAlign w:val="center"/>
                </w:tcPr>
                <w:p w14:paraId="4BA34BC4">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14.311</w:t>
                  </w:r>
                </w:p>
              </w:tc>
              <w:tc>
                <w:tcPr>
                  <w:tcW w:w="953" w:type="pct"/>
                  <w:tcBorders>
                    <w:top w:val="single" w:color="auto" w:sz="6" w:space="0"/>
                    <w:left w:val="single" w:color="auto" w:sz="6" w:space="0"/>
                    <w:bottom w:val="single" w:color="auto" w:sz="6" w:space="0"/>
                    <w:right w:val="single" w:color="auto" w:sz="6" w:space="0"/>
                    <w:tl2br w:val="nil"/>
                    <w:tr2bl w:val="nil"/>
                  </w:tcBorders>
                  <w:noWrap w:val="0"/>
                  <w:vAlign w:val="center"/>
                </w:tcPr>
                <w:p w14:paraId="327510ED">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eastAsia="宋体"/>
                      <w:color w:val="auto"/>
                      <w:sz w:val="21"/>
                      <w:szCs w:val="21"/>
                      <w:highlight w:val="none"/>
                    </w:rPr>
                  </w:pPr>
                  <w:r>
                    <w:rPr>
                      <w:rFonts w:hint="eastAsia" w:eastAsia="宋体"/>
                      <w:color w:val="auto"/>
                      <w:sz w:val="21"/>
                      <w:szCs w:val="21"/>
                      <w:highlight w:val="none"/>
                    </w:rPr>
                    <w:t>0</w:t>
                  </w:r>
                </w:p>
              </w:tc>
              <w:tc>
                <w:tcPr>
                  <w:tcW w:w="946" w:type="pct"/>
                  <w:tcBorders>
                    <w:top w:val="single" w:color="auto" w:sz="6" w:space="0"/>
                    <w:left w:val="single" w:color="auto" w:sz="6" w:space="0"/>
                    <w:bottom w:val="single" w:color="auto" w:sz="6" w:space="0"/>
                    <w:right w:val="single" w:color="auto" w:sz="6" w:space="0"/>
                    <w:tl2br w:val="nil"/>
                    <w:tr2bl w:val="nil"/>
                  </w:tcBorders>
                  <w:noWrap w:val="0"/>
                  <w:vAlign w:val="center"/>
                </w:tcPr>
                <w:p w14:paraId="40BB8302">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eastAsia="宋体"/>
                      <w:color w:val="auto"/>
                      <w:sz w:val="21"/>
                      <w:szCs w:val="21"/>
                      <w:highlight w:val="none"/>
                    </w:rPr>
                  </w:pPr>
                  <w:r>
                    <w:rPr>
                      <w:rFonts w:hint="eastAsia" w:eastAsia="宋体"/>
                      <w:color w:val="auto"/>
                      <w:sz w:val="21"/>
                      <w:szCs w:val="21"/>
                      <w:highlight w:val="none"/>
                    </w:rPr>
                    <w:t>3.572</w:t>
                  </w:r>
                </w:p>
              </w:tc>
              <w:tc>
                <w:tcPr>
                  <w:tcW w:w="1026" w:type="pct"/>
                  <w:tcBorders>
                    <w:top w:val="single" w:color="auto" w:sz="6" w:space="0"/>
                    <w:left w:val="single" w:color="auto" w:sz="6" w:space="0"/>
                    <w:bottom w:val="single" w:color="auto" w:sz="6" w:space="0"/>
                    <w:right w:val="single" w:color="auto" w:sz="6" w:space="0"/>
                    <w:tl2br w:val="nil"/>
                    <w:tr2bl w:val="nil"/>
                  </w:tcBorders>
                  <w:noWrap w:val="0"/>
                  <w:vAlign w:val="center"/>
                </w:tcPr>
                <w:p w14:paraId="1000EFB3">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10.739</w:t>
                  </w:r>
                </w:p>
              </w:tc>
              <w:tc>
                <w:tcPr>
                  <w:tcW w:w="12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74829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color w:val="auto"/>
                      <w:sz w:val="21"/>
                      <w:szCs w:val="21"/>
                      <w:highlight w:val="none"/>
                    </w:rPr>
                  </w:pPr>
                  <w:r>
                    <w:rPr>
                      <w:rFonts w:hint="eastAsia"/>
                      <w:color w:val="auto"/>
                      <w:szCs w:val="21"/>
                      <w:highlight w:val="none"/>
                      <w:lang w:val="en-US" w:eastAsia="zh-CN"/>
                    </w:rPr>
                    <w:t>-3.572</w:t>
                  </w:r>
                </w:p>
              </w:tc>
            </w:tr>
            <w:tr w14:paraId="01422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6"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082BCD6">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氮氧化物</w:t>
                  </w:r>
                </w:p>
              </w:tc>
              <w:tc>
                <w:tcPr>
                  <w:tcW w:w="727" w:type="pct"/>
                  <w:tcBorders>
                    <w:top w:val="single" w:color="auto" w:sz="6" w:space="0"/>
                    <w:left w:val="single" w:color="auto" w:sz="6" w:space="0"/>
                    <w:bottom w:val="single" w:color="auto" w:sz="6" w:space="0"/>
                    <w:right w:val="single" w:color="auto" w:sz="6" w:space="0"/>
                    <w:tl2br w:val="nil"/>
                    <w:tr2bl w:val="nil"/>
                  </w:tcBorders>
                  <w:noWrap w:val="0"/>
                  <w:vAlign w:val="center"/>
                </w:tcPr>
                <w:p w14:paraId="1CF6778A">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6.843</w:t>
                  </w:r>
                </w:p>
              </w:tc>
              <w:tc>
                <w:tcPr>
                  <w:tcW w:w="953" w:type="pct"/>
                  <w:tcBorders>
                    <w:top w:val="single" w:color="auto" w:sz="6" w:space="0"/>
                    <w:left w:val="single" w:color="auto" w:sz="6" w:space="0"/>
                    <w:bottom w:val="single" w:color="auto" w:sz="6" w:space="0"/>
                    <w:right w:val="single" w:color="auto" w:sz="6" w:space="0"/>
                    <w:tl2br w:val="nil"/>
                    <w:tr2bl w:val="nil"/>
                  </w:tcBorders>
                  <w:noWrap w:val="0"/>
                  <w:vAlign w:val="center"/>
                </w:tcPr>
                <w:p w14:paraId="52831B3F">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eastAsia="宋体"/>
                      <w:color w:val="auto"/>
                      <w:sz w:val="21"/>
                      <w:szCs w:val="21"/>
                      <w:highlight w:val="none"/>
                    </w:rPr>
                  </w:pPr>
                  <w:r>
                    <w:rPr>
                      <w:rFonts w:hint="eastAsia" w:eastAsia="宋体"/>
                      <w:color w:val="auto"/>
                      <w:sz w:val="21"/>
                      <w:szCs w:val="21"/>
                      <w:highlight w:val="none"/>
                    </w:rPr>
                    <w:t>0</w:t>
                  </w:r>
                </w:p>
              </w:tc>
              <w:tc>
                <w:tcPr>
                  <w:tcW w:w="946" w:type="pct"/>
                  <w:tcBorders>
                    <w:top w:val="single" w:color="auto" w:sz="6" w:space="0"/>
                    <w:left w:val="single" w:color="auto" w:sz="6" w:space="0"/>
                    <w:bottom w:val="single" w:color="auto" w:sz="6" w:space="0"/>
                    <w:right w:val="single" w:color="auto" w:sz="6" w:space="0"/>
                    <w:tl2br w:val="nil"/>
                    <w:tr2bl w:val="nil"/>
                  </w:tcBorders>
                  <w:noWrap w:val="0"/>
                  <w:vAlign w:val="center"/>
                </w:tcPr>
                <w:p w14:paraId="19E45C1A">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eastAsia="宋体"/>
                      <w:color w:val="auto"/>
                      <w:sz w:val="21"/>
                      <w:szCs w:val="21"/>
                      <w:highlight w:val="none"/>
                    </w:rPr>
                  </w:pPr>
                  <w:r>
                    <w:rPr>
                      <w:rFonts w:hint="eastAsia" w:eastAsia="宋体"/>
                      <w:color w:val="auto"/>
                      <w:sz w:val="21"/>
                      <w:szCs w:val="21"/>
                      <w:highlight w:val="none"/>
                    </w:rPr>
                    <w:t>4.869</w:t>
                  </w:r>
                </w:p>
              </w:tc>
              <w:tc>
                <w:tcPr>
                  <w:tcW w:w="1026" w:type="pct"/>
                  <w:tcBorders>
                    <w:top w:val="single" w:color="auto" w:sz="6" w:space="0"/>
                    <w:left w:val="single" w:color="auto" w:sz="6" w:space="0"/>
                    <w:bottom w:val="single" w:color="auto" w:sz="6" w:space="0"/>
                    <w:right w:val="single" w:color="auto" w:sz="6" w:space="0"/>
                    <w:tl2br w:val="nil"/>
                    <w:tr2bl w:val="nil"/>
                  </w:tcBorders>
                  <w:noWrap w:val="0"/>
                  <w:vAlign w:val="center"/>
                </w:tcPr>
                <w:p w14:paraId="21DACCCF">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1.974</w:t>
                  </w:r>
                </w:p>
              </w:tc>
              <w:tc>
                <w:tcPr>
                  <w:tcW w:w="12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1037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color w:val="auto"/>
                      <w:sz w:val="21"/>
                      <w:szCs w:val="21"/>
                      <w:highlight w:val="none"/>
                    </w:rPr>
                  </w:pPr>
                  <w:r>
                    <w:rPr>
                      <w:rFonts w:hint="eastAsia"/>
                      <w:color w:val="auto"/>
                      <w:szCs w:val="21"/>
                      <w:highlight w:val="none"/>
                      <w:lang w:val="en-US" w:eastAsia="zh-CN"/>
                    </w:rPr>
                    <w:t>-4.869</w:t>
                  </w:r>
                </w:p>
              </w:tc>
            </w:tr>
            <w:tr w14:paraId="7AA2C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6"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8DF4F03">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颗粒物</w:t>
                  </w:r>
                </w:p>
              </w:tc>
              <w:tc>
                <w:tcPr>
                  <w:tcW w:w="727" w:type="pct"/>
                  <w:tcBorders>
                    <w:top w:val="single" w:color="auto" w:sz="6" w:space="0"/>
                    <w:left w:val="single" w:color="auto" w:sz="6" w:space="0"/>
                    <w:bottom w:val="single" w:color="auto" w:sz="6" w:space="0"/>
                    <w:right w:val="single" w:color="auto" w:sz="6" w:space="0"/>
                    <w:tl2br w:val="nil"/>
                    <w:tr2bl w:val="nil"/>
                  </w:tcBorders>
                  <w:noWrap w:val="0"/>
                  <w:vAlign w:val="center"/>
                </w:tcPr>
                <w:p w14:paraId="2E2B0226">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2.1317</w:t>
                  </w:r>
                </w:p>
              </w:tc>
              <w:tc>
                <w:tcPr>
                  <w:tcW w:w="953" w:type="pct"/>
                  <w:tcBorders>
                    <w:top w:val="single" w:color="auto" w:sz="6" w:space="0"/>
                    <w:left w:val="single" w:color="auto" w:sz="6" w:space="0"/>
                    <w:bottom w:val="single" w:color="auto" w:sz="6" w:space="0"/>
                    <w:right w:val="single" w:color="auto" w:sz="6" w:space="0"/>
                    <w:tl2br w:val="nil"/>
                    <w:tr2bl w:val="nil"/>
                  </w:tcBorders>
                  <w:noWrap w:val="0"/>
                  <w:vAlign w:val="center"/>
                </w:tcPr>
                <w:p w14:paraId="02C57557">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eastAsia="宋体"/>
                      <w:color w:val="auto"/>
                      <w:sz w:val="21"/>
                      <w:szCs w:val="21"/>
                      <w:highlight w:val="none"/>
                    </w:rPr>
                  </w:pPr>
                  <w:r>
                    <w:rPr>
                      <w:rFonts w:hint="eastAsia" w:eastAsia="宋体"/>
                      <w:color w:val="auto"/>
                      <w:sz w:val="21"/>
                      <w:szCs w:val="21"/>
                      <w:highlight w:val="none"/>
                    </w:rPr>
                    <w:t>2.006</w:t>
                  </w:r>
                </w:p>
              </w:tc>
              <w:tc>
                <w:tcPr>
                  <w:tcW w:w="946" w:type="pct"/>
                  <w:tcBorders>
                    <w:top w:val="single" w:color="auto" w:sz="6" w:space="0"/>
                    <w:left w:val="single" w:color="auto" w:sz="6" w:space="0"/>
                    <w:bottom w:val="single" w:color="auto" w:sz="6" w:space="0"/>
                    <w:right w:val="single" w:color="auto" w:sz="6" w:space="0"/>
                    <w:tl2br w:val="nil"/>
                    <w:tr2bl w:val="nil"/>
                  </w:tcBorders>
                  <w:noWrap w:val="0"/>
                  <w:vAlign w:val="center"/>
                </w:tcPr>
                <w:p w14:paraId="302B7F5F">
                  <w:pPr>
                    <w:keepNext w:val="0"/>
                    <w:keepLines w:val="0"/>
                    <w:pageBreakBefore w:val="0"/>
                    <w:widowControl w:val="0"/>
                    <w:kinsoku/>
                    <w:wordWrap/>
                    <w:overflowPunct/>
                    <w:topLinePunct w:val="0"/>
                    <w:autoSpaceDE/>
                    <w:autoSpaceDN/>
                    <w:bidi w:val="0"/>
                    <w:adjustRightInd/>
                    <w:snapToGrid w:val="0"/>
                    <w:spacing w:beforeLines="0" w:afterLines="0" w:line="320" w:lineRule="exact"/>
                    <w:jc w:val="center"/>
                    <w:textAlignment w:val="auto"/>
                    <w:rPr>
                      <w:rFonts w:hint="eastAsia" w:eastAsia="宋体"/>
                      <w:color w:val="auto"/>
                      <w:sz w:val="21"/>
                      <w:szCs w:val="21"/>
                      <w:highlight w:val="none"/>
                    </w:rPr>
                  </w:pPr>
                  <w:r>
                    <w:rPr>
                      <w:rFonts w:hint="eastAsia" w:eastAsia="宋体"/>
                      <w:color w:val="auto"/>
                      <w:sz w:val="21"/>
                      <w:szCs w:val="21"/>
                      <w:highlight w:val="none"/>
                    </w:rPr>
                    <w:t>1.5577</w:t>
                  </w:r>
                </w:p>
              </w:tc>
              <w:tc>
                <w:tcPr>
                  <w:tcW w:w="1026" w:type="pct"/>
                  <w:tcBorders>
                    <w:top w:val="single" w:color="auto" w:sz="6" w:space="0"/>
                    <w:left w:val="single" w:color="auto" w:sz="6" w:space="0"/>
                    <w:bottom w:val="single" w:color="auto" w:sz="6" w:space="0"/>
                    <w:right w:val="single" w:color="auto" w:sz="6" w:space="0"/>
                    <w:tl2br w:val="nil"/>
                    <w:tr2bl w:val="nil"/>
                  </w:tcBorders>
                  <w:noWrap w:val="0"/>
                  <w:vAlign w:val="center"/>
                </w:tcPr>
                <w:p w14:paraId="4D2D708C">
                  <w:pPr>
                    <w:keepNext w:val="0"/>
                    <w:keepLines w:val="0"/>
                    <w:pageBreakBefore w:val="0"/>
                    <w:widowControl w:val="0"/>
                    <w:kinsoku/>
                    <w:wordWrap/>
                    <w:overflowPunct/>
                    <w:topLinePunct w:val="0"/>
                    <w:autoSpaceDE/>
                    <w:autoSpaceDN/>
                    <w:bidi w:val="0"/>
                    <w:adjustRightInd/>
                    <w:spacing w:beforeLines="0" w:afterLines="0" w:line="320" w:lineRule="exact"/>
                    <w:jc w:val="center"/>
                    <w:textAlignment w:val="auto"/>
                    <w:rPr>
                      <w:rFonts w:hint="eastAsia"/>
                      <w:color w:val="auto"/>
                      <w:sz w:val="21"/>
                      <w:szCs w:val="21"/>
                      <w:highlight w:val="none"/>
                    </w:rPr>
                  </w:pPr>
                  <w:r>
                    <w:rPr>
                      <w:rFonts w:hint="eastAsia" w:eastAsia="宋体"/>
                      <w:color w:val="auto"/>
                      <w:sz w:val="21"/>
                      <w:szCs w:val="21"/>
                      <w:highlight w:val="none"/>
                    </w:rPr>
                    <w:t>2.58</w:t>
                  </w:r>
                </w:p>
              </w:tc>
              <w:tc>
                <w:tcPr>
                  <w:tcW w:w="12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A36A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color w:val="auto"/>
                      <w:sz w:val="21"/>
                      <w:szCs w:val="21"/>
                      <w:highlight w:val="none"/>
                    </w:rPr>
                  </w:pPr>
                  <w:r>
                    <w:rPr>
                      <w:rFonts w:hint="eastAsia"/>
                      <w:color w:val="auto"/>
                      <w:szCs w:val="21"/>
                      <w:highlight w:val="none"/>
                      <w:lang w:val="en-US" w:eastAsia="zh-CN"/>
                    </w:rPr>
                    <w:t>+0.4483</w:t>
                  </w:r>
                </w:p>
              </w:tc>
            </w:tr>
          </w:tbl>
          <w:p w14:paraId="4442D55C">
            <w:pPr>
              <w:keepNext w:val="0"/>
              <w:keepLines w:val="0"/>
              <w:pageBreakBefore w:val="0"/>
              <w:widowControl w:val="0"/>
              <w:tabs>
                <w:tab w:val="left" w:pos="1399"/>
              </w:tabs>
              <w:kinsoku/>
              <w:wordWrap/>
              <w:overflowPunct/>
              <w:topLinePunct w:val="0"/>
              <w:autoSpaceDE/>
              <w:autoSpaceDN/>
              <w:bidi w:val="0"/>
              <w:adjustRightInd w:val="0"/>
              <w:snapToGrid w:val="0"/>
              <w:spacing w:line="440" w:lineRule="exact"/>
              <w:jc w:val="left"/>
              <w:textAlignment w:val="auto"/>
              <w:rPr>
                <w:color w:val="auto"/>
                <w:kern w:val="0"/>
                <w:sz w:val="24"/>
                <w:highlight w:val="none"/>
              </w:rPr>
            </w:pPr>
            <w:r>
              <w:rPr>
                <w:rFonts w:hint="eastAsia"/>
                <w:color w:val="auto"/>
                <w:kern w:val="0"/>
                <w:sz w:val="24"/>
                <w:highlight w:val="none"/>
              </w:rPr>
              <w:t>2、废水</w:t>
            </w:r>
          </w:p>
          <w:p w14:paraId="52FFF38D">
            <w:pPr>
              <w:pStyle w:val="10"/>
              <w:keepNext w:val="0"/>
              <w:keepLines w:val="0"/>
              <w:pageBreakBefore w:val="0"/>
              <w:widowControl w:val="0"/>
              <w:kinsoku/>
              <w:wordWrap/>
              <w:overflowPunct/>
              <w:topLinePunct w:val="0"/>
              <w:autoSpaceDE/>
              <w:autoSpaceDN/>
              <w:bidi w:val="0"/>
              <w:spacing w:line="440" w:lineRule="exact"/>
              <w:ind w:firstLine="480" w:firstLineChars="200"/>
              <w:jc w:val="both"/>
              <w:textAlignment w:val="auto"/>
              <w:rPr>
                <w:color w:val="auto"/>
                <w:highlight w:val="none"/>
              </w:rPr>
            </w:pPr>
            <w:r>
              <w:rPr>
                <w:rFonts w:hint="eastAsia"/>
                <w:color w:val="auto"/>
                <w:kern w:val="0"/>
                <w:highlight w:val="none"/>
              </w:rPr>
              <w:t>经过改扩建后核算，</w:t>
            </w:r>
            <w:r>
              <w:rPr>
                <w:rFonts w:hint="eastAsia"/>
                <w:color w:val="auto"/>
                <w:kern w:val="0"/>
                <w:highlight w:val="none"/>
                <w:lang w:val="en-US" w:eastAsia="zh-CN"/>
              </w:rPr>
              <w:t>本项目建设完成后全厂</w:t>
            </w:r>
            <w:r>
              <w:rPr>
                <w:color w:val="auto"/>
                <w:highlight w:val="none"/>
              </w:rPr>
              <w:t>污水</w:t>
            </w:r>
            <w:r>
              <w:rPr>
                <w:rFonts w:hint="eastAsia"/>
                <w:color w:val="auto"/>
                <w:highlight w:val="none"/>
                <w:lang w:val="en-US" w:eastAsia="zh-CN"/>
              </w:rPr>
              <w:t>排放</w:t>
            </w:r>
            <w:r>
              <w:rPr>
                <w:color w:val="auto"/>
                <w:highlight w:val="none"/>
              </w:rPr>
              <w:t>量为</w:t>
            </w:r>
            <w:r>
              <w:rPr>
                <w:rFonts w:hint="eastAsia"/>
                <w:color w:val="auto"/>
                <w:highlight w:val="none"/>
                <w:lang w:val="en-US" w:eastAsia="zh-CN"/>
              </w:rPr>
              <w:t>22.969341万</w:t>
            </w:r>
            <w:r>
              <w:rPr>
                <w:color w:val="auto"/>
                <w:highlight w:val="none"/>
              </w:rPr>
              <w:t>m</w:t>
            </w:r>
            <w:r>
              <w:rPr>
                <w:color w:val="auto"/>
                <w:highlight w:val="none"/>
                <w:vertAlign w:val="superscript"/>
              </w:rPr>
              <w:t>3</w:t>
            </w:r>
            <w:r>
              <w:rPr>
                <w:color w:val="auto"/>
                <w:highlight w:val="none"/>
              </w:rPr>
              <w:t>/a，污染物排放量为：COD</w:t>
            </w:r>
            <w:r>
              <w:rPr>
                <w:rFonts w:hint="eastAsia"/>
                <w:color w:val="auto"/>
                <w:highlight w:val="none"/>
                <w:lang w:eastAsia="zh-CN"/>
              </w:rPr>
              <w:t>：</w:t>
            </w:r>
            <w:r>
              <w:rPr>
                <w:rFonts w:hint="eastAsia"/>
                <w:color w:val="auto"/>
                <w:highlight w:val="none"/>
                <w:lang w:val="en-US" w:eastAsia="zh-CN"/>
              </w:rPr>
              <w:t>38.544</w:t>
            </w:r>
            <w:r>
              <w:rPr>
                <w:color w:val="auto"/>
                <w:highlight w:val="none"/>
              </w:rPr>
              <w:t>t/a，</w:t>
            </w:r>
            <w:r>
              <w:rPr>
                <w:rFonts w:hint="eastAsia"/>
                <w:color w:val="auto"/>
                <w:highlight w:val="none"/>
              </w:rPr>
              <w:t>氨</w:t>
            </w:r>
            <w:r>
              <w:rPr>
                <w:color w:val="auto"/>
                <w:highlight w:val="none"/>
              </w:rPr>
              <w:t>氮</w:t>
            </w:r>
            <w:r>
              <w:rPr>
                <w:rFonts w:hint="eastAsia"/>
                <w:color w:val="auto"/>
                <w:highlight w:val="none"/>
                <w:lang w:eastAsia="zh-CN"/>
              </w:rPr>
              <w:t>：</w:t>
            </w:r>
            <w:r>
              <w:rPr>
                <w:rFonts w:hint="eastAsia"/>
                <w:color w:val="auto"/>
                <w:highlight w:val="none"/>
                <w:lang w:val="en-US" w:eastAsia="zh-CN"/>
              </w:rPr>
              <w:t>2.914</w:t>
            </w:r>
            <w:r>
              <w:rPr>
                <w:color w:val="auto"/>
                <w:highlight w:val="none"/>
              </w:rPr>
              <w:t>t/a，总量</w:t>
            </w:r>
            <w:r>
              <w:rPr>
                <w:rFonts w:hint="eastAsia"/>
                <w:color w:val="auto"/>
                <w:highlight w:val="none"/>
              </w:rPr>
              <w:t>指标</w:t>
            </w:r>
            <w:r>
              <w:rPr>
                <w:color w:val="auto"/>
                <w:highlight w:val="none"/>
              </w:rPr>
              <w:t>纳入寻甸县污水处理厂考核。</w:t>
            </w:r>
          </w:p>
          <w:p w14:paraId="402F4CDA">
            <w:pPr>
              <w:keepNext w:val="0"/>
              <w:keepLines w:val="0"/>
              <w:pageBreakBefore w:val="0"/>
              <w:widowControl w:val="0"/>
              <w:tabs>
                <w:tab w:val="left" w:pos="1399"/>
              </w:tabs>
              <w:kinsoku/>
              <w:wordWrap/>
              <w:overflowPunct/>
              <w:topLinePunct w:val="0"/>
              <w:autoSpaceDE/>
              <w:autoSpaceDN/>
              <w:bidi w:val="0"/>
              <w:adjustRightInd w:val="0"/>
              <w:snapToGrid w:val="0"/>
              <w:spacing w:line="440" w:lineRule="exact"/>
              <w:jc w:val="left"/>
              <w:textAlignment w:val="auto"/>
              <w:rPr>
                <w:color w:val="auto"/>
                <w:kern w:val="0"/>
                <w:sz w:val="24"/>
                <w:highlight w:val="none"/>
              </w:rPr>
            </w:pPr>
            <w:r>
              <w:rPr>
                <w:rFonts w:hint="eastAsia"/>
                <w:color w:val="auto"/>
                <w:kern w:val="0"/>
                <w:sz w:val="24"/>
                <w:highlight w:val="none"/>
              </w:rPr>
              <w:t>3、固体废弃物</w:t>
            </w:r>
          </w:p>
          <w:p w14:paraId="71A41ED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left"/>
              <w:textAlignment w:val="auto"/>
              <w:rPr>
                <w:rFonts w:hint="eastAsia" w:hAnsi="宋体"/>
                <w:color w:val="auto"/>
                <w:kern w:val="0"/>
                <w:sz w:val="24"/>
                <w:highlight w:val="none"/>
              </w:rPr>
            </w:pPr>
            <w:r>
              <w:rPr>
                <w:rFonts w:hint="eastAsia"/>
                <w:color w:val="auto"/>
                <w:kern w:val="0"/>
                <w:sz w:val="24"/>
                <w:highlight w:val="none"/>
              </w:rPr>
              <w:t>固体废弃物处置率100%。</w:t>
            </w:r>
          </w:p>
        </w:tc>
      </w:tr>
    </w:tbl>
    <w:p w14:paraId="10D32330">
      <w:pPr>
        <w:rPr>
          <w:rFonts w:hint="eastAsia" w:ascii="黑体" w:hAnsi="黑体" w:eastAsia="黑体"/>
          <w:color w:val="auto"/>
          <w:kern w:val="0"/>
          <w:sz w:val="30"/>
          <w:szCs w:val="30"/>
          <w:highlight w:val="none"/>
        </w:rPr>
      </w:pPr>
      <w:bookmarkStart w:id="56" w:name="_Toc26931"/>
      <w:bookmarkStart w:id="57" w:name="_Toc20333"/>
      <w:r>
        <w:rPr>
          <w:rFonts w:hint="eastAsia" w:ascii="黑体" w:hAnsi="黑体" w:eastAsia="黑体"/>
          <w:color w:val="auto"/>
          <w:kern w:val="0"/>
          <w:sz w:val="30"/>
          <w:szCs w:val="30"/>
          <w:highlight w:val="none"/>
        </w:rPr>
        <w:br w:type="page"/>
      </w:r>
    </w:p>
    <w:p w14:paraId="0EF9B2C5">
      <w:pPr>
        <w:pStyle w:val="44"/>
        <w:widowControl w:val="0"/>
        <w:spacing w:before="0" w:beforeAutospacing="0" w:after="0" w:afterAutospacing="0" w:line="360" w:lineRule="auto"/>
        <w:jc w:val="center"/>
        <w:outlineLvl w:val="0"/>
        <w:rPr>
          <w:rFonts w:hint="eastAsia" w:ascii="黑体" w:hAnsi="黑体" w:eastAsia="黑体"/>
          <w:color w:val="auto"/>
          <w:kern w:val="0"/>
          <w:sz w:val="30"/>
          <w:szCs w:val="30"/>
          <w:highlight w:val="none"/>
        </w:rPr>
      </w:pPr>
      <w:bookmarkStart w:id="58" w:name="_Toc18286"/>
      <w:bookmarkStart w:id="59" w:name="_Toc4528"/>
      <w:r>
        <w:rPr>
          <w:rFonts w:hint="eastAsia" w:ascii="黑体" w:hAnsi="黑体" w:eastAsia="黑体"/>
          <w:color w:val="auto"/>
          <w:kern w:val="0"/>
          <w:sz w:val="30"/>
          <w:szCs w:val="30"/>
          <w:highlight w:val="none"/>
        </w:rPr>
        <w:t>四、主要环境影响和保护措施</w:t>
      </w:r>
      <w:bookmarkEnd w:id="56"/>
      <w:bookmarkEnd w:id="57"/>
      <w:bookmarkEnd w:id="58"/>
      <w:bookmarkEnd w:id="59"/>
    </w:p>
    <w:tbl>
      <w:tblPr>
        <w:tblStyle w:val="26"/>
        <w:tblW w:w="92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95"/>
        <w:gridCol w:w="8913"/>
      </w:tblGrid>
      <w:tr w14:paraId="42C0A9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295" w:type="dxa"/>
            <w:tcMar>
              <w:left w:w="28" w:type="dxa"/>
              <w:right w:w="28" w:type="dxa"/>
            </w:tcMar>
            <w:vAlign w:val="center"/>
          </w:tcPr>
          <w:p w14:paraId="1C4BEA3D">
            <w:pPr>
              <w:jc w:val="center"/>
              <w:rPr>
                <w:color w:val="auto"/>
                <w:kern w:val="0"/>
                <w:highlight w:val="none"/>
              </w:rPr>
            </w:pPr>
            <w:r>
              <w:rPr>
                <w:color w:val="auto"/>
                <w:kern w:val="0"/>
                <w:sz w:val="24"/>
                <w:szCs w:val="32"/>
                <w:highlight w:val="none"/>
              </w:rPr>
              <w:t>施工期环境保护措施</w:t>
            </w:r>
          </w:p>
        </w:tc>
        <w:tc>
          <w:tcPr>
            <w:tcW w:w="8913" w:type="dxa"/>
          </w:tcPr>
          <w:p w14:paraId="26999524">
            <w:pPr>
              <w:pStyle w:val="130"/>
              <w:keepNext w:val="0"/>
              <w:keepLines w:val="0"/>
              <w:pageBreakBefore w:val="0"/>
              <w:widowControl w:val="0"/>
              <w:numPr>
                <w:ilvl w:val="0"/>
                <w:numId w:val="0"/>
              </w:numPr>
              <w:kinsoku/>
              <w:wordWrap/>
              <w:overflowPunct w:val="0"/>
              <w:topLinePunct/>
              <w:autoSpaceDE/>
              <w:autoSpaceDN/>
              <w:bidi w:val="0"/>
              <w:adjustRightInd w:val="0"/>
              <w:snapToGrid w:val="0"/>
              <w:spacing w:line="440" w:lineRule="exact"/>
              <w:ind w:leftChars="0"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i w:val="0"/>
                <w:caps w:val="0"/>
                <w:color w:val="auto"/>
                <w:spacing w:val="0"/>
                <w:sz w:val="24"/>
                <w:szCs w:val="24"/>
                <w:highlight w:val="none"/>
                <w:shd w:val="clear" w:color="auto" w:fill="FFFFFF"/>
                <w:lang w:eastAsia="zh-CN"/>
              </w:rPr>
              <w:t>本项目</w:t>
            </w:r>
            <w:r>
              <w:rPr>
                <w:rFonts w:hint="default" w:ascii="Times New Roman" w:hAnsi="Times New Roman" w:cs="Times New Roman" w:eastAsiaTheme="minorEastAsia"/>
                <w:color w:val="auto"/>
                <w:sz w:val="24"/>
                <w:szCs w:val="24"/>
                <w:highlight w:val="none"/>
                <w:lang w:val="en-US" w:eastAsia="zh-CN"/>
              </w:rPr>
              <w:t>施工期对周边环境的影响主要为固体复合微生物肥生产车间建设、生产设备安装和调试产生的</w:t>
            </w:r>
            <w:r>
              <w:rPr>
                <w:rFonts w:hint="default" w:ascii="Times New Roman" w:hAnsi="Times New Roman" w:cs="Times New Roman" w:eastAsiaTheme="minorEastAsia"/>
                <w:color w:val="auto"/>
                <w:sz w:val="24"/>
                <w:szCs w:val="24"/>
                <w:highlight w:val="none"/>
              </w:rPr>
              <w:t>施工扬尘、运输尾气、施工噪声、施工废水及施工垃圾等，</w:t>
            </w:r>
            <w:r>
              <w:rPr>
                <w:rFonts w:hint="default" w:ascii="Times New Roman" w:hAnsi="Times New Roman" w:cs="Times New Roman" w:eastAsiaTheme="minorEastAsia"/>
                <w:color w:val="auto"/>
                <w:sz w:val="24"/>
                <w:szCs w:val="24"/>
                <w:highlight w:val="none"/>
                <w:lang w:val="en-US" w:eastAsia="zh-CN"/>
              </w:rPr>
              <w:t>本次</w:t>
            </w:r>
            <w:r>
              <w:rPr>
                <w:rFonts w:hint="default" w:ascii="Times New Roman" w:hAnsi="Times New Roman" w:cs="Times New Roman" w:eastAsiaTheme="minorEastAsia"/>
                <w:b w:val="0"/>
                <w:bCs w:val="0"/>
                <w:color w:val="auto"/>
                <w:sz w:val="24"/>
                <w:szCs w:val="24"/>
                <w:highlight w:val="none"/>
              </w:rPr>
              <w:t>环评对施工期环境影响分析如下。</w:t>
            </w:r>
          </w:p>
          <w:p w14:paraId="32859D13">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1、施工期大气环境保护措施</w:t>
            </w:r>
          </w:p>
          <w:p w14:paraId="7D87BC1E">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cs="Times New Roman" w:eastAsiaTheme="minorEastAsia"/>
                <w:b/>
                <w:bCs/>
                <w:color w:val="auto"/>
                <w:sz w:val="24"/>
                <w:szCs w:val="24"/>
                <w:highlight w:val="none"/>
                <w:lang w:val="en-US"/>
              </w:rPr>
            </w:pPr>
            <w:r>
              <w:rPr>
                <w:rFonts w:hint="default" w:ascii="Times New Roman" w:hAnsi="Times New Roman" w:cs="Times New Roman" w:eastAsiaTheme="minorEastAsia"/>
                <w:b/>
                <w:bCs/>
                <w:color w:val="auto"/>
                <w:sz w:val="24"/>
                <w:szCs w:val="24"/>
                <w:highlight w:val="none"/>
                <w:lang w:eastAsia="zh-CN"/>
              </w:rPr>
              <w:t>（</w:t>
            </w:r>
            <w:r>
              <w:rPr>
                <w:rFonts w:hint="default" w:ascii="Times New Roman" w:hAnsi="Times New Roman" w:cs="Times New Roman" w:eastAsiaTheme="minorEastAsia"/>
                <w:b/>
                <w:bCs/>
                <w:color w:val="auto"/>
                <w:sz w:val="24"/>
                <w:szCs w:val="24"/>
                <w:highlight w:val="none"/>
                <w:lang w:val="en-US" w:eastAsia="zh-CN"/>
              </w:rPr>
              <w:t>1</w:t>
            </w:r>
            <w:r>
              <w:rPr>
                <w:rFonts w:hint="default" w:ascii="Times New Roman" w:hAnsi="Times New Roman" w:cs="Times New Roman" w:eastAsiaTheme="minorEastAsia"/>
                <w:b/>
                <w:bCs/>
                <w:color w:val="auto"/>
                <w:sz w:val="24"/>
                <w:szCs w:val="24"/>
                <w:highlight w:val="none"/>
                <w:lang w:eastAsia="zh-CN"/>
              </w:rPr>
              <w:t>）</w:t>
            </w:r>
            <w:r>
              <w:rPr>
                <w:rFonts w:hint="eastAsia" w:ascii="Times New Roman" w:hAnsi="Times New Roman" w:cs="Times New Roman" w:eastAsiaTheme="minorEastAsia"/>
                <w:b/>
                <w:bCs/>
                <w:color w:val="auto"/>
                <w:sz w:val="24"/>
                <w:szCs w:val="24"/>
                <w:highlight w:val="none"/>
                <w:lang w:val="en-US" w:eastAsia="zh-CN"/>
              </w:rPr>
              <w:t>产污环节</w:t>
            </w:r>
          </w:p>
          <w:p w14:paraId="5651AFB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施工期废气主要包括施工产生的扬尘、建筑材料运输、堆放过程中产生的扬尘；运输车辆、施工机械产生的废气。</w:t>
            </w:r>
          </w:p>
          <w:p w14:paraId="2366DE45">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lang w:eastAsia="zh-CN"/>
              </w:rPr>
              <w:t>（</w:t>
            </w:r>
            <w:r>
              <w:rPr>
                <w:rFonts w:hint="default" w:ascii="Times New Roman" w:hAnsi="Times New Roman" w:cs="Times New Roman" w:eastAsiaTheme="minorEastAsia"/>
                <w:b/>
                <w:bCs/>
                <w:color w:val="auto"/>
                <w:sz w:val="24"/>
                <w:szCs w:val="24"/>
                <w:highlight w:val="none"/>
                <w:lang w:val="en-US" w:eastAsia="zh-CN"/>
              </w:rPr>
              <w:t>2</w:t>
            </w:r>
            <w:r>
              <w:rPr>
                <w:rFonts w:hint="default" w:ascii="Times New Roman" w:hAnsi="Times New Roman" w:cs="Times New Roman" w:eastAsiaTheme="minorEastAsia"/>
                <w:b/>
                <w:bCs/>
                <w:color w:val="auto"/>
                <w:sz w:val="24"/>
                <w:szCs w:val="24"/>
                <w:highlight w:val="none"/>
                <w:lang w:eastAsia="zh-CN"/>
              </w:rPr>
              <w:t>）</w:t>
            </w:r>
            <w:r>
              <w:rPr>
                <w:rFonts w:hint="default" w:ascii="Times New Roman" w:hAnsi="Times New Roman" w:cs="Times New Roman" w:eastAsiaTheme="minorEastAsia"/>
                <w:b/>
                <w:bCs/>
                <w:color w:val="auto"/>
                <w:sz w:val="24"/>
                <w:szCs w:val="24"/>
                <w:highlight w:val="none"/>
              </w:rPr>
              <w:t>保护措施</w:t>
            </w:r>
          </w:p>
          <w:p w14:paraId="37716448">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1）施工扬尘</w:t>
            </w:r>
          </w:p>
          <w:p w14:paraId="745DF042">
            <w:pPr>
              <w:keepNext w:val="0"/>
              <w:keepLines w:val="0"/>
              <w:pageBreakBefore w:val="0"/>
              <w:widowControl/>
              <w:kinsoku/>
              <w:wordWrap/>
              <w:autoSpaceDE/>
              <w:autoSpaceDN/>
              <w:bidi w:val="0"/>
              <w:spacing w:line="440" w:lineRule="exact"/>
              <w:ind w:firstLine="508" w:firstLineChars="200"/>
              <w:jc w:val="left"/>
              <w:textAlignment w:val="auto"/>
              <w:rPr>
                <w:rFonts w:hint="default" w:ascii="Times New Roman" w:hAnsi="Times New Roman" w:cs="Times New Roman" w:eastAsiaTheme="minorEastAsia"/>
                <w:color w:val="auto"/>
                <w:spacing w:val="7"/>
                <w:sz w:val="24"/>
                <w:highlight w:val="none"/>
              </w:rPr>
            </w:pPr>
            <w:r>
              <w:rPr>
                <w:rFonts w:hint="default" w:ascii="Times New Roman" w:hAnsi="Times New Roman" w:cs="Times New Roman" w:eastAsiaTheme="minorEastAsia"/>
                <w:color w:val="auto"/>
                <w:spacing w:val="7"/>
                <w:sz w:val="24"/>
                <w:highlight w:val="none"/>
              </w:rPr>
              <w:t>为降低施工粉尘对周边大气环境的影响，应采取如下防治措施：</w:t>
            </w:r>
          </w:p>
          <w:p w14:paraId="43382BD4">
            <w:pPr>
              <w:keepNext w:val="0"/>
              <w:keepLines w:val="0"/>
              <w:pageBreakBefore w:val="0"/>
              <w:widowControl/>
              <w:kinsoku/>
              <w:wordWrap/>
              <w:autoSpaceDE/>
              <w:autoSpaceDN/>
              <w:bidi w:val="0"/>
              <w:spacing w:line="440" w:lineRule="exact"/>
              <w:ind w:firstLine="508" w:firstLineChars="200"/>
              <w:jc w:val="left"/>
              <w:textAlignment w:val="auto"/>
              <w:rPr>
                <w:rFonts w:hint="default" w:ascii="Times New Roman" w:hAnsi="Times New Roman" w:cs="Times New Roman" w:eastAsiaTheme="minorEastAsia"/>
                <w:color w:val="auto"/>
                <w:spacing w:val="7"/>
                <w:sz w:val="24"/>
                <w:highlight w:val="none"/>
              </w:rPr>
            </w:pPr>
            <w:r>
              <w:rPr>
                <w:rFonts w:hint="default" w:ascii="Times New Roman" w:hAnsi="Times New Roman" w:cs="Times New Roman" w:eastAsiaTheme="minorEastAsia"/>
                <w:color w:val="auto"/>
                <w:spacing w:val="7"/>
                <w:sz w:val="24"/>
                <w:highlight w:val="none"/>
              </w:rPr>
              <w:t>①施工场地定期洒水，以有效防止扬尘，在风速大于四级风速气象条件下加大洒水量及洒水频次；</w:t>
            </w:r>
          </w:p>
          <w:p w14:paraId="3A0E53B6">
            <w:pPr>
              <w:keepNext w:val="0"/>
              <w:keepLines w:val="0"/>
              <w:pageBreakBefore w:val="0"/>
              <w:widowControl/>
              <w:kinsoku/>
              <w:wordWrap/>
              <w:autoSpaceDE/>
              <w:autoSpaceDN/>
              <w:bidi w:val="0"/>
              <w:spacing w:line="440" w:lineRule="exact"/>
              <w:ind w:firstLine="508" w:firstLineChars="200"/>
              <w:jc w:val="left"/>
              <w:textAlignment w:val="auto"/>
              <w:rPr>
                <w:rFonts w:hint="default" w:ascii="Times New Roman" w:hAnsi="Times New Roman" w:cs="Times New Roman" w:eastAsiaTheme="minorEastAsia"/>
                <w:color w:val="auto"/>
                <w:spacing w:val="7"/>
                <w:sz w:val="24"/>
                <w:highlight w:val="none"/>
              </w:rPr>
            </w:pPr>
            <w:r>
              <w:rPr>
                <w:rFonts w:hint="default" w:ascii="Times New Roman" w:hAnsi="Times New Roman" w:cs="Times New Roman" w:eastAsiaTheme="minorEastAsia"/>
                <w:color w:val="auto"/>
                <w:spacing w:val="7"/>
                <w:sz w:val="24"/>
                <w:highlight w:val="none"/>
              </w:rPr>
              <w:t>②施工建筑材料定点堆放，在大风天气对散料堆场采用水喷淋防尘，用蓬布遮盖建筑材料，尽量按量购进建筑材料，避免在场内长时间堆放；</w:t>
            </w:r>
          </w:p>
          <w:p w14:paraId="6155CC0A">
            <w:pPr>
              <w:keepNext w:val="0"/>
              <w:keepLines w:val="0"/>
              <w:pageBreakBefore w:val="0"/>
              <w:widowControl/>
              <w:kinsoku/>
              <w:wordWrap/>
              <w:autoSpaceDE/>
              <w:autoSpaceDN/>
              <w:bidi w:val="0"/>
              <w:spacing w:line="440" w:lineRule="exact"/>
              <w:ind w:firstLine="508" w:firstLineChars="200"/>
              <w:jc w:val="left"/>
              <w:textAlignment w:val="auto"/>
              <w:rPr>
                <w:rFonts w:hint="default" w:ascii="Times New Roman" w:hAnsi="Times New Roman" w:cs="Times New Roman" w:eastAsiaTheme="minorEastAsia"/>
                <w:color w:val="auto"/>
                <w:spacing w:val="7"/>
                <w:sz w:val="24"/>
                <w:highlight w:val="none"/>
              </w:rPr>
            </w:pPr>
            <w:r>
              <w:rPr>
                <w:rFonts w:hint="default" w:ascii="Times New Roman" w:hAnsi="Times New Roman" w:cs="Times New Roman" w:eastAsiaTheme="minorEastAsia"/>
                <w:color w:val="auto"/>
                <w:spacing w:val="7"/>
                <w:sz w:val="24"/>
                <w:highlight w:val="none"/>
              </w:rPr>
              <w:t>③施工场地清理阶段做到先洒水，后清扫，施工后期建筑垃圾及时清理；</w:t>
            </w:r>
          </w:p>
          <w:p w14:paraId="0D4C4DCA">
            <w:pPr>
              <w:keepNext w:val="0"/>
              <w:keepLines w:val="0"/>
              <w:pageBreakBefore w:val="0"/>
              <w:widowControl/>
              <w:kinsoku/>
              <w:wordWrap/>
              <w:autoSpaceDE/>
              <w:autoSpaceDN/>
              <w:bidi w:val="0"/>
              <w:spacing w:line="440" w:lineRule="exact"/>
              <w:ind w:firstLine="508" w:firstLineChars="200"/>
              <w:jc w:val="left"/>
              <w:textAlignment w:val="auto"/>
              <w:rPr>
                <w:rFonts w:hint="default" w:ascii="Times New Roman" w:hAnsi="Times New Roman" w:cs="Times New Roman" w:eastAsiaTheme="minorEastAsia"/>
                <w:color w:val="auto"/>
                <w:spacing w:val="7"/>
                <w:sz w:val="24"/>
                <w:highlight w:val="none"/>
              </w:rPr>
            </w:pPr>
            <w:r>
              <w:rPr>
                <w:rFonts w:hint="default" w:ascii="Times New Roman" w:hAnsi="Times New Roman" w:cs="Times New Roman" w:eastAsiaTheme="minorEastAsia"/>
                <w:color w:val="auto"/>
                <w:spacing w:val="7"/>
                <w:sz w:val="24"/>
                <w:highlight w:val="none"/>
              </w:rPr>
              <w:t>④加强施工现场运输车辆管理，运输车辆必须车身整洁，装载车厢完好、严密，装载货物堆码整齐，严禁在装运过程中沿途抛、洒、滴、漏，不得污染道路；</w:t>
            </w:r>
          </w:p>
          <w:p w14:paraId="69F76BE7">
            <w:pPr>
              <w:keepNext w:val="0"/>
              <w:keepLines w:val="0"/>
              <w:pageBreakBefore w:val="0"/>
              <w:widowControl/>
              <w:kinsoku/>
              <w:wordWrap/>
              <w:autoSpaceDE/>
              <w:autoSpaceDN/>
              <w:bidi w:val="0"/>
              <w:spacing w:line="440" w:lineRule="exact"/>
              <w:ind w:firstLine="508" w:firstLineChars="200"/>
              <w:jc w:val="left"/>
              <w:textAlignment w:val="auto"/>
              <w:rPr>
                <w:rFonts w:hint="default" w:ascii="Times New Roman" w:hAnsi="Times New Roman" w:cs="Times New Roman" w:eastAsiaTheme="minorEastAsia"/>
                <w:color w:val="auto"/>
                <w:spacing w:val="7"/>
                <w:sz w:val="24"/>
                <w:highlight w:val="none"/>
              </w:rPr>
            </w:pPr>
            <w:r>
              <w:rPr>
                <w:rFonts w:hint="default" w:ascii="Times New Roman" w:hAnsi="Times New Roman" w:cs="Times New Roman" w:eastAsiaTheme="minorEastAsia"/>
                <w:color w:val="auto"/>
                <w:spacing w:val="7"/>
                <w:sz w:val="24"/>
                <w:highlight w:val="none"/>
              </w:rPr>
              <w:t>⑤优化施工期间运输车辆的出入场路径；</w:t>
            </w:r>
          </w:p>
          <w:p w14:paraId="62360C0E">
            <w:pPr>
              <w:keepNext w:val="0"/>
              <w:keepLines w:val="0"/>
              <w:pageBreakBefore w:val="0"/>
              <w:widowControl/>
              <w:kinsoku/>
              <w:wordWrap/>
              <w:autoSpaceDE/>
              <w:autoSpaceDN/>
              <w:bidi w:val="0"/>
              <w:spacing w:line="440" w:lineRule="exact"/>
              <w:ind w:firstLine="508" w:firstLineChars="200"/>
              <w:jc w:val="left"/>
              <w:textAlignment w:val="auto"/>
              <w:rPr>
                <w:rFonts w:hint="default" w:ascii="Times New Roman" w:hAnsi="Times New Roman" w:cs="Times New Roman" w:eastAsiaTheme="minorEastAsia"/>
                <w:color w:val="auto"/>
                <w:spacing w:val="7"/>
                <w:sz w:val="24"/>
                <w:highlight w:val="none"/>
              </w:rPr>
            </w:pPr>
            <w:r>
              <w:rPr>
                <w:rFonts w:hint="default" w:ascii="Times New Roman" w:hAnsi="Times New Roman" w:cs="Times New Roman" w:eastAsiaTheme="minorEastAsia"/>
                <w:color w:val="auto"/>
                <w:spacing w:val="7"/>
                <w:sz w:val="24"/>
                <w:highlight w:val="none"/>
              </w:rPr>
              <w:t>⑥运输车辆及机械驶出施工场地前应尽可能清除表面粘附的泥土等；</w:t>
            </w:r>
          </w:p>
          <w:p w14:paraId="7C462B27">
            <w:pPr>
              <w:keepNext w:val="0"/>
              <w:keepLines w:val="0"/>
              <w:pageBreakBefore w:val="0"/>
              <w:widowControl/>
              <w:kinsoku/>
              <w:wordWrap/>
              <w:autoSpaceDE/>
              <w:autoSpaceDN/>
              <w:bidi w:val="0"/>
              <w:spacing w:line="440" w:lineRule="exact"/>
              <w:ind w:firstLine="508" w:firstLineChars="200"/>
              <w:jc w:val="left"/>
              <w:textAlignment w:val="auto"/>
              <w:rPr>
                <w:rFonts w:hint="default" w:ascii="Times New Roman" w:hAnsi="Times New Roman" w:cs="Times New Roman" w:eastAsiaTheme="minorEastAsia"/>
                <w:color w:val="auto"/>
                <w:spacing w:val="7"/>
                <w:sz w:val="24"/>
                <w:highlight w:val="none"/>
              </w:rPr>
            </w:pPr>
            <w:r>
              <w:rPr>
                <w:rFonts w:hint="default" w:ascii="Times New Roman" w:hAnsi="Times New Roman" w:cs="Times New Roman" w:eastAsiaTheme="minorEastAsia"/>
                <w:color w:val="auto"/>
                <w:spacing w:val="7"/>
                <w:sz w:val="24"/>
                <w:highlight w:val="none"/>
              </w:rPr>
              <w:t>⑦在施工中合理组织施工，缩短施工时间，尽量减少施工污染。</w:t>
            </w:r>
          </w:p>
          <w:p w14:paraId="1A881F65">
            <w:pPr>
              <w:keepNext w:val="0"/>
              <w:keepLines w:val="0"/>
              <w:pageBreakBefore w:val="0"/>
              <w:widowControl/>
              <w:kinsoku/>
              <w:wordWrap/>
              <w:autoSpaceDE/>
              <w:autoSpaceDN/>
              <w:bidi w:val="0"/>
              <w:spacing w:line="440" w:lineRule="exact"/>
              <w:ind w:firstLine="508" w:firstLineChars="200"/>
              <w:jc w:val="left"/>
              <w:textAlignment w:val="auto"/>
              <w:rPr>
                <w:rFonts w:hint="default" w:ascii="Times New Roman" w:hAnsi="Times New Roman" w:cs="Times New Roman" w:eastAsiaTheme="minorEastAsia"/>
                <w:color w:val="auto"/>
                <w:spacing w:val="7"/>
                <w:sz w:val="24"/>
                <w:highlight w:val="none"/>
              </w:rPr>
            </w:pPr>
            <w:r>
              <w:rPr>
                <w:rFonts w:hint="default" w:ascii="Times New Roman" w:hAnsi="Times New Roman" w:cs="Times New Roman" w:eastAsiaTheme="minorEastAsia"/>
                <w:color w:val="auto"/>
                <w:spacing w:val="7"/>
                <w:sz w:val="24"/>
                <w:highlight w:val="none"/>
              </w:rPr>
              <w:t>施工期产生的粉尘污染是短期的，随着施工活动的结束，场地的覆盖、道路、建筑物、绿化的形成，施工扬尘对环境空气的影响也就随之结束，因此施工期粉尘对评价区域的空气环境质量影响较小。</w:t>
            </w:r>
          </w:p>
          <w:p w14:paraId="3E7F2E44">
            <w:pPr>
              <w:keepNext w:val="0"/>
              <w:keepLines w:val="0"/>
              <w:pageBreakBefore w:val="0"/>
              <w:widowControl w:val="0"/>
              <w:shd w:val="clear" w:color="auto" w:fill="auto"/>
              <w:kinsoku/>
              <w:wordWrap/>
              <w:autoSpaceDE/>
              <w:autoSpaceDN/>
              <w:bidi w:val="0"/>
              <w:spacing w:line="440" w:lineRule="exact"/>
              <w:ind w:firstLine="482" w:firstLineChars="200"/>
              <w:textAlignment w:val="auto"/>
              <w:rPr>
                <w:rFonts w:hint="default" w:ascii="Times New Roman" w:hAnsi="Times New Roman" w:cs="Times New Roman" w:eastAsiaTheme="minorEastAsia"/>
                <w:b/>
                <w:bCs/>
                <w:color w:val="auto"/>
                <w:sz w:val="24"/>
                <w:szCs w:val="24"/>
                <w:highlight w:val="none"/>
                <w:lang w:val="zh-CN"/>
              </w:rPr>
            </w:pPr>
            <w:r>
              <w:rPr>
                <w:rFonts w:hint="default" w:ascii="Times New Roman" w:hAnsi="Times New Roman" w:cs="Times New Roman" w:eastAsiaTheme="minorEastAsia"/>
                <w:b/>
                <w:bCs/>
                <w:color w:val="auto"/>
                <w:sz w:val="24"/>
                <w:szCs w:val="24"/>
                <w:highlight w:val="none"/>
                <w:lang w:val="en-US" w:eastAsia="zh-CN"/>
              </w:rPr>
              <w:t>2</w:t>
            </w:r>
            <w:r>
              <w:rPr>
                <w:rFonts w:hint="default" w:ascii="Times New Roman" w:hAnsi="Times New Roman" w:cs="Times New Roman" w:eastAsiaTheme="minorEastAsia"/>
                <w:b/>
                <w:bCs/>
                <w:color w:val="auto"/>
                <w:sz w:val="24"/>
                <w:szCs w:val="24"/>
                <w:highlight w:val="none"/>
                <w:lang w:val="zh-CN"/>
              </w:rPr>
              <w:t>）焊接烟尘</w:t>
            </w:r>
          </w:p>
          <w:p w14:paraId="5A47822A">
            <w:pPr>
              <w:keepNext w:val="0"/>
              <w:keepLines w:val="0"/>
              <w:pageBreakBefore w:val="0"/>
              <w:widowControl w:val="0"/>
              <w:shd w:val="clear" w:color="auto" w:fill="auto"/>
              <w:kinsoku/>
              <w:wordWrap/>
              <w:autoSpaceDE/>
              <w:autoSpaceDN/>
              <w:bidi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lang w:val="zh-CN"/>
              </w:rPr>
            </w:pPr>
            <w:r>
              <w:rPr>
                <w:rFonts w:hint="default" w:ascii="Times New Roman" w:hAnsi="Times New Roman" w:cs="Times New Roman" w:eastAsiaTheme="minorEastAsia"/>
                <w:color w:val="auto"/>
                <w:sz w:val="24"/>
                <w:szCs w:val="24"/>
                <w:highlight w:val="none"/>
              </w:rPr>
              <w:t>根据工程规模，项目焊接工程量较小，焊接过程烟尘</w:t>
            </w:r>
            <w:r>
              <w:rPr>
                <w:rFonts w:hint="default" w:ascii="Times New Roman" w:hAnsi="Times New Roman" w:cs="Times New Roman" w:eastAsiaTheme="minorEastAsia"/>
                <w:color w:val="auto"/>
                <w:sz w:val="24"/>
                <w:szCs w:val="24"/>
                <w:highlight w:val="none"/>
                <w:lang w:eastAsia="zh-CN"/>
              </w:rPr>
              <w:t>量</w:t>
            </w:r>
            <w:r>
              <w:rPr>
                <w:rFonts w:hint="default" w:ascii="Times New Roman" w:hAnsi="Times New Roman" w:cs="Times New Roman" w:eastAsiaTheme="minorEastAsia"/>
                <w:color w:val="auto"/>
                <w:sz w:val="24"/>
                <w:szCs w:val="24"/>
                <w:highlight w:val="none"/>
                <w:lang w:val="en-US" w:eastAsia="zh-CN"/>
              </w:rPr>
              <w:t>不大</w:t>
            </w:r>
            <w:r>
              <w:rPr>
                <w:rFonts w:hint="default" w:ascii="Times New Roman" w:hAnsi="Times New Roman" w:cs="Times New Roman" w:eastAsiaTheme="minorEastAsia"/>
                <w:color w:val="auto"/>
                <w:sz w:val="24"/>
                <w:szCs w:val="24"/>
                <w:highlight w:val="none"/>
              </w:rPr>
              <w:t>，呈无组织排放。施工焊接烟尘具有间断性产生、产生量较小、产生点相对分散、易被稀释扩散等特点，加之施工场地周围较空旷，大气扩散条件相对较好，焊接烟尘经自然扩散和稀释</w:t>
            </w:r>
            <w:r>
              <w:rPr>
                <w:rFonts w:hint="default" w:ascii="Times New Roman" w:hAnsi="Times New Roman" w:cs="Times New Roman" w:eastAsiaTheme="minorEastAsia"/>
                <w:color w:val="auto"/>
                <w:sz w:val="24"/>
                <w:szCs w:val="24"/>
                <w:highlight w:val="none"/>
                <w:lang w:val="zh-CN" w:eastAsia="zh-CN"/>
              </w:rPr>
              <w:t>后对周围环境影响很小。</w:t>
            </w:r>
          </w:p>
          <w:p w14:paraId="3A6C27AA">
            <w:pPr>
              <w:keepNext w:val="0"/>
              <w:keepLines w:val="0"/>
              <w:pageBreakBefore w:val="0"/>
              <w:widowControl w:val="0"/>
              <w:shd w:val="clear" w:color="auto" w:fill="auto"/>
              <w:kinsoku/>
              <w:wordWrap/>
              <w:autoSpaceDE/>
              <w:autoSpaceDN/>
              <w:bidi w:val="0"/>
              <w:spacing w:line="440" w:lineRule="exact"/>
              <w:ind w:firstLine="482" w:firstLineChars="200"/>
              <w:textAlignment w:val="auto"/>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3</w:t>
            </w:r>
            <w:r>
              <w:rPr>
                <w:rFonts w:hint="default" w:ascii="Times New Roman" w:hAnsi="Times New Roman" w:cs="Times New Roman" w:eastAsiaTheme="minorEastAsia"/>
                <w:b/>
                <w:bCs/>
                <w:color w:val="auto"/>
                <w:sz w:val="24"/>
                <w:szCs w:val="24"/>
                <w:highlight w:val="none"/>
                <w:lang w:val="zh-CN"/>
              </w:rPr>
              <w:t>）</w:t>
            </w:r>
            <w:r>
              <w:rPr>
                <w:rFonts w:hint="default" w:ascii="Times New Roman" w:hAnsi="Times New Roman" w:cs="Times New Roman" w:eastAsiaTheme="minorEastAsia"/>
                <w:b/>
                <w:bCs/>
                <w:color w:val="auto"/>
                <w:sz w:val="24"/>
                <w:szCs w:val="24"/>
                <w:highlight w:val="none"/>
              </w:rPr>
              <w:t>施工机械及车辆燃油废气</w:t>
            </w:r>
            <w:r>
              <w:rPr>
                <w:rFonts w:hint="default" w:ascii="Times New Roman" w:hAnsi="Times New Roman" w:cs="Times New Roman" w:eastAsiaTheme="minorEastAsia"/>
                <w:b/>
                <w:bCs/>
                <w:color w:val="auto"/>
                <w:sz w:val="24"/>
                <w:szCs w:val="24"/>
                <w:highlight w:val="none"/>
                <w:lang w:val="zh-CN"/>
              </w:rPr>
              <w:t>影响</w:t>
            </w:r>
          </w:p>
          <w:p w14:paraId="6421E696">
            <w:pPr>
              <w:pStyle w:val="25"/>
              <w:keepNext w:val="0"/>
              <w:keepLines w:val="0"/>
              <w:pageBreakBefore w:val="0"/>
              <w:widowControl w:val="0"/>
              <w:shd w:val="clear" w:color="auto" w:fill="auto"/>
              <w:kinsoku/>
              <w:wordWrap/>
              <w:overflowPunct/>
              <w:topLinePunct w:val="0"/>
              <w:autoSpaceDE/>
              <w:autoSpaceDN/>
              <w:bidi w:val="0"/>
              <w:adjustRightInd w:val="0"/>
              <w:snapToGrid w:val="0"/>
              <w:spacing w:after="0" w:line="440" w:lineRule="exact"/>
              <w:ind w:left="0" w:leftChars="0" w:firstLine="480" w:firstLineChars="200"/>
              <w:jc w:val="both"/>
              <w:textAlignment w:val="auto"/>
              <w:rPr>
                <w:rFonts w:hint="default" w:ascii="Times New Roman" w:hAnsi="Times New Roman" w:cs="Times New Roman" w:eastAsiaTheme="minorEastAsia"/>
                <w:b/>
                <w:bCs/>
                <w:color w:val="auto"/>
                <w:sz w:val="24"/>
                <w:szCs w:val="24"/>
                <w:highlight w:val="none"/>
                <w:lang w:val="zh-CN"/>
              </w:rPr>
            </w:pPr>
            <w:r>
              <w:rPr>
                <w:rFonts w:hint="default" w:ascii="Times New Roman" w:hAnsi="Times New Roman" w:cs="Times New Roman" w:eastAsiaTheme="minorEastAsia"/>
                <w:color w:val="auto"/>
                <w:sz w:val="24"/>
                <w:szCs w:val="24"/>
                <w:highlight w:val="none"/>
                <w:lang w:val="zh-CN"/>
              </w:rPr>
              <w:t>项目施工车辆运输过程及施工机械使用过程中产生的尾气将对沿路居民生活及环境空气产生一定的影响。因此，建设单位应在施工期间加强对车辆及施工机械的维修，尽量减少尾气的排放。</w:t>
            </w:r>
            <w:r>
              <w:rPr>
                <w:rFonts w:hint="default" w:ascii="Times New Roman" w:hAnsi="Times New Roman" w:cs="Times New Roman" w:eastAsiaTheme="minorEastAsia"/>
                <w:color w:val="auto"/>
                <w:sz w:val="24"/>
                <w:szCs w:val="24"/>
                <w:highlight w:val="none"/>
              </w:rPr>
              <w:t>施工机械和运输车辆所产生的废气经自然扩散和稀释</w:t>
            </w:r>
            <w:r>
              <w:rPr>
                <w:rFonts w:hint="default" w:ascii="Times New Roman" w:hAnsi="Times New Roman" w:cs="Times New Roman" w:eastAsiaTheme="minorEastAsia"/>
                <w:color w:val="auto"/>
                <w:sz w:val="24"/>
                <w:szCs w:val="24"/>
                <w:highlight w:val="none"/>
                <w:lang w:eastAsia="zh-CN"/>
              </w:rPr>
              <w:t>后对周围环境影响较小</w:t>
            </w:r>
            <w:r>
              <w:rPr>
                <w:rFonts w:hint="default" w:ascii="Times New Roman" w:hAnsi="Times New Roman" w:cs="Times New Roman" w:eastAsiaTheme="minorEastAsia"/>
                <w:color w:val="auto"/>
                <w:sz w:val="24"/>
                <w:szCs w:val="24"/>
                <w:highlight w:val="none"/>
              </w:rPr>
              <w:t>。</w:t>
            </w:r>
          </w:p>
          <w:p w14:paraId="7C0FB0CF">
            <w:pPr>
              <w:pStyle w:val="25"/>
              <w:keepNext w:val="0"/>
              <w:keepLines w:val="0"/>
              <w:pageBreakBefore w:val="0"/>
              <w:widowControl w:val="0"/>
              <w:shd w:val="clear" w:color="auto" w:fill="auto"/>
              <w:kinsoku/>
              <w:wordWrap/>
              <w:overflowPunct/>
              <w:topLinePunct w:val="0"/>
              <w:autoSpaceDE/>
              <w:autoSpaceDN/>
              <w:bidi w:val="0"/>
              <w:adjustRightInd w:val="0"/>
              <w:snapToGrid w:val="0"/>
              <w:spacing w:after="0" w:line="440" w:lineRule="exact"/>
              <w:ind w:left="0" w:leftChars="0" w:firstLine="482" w:firstLineChars="200"/>
              <w:jc w:val="both"/>
              <w:textAlignment w:val="auto"/>
              <w:rPr>
                <w:rFonts w:hint="default" w:ascii="Times New Roman" w:hAnsi="Times New Roman" w:cs="Times New Roman" w:eastAsiaTheme="minorEastAsia"/>
                <w:b/>
                <w:bCs w:val="0"/>
                <w:color w:val="auto"/>
                <w:sz w:val="24"/>
                <w:szCs w:val="24"/>
                <w:highlight w:val="none"/>
                <w:lang w:val="en-US" w:eastAsia="zh-CN"/>
              </w:rPr>
            </w:pPr>
            <w:r>
              <w:rPr>
                <w:rFonts w:hint="default" w:ascii="Times New Roman" w:hAnsi="Times New Roman" w:cs="Times New Roman" w:eastAsiaTheme="minorEastAsia"/>
                <w:b/>
                <w:bCs w:val="0"/>
                <w:color w:val="auto"/>
                <w:sz w:val="24"/>
                <w:szCs w:val="24"/>
                <w:highlight w:val="none"/>
                <w:lang w:val="en-US" w:eastAsia="zh-CN"/>
              </w:rPr>
              <w:t>4）装修废气</w:t>
            </w:r>
          </w:p>
          <w:p w14:paraId="68D9CC83">
            <w:pPr>
              <w:pStyle w:val="104"/>
              <w:keepNext w:val="0"/>
              <w:keepLines w:val="0"/>
              <w:pageBreakBefore w:val="0"/>
              <w:widowControl w:val="0"/>
              <w:kinsoku/>
              <w:wordWrap/>
              <w:overflowPunct/>
              <w:topLinePunct w:val="0"/>
              <w:autoSpaceDE/>
              <w:autoSpaceDN/>
              <w:bidi w:val="0"/>
              <w:spacing w:line="440" w:lineRule="exact"/>
              <w:ind w:firstLine="480" w:firstLineChars="200"/>
              <w:jc w:val="left"/>
              <w:textAlignment w:val="auto"/>
              <w:rPr>
                <w:rFonts w:hint="default" w:ascii="Times New Roman" w:hAnsi="Times New Roman" w:cs="Times New Roman" w:eastAsiaTheme="minorEastAsia"/>
                <w:b w:val="0"/>
                <w:bCs/>
                <w:color w:val="auto"/>
                <w:sz w:val="24"/>
                <w:szCs w:val="24"/>
                <w:highlight w:val="none"/>
                <w:lang w:val="en-US" w:eastAsia="zh-CN"/>
              </w:rPr>
            </w:pPr>
            <w:r>
              <w:rPr>
                <w:rFonts w:hint="default" w:ascii="Times New Roman" w:hAnsi="Times New Roman" w:cs="Times New Roman" w:eastAsiaTheme="minorEastAsia"/>
                <w:b w:val="0"/>
                <w:bCs/>
                <w:color w:val="auto"/>
                <w:sz w:val="24"/>
                <w:szCs w:val="24"/>
                <w:highlight w:val="none"/>
                <w:lang w:val="en-US" w:eastAsia="zh-CN"/>
              </w:rPr>
              <w:t>项目建筑在后期装修过程中产生的废气属无组织排放，主要污染因子为挥发性有机废气等。项目在装修过程中，产生的废气主要来源包括地板漆、墙面漆和内墙涂料等，由于使用的油漆组分不同，挥发系数也不相同，并且装修阶段随机性大，时间跨度较长，装修作业点分散，油漆废气的排放时间和部位</w:t>
            </w:r>
            <w:r>
              <w:rPr>
                <w:rFonts w:hint="eastAsia" w:ascii="Times New Roman" w:hAnsi="Times New Roman" w:cs="Times New Roman" w:eastAsiaTheme="minorEastAsia"/>
                <w:b w:val="0"/>
                <w:bCs/>
                <w:color w:val="auto"/>
                <w:sz w:val="24"/>
                <w:szCs w:val="24"/>
                <w:highlight w:val="none"/>
                <w:lang w:val="en-US" w:eastAsia="zh-CN"/>
              </w:rPr>
              <w:t>分散</w:t>
            </w:r>
            <w:r>
              <w:rPr>
                <w:rFonts w:hint="default" w:ascii="Times New Roman" w:hAnsi="Times New Roman" w:cs="Times New Roman" w:eastAsiaTheme="minorEastAsia"/>
                <w:b w:val="0"/>
                <w:bCs/>
                <w:color w:val="auto"/>
                <w:sz w:val="24"/>
                <w:szCs w:val="24"/>
                <w:highlight w:val="none"/>
                <w:lang w:val="en-US" w:eastAsia="zh-CN"/>
              </w:rPr>
              <w:t>，装修阶段的油漆废气排放周期相对较短。因此，环评提出项目应</w:t>
            </w:r>
            <w:bookmarkStart w:id="60" w:name="_Hlk141364638"/>
            <w:r>
              <w:rPr>
                <w:rFonts w:hint="default" w:ascii="Times New Roman" w:hAnsi="Times New Roman" w:cs="Times New Roman" w:eastAsiaTheme="minorEastAsia"/>
                <w:bCs/>
                <w:color w:val="auto"/>
                <w:sz w:val="24"/>
                <w:szCs w:val="24"/>
                <w:highlight w:val="none"/>
              </w:rPr>
              <w:t>使用环保型装修材料</w:t>
            </w:r>
            <w:bookmarkEnd w:id="60"/>
            <w:r>
              <w:rPr>
                <w:rFonts w:hint="default" w:ascii="Times New Roman" w:hAnsi="Times New Roman" w:cs="Times New Roman" w:eastAsiaTheme="minorEastAsia"/>
                <w:bCs/>
                <w:color w:val="auto"/>
                <w:sz w:val="24"/>
                <w:szCs w:val="24"/>
                <w:highlight w:val="none"/>
                <w:lang w:eastAsia="zh-CN"/>
              </w:rPr>
              <w:t>；</w:t>
            </w:r>
            <w:r>
              <w:rPr>
                <w:rFonts w:hint="default" w:ascii="Times New Roman" w:hAnsi="Times New Roman" w:cs="Times New Roman" w:eastAsiaTheme="minorEastAsia"/>
                <w:b w:val="0"/>
                <w:bCs/>
                <w:color w:val="auto"/>
                <w:sz w:val="24"/>
                <w:szCs w:val="24"/>
                <w:highlight w:val="none"/>
                <w:lang w:val="en-US" w:eastAsia="zh-CN"/>
              </w:rPr>
              <w:t>装修期间涂刷油漆时，加强室内的通风换气</w:t>
            </w:r>
            <w:r>
              <w:rPr>
                <w:rFonts w:hint="eastAsia" w:ascii="Times New Roman" w:hAnsi="Times New Roman" w:cs="Times New Roman" w:eastAsiaTheme="minorEastAsia"/>
                <w:b w:val="0"/>
                <w:bCs/>
                <w:color w:val="auto"/>
                <w:sz w:val="24"/>
                <w:szCs w:val="24"/>
                <w:highlight w:val="none"/>
                <w:lang w:val="en-US" w:eastAsia="zh-CN"/>
              </w:rPr>
              <w:t>后对环境影响较小</w:t>
            </w:r>
            <w:r>
              <w:rPr>
                <w:rFonts w:hint="default" w:ascii="Times New Roman" w:hAnsi="Times New Roman" w:cs="Times New Roman" w:eastAsiaTheme="minorEastAsia"/>
                <w:b w:val="0"/>
                <w:bCs/>
                <w:color w:val="auto"/>
                <w:sz w:val="24"/>
                <w:szCs w:val="24"/>
                <w:highlight w:val="none"/>
                <w:lang w:val="en-US" w:eastAsia="zh-CN"/>
              </w:rPr>
              <w:t>。</w:t>
            </w:r>
          </w:p>
          <w:p w14:paraId="2DD2DB1A">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default" w:ascii="Times New Roman" w:hAnsi="Times New Roman" w:cs="Times New Roman" w:eastAsiaTheme="minorEastAsia"/>
                <w:b/>
                <w:color w:val="auto"/>
                <w:sz w:val="24"/>
                <w:szCs w:val="24"/>
                <w:highlight w:val="none"/>
              </w:rPr>
            </w:pPr>
            <w:r>
              <w:rPr>
                <w:rFonts w:hint="default" w:ascii="Times New Roman" w:hAnsi="Times New Roman" w:cs="Times New Roman" w:eastAsiaTheme="minorEastAsia"/>
                <w:b/>
                <w:color w:val="auto"/>
                <w:sz w:val="24"/>
                <w:szCs w:val="24"/>
                <w:highlight w:val="none"/>
              </w:rPr>
              <w:t>2、施工期水污染</w:t>
            </w:r>
            <w:r>
              <w:rPr>
                <w:rFonts w:hint="eastAsia" w:ascii="Times New Roman" w:hAnsi="Times New Roman" w:cs="Times New Roman" w:eastAsiaTheme="minorEastAsia"/>
                <w:b/>
                <w:color w:val="auto"/>
                <w:sz w:val="24"/>
                <w:szCs w:val="24"/>
                <w:highlight w:val="none"/>
                <w:lang w:val="en-US" w:eastAsia="zh-CN"/>
              </w:rPr>
              <w:t>环境保护</w:t>
            </w:r>
            <w:r>
              <w:rPr>
                <w:rFonts w:hint="default" w:ascii="Times New Roman" w:hAnsi="Times New Roman" w:cs="Times New Roman" w:eastAsiaTheme="minorEastAsia"/>
                <w:b/>
                <w:color w:val="auto"/>
                <w:sz w:val="24"/>
                <w:szCs w:val="24"/>
                <w:highlight w:val="none"/>
              </w:rPr>
              <w:t>措施</w:t>
            </w:r>
          </w:p>
          <w:p w14:paraId="528DE6B6">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cs="Times New Roman" w:eastAsiaTheme="minorEastAsia"/>
                <w:b/>
                <w:bCs/>
                <w:color w:val="auto"/>
                <w:sz w:val="24"/>
                <w:szCs w:val="24"/>
                <w:highlight w:val="none"/>
                <w:lang w:val="en-US" w:eastAsia="zh-CN"/>
              </w:rPr>
            </w:pPr>
            <w:r>
              <w:rPr>
                <w:rFonts w:hint="eastAsia" w:ascii="Times New Roman" w:hAnsi="Times New Roman" w:cs="Times New Roman" w:eastAsiaTheme="minorEastAsia"/>
                <w:b/>
                <w:bCs/>
                <w:color w:val="auto"/>
                <w:sz w:val="24"/>
                <w:szCs w:val="24"/>
                <w:highlight w:val="none"/>
                <w:lang w:eastAsia="zh-CN"/>
              </w:rPr>
              <w:t>（</w:t>
            </w:r>
            <w:r>
              <w:rPr>
                <w:rFonts w:hint="eastAsia" w:ascii="Times New Roman" w:hAnsi="Times New Roman" w:cs="Times New Roman" w:eastAsiaTheme="minorEastAsia"/>
                <w:b/>
                <w:bCs/>
                <w:color w:val="auto"/>
                <w:sz w:val="24"/>
                <w:szCs w:val="24"/>
                <w:highlight w:val="none"/>
                <w:lang w:val="en-US" w:eastAsia="zh-CN"/>
              </w:rPr>
              <w:t>1</w:t>
            </w:r>
            <w:r>
              <w:rPr>
                <w:rFonts w:hint="eastAsia" w:ascii="Times New Roman" w:hAnsi="Times New Roman" w:cs="Times New Roman" w:eastAsiaTheme="minorEastAsia"/>
                <w:b/>
                <w:bCs/>
                <w:color w:val="auto"/>
                <w:sz w:val="24"/>
                <w:szCs w:val="24"/>
                <w:highlight w:val="none"/>
                <w:lang w:eastAsia="zh-CN"/>
              </w:rPr>
              <w:t>）</w:t>
            </w:r>
            <w:r>
              <w:rPr>
                <w:rFonts w:hint="eastAsia" w:ascii="Times New Roman" w:hAnsi="Times New Roman" w:cs="Times New Roman" w:eastAsiaTheme="minorEastAsia"/>
                <w:b/>
                <w:bCs/>
                <w:color w:val="auto"/>
                <w:sz w:val="24"/>
                <w:szCs w:val="24"/>
                <w:highlight w:val="none"/>
                <w:lang w:val="en-US" w:eastAsia="zh-CN"/>
              </w:rPr>
              <w:t>产污环节</w:t>
            </w:r>
          </w:p>
          <w:p w14:paraId="03C1357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lang w:eastAsia="zh-CN"/>
              </w:rPr>
            </w:pPr>
            <w:r>
              <w:rPr>
                <w:rFonts w:hint="default" w:ascii="Times New Roman" w:hAnsi="Times New Roman" w:cs="Times New Roman" w:eastAsiaTheme="minorEastAsia"/>
                <w:color w:val="auto"/>
                <w:sz w:val="24"/>
                <w:szCs w:val="24"/>
                <w:highlight w:val="none"/>
              </w:rPr>
              <w:t>施工期产生的废水主要为施工废水以及生活污水</w:t>
            </w:r>
            <w:r>
              <w:rPr>
                <w:rFonts w:hint="default" w:ascii="Times New Roman" w:hAnsi="Times New Roman" w:cs="Times New Roman" w:eastAsiaTheme="minorEastAsia"/>
                <w:color w:val="auto"/>
                <w:sz w:val="24"/>
                <w:szCs w:val="24"/>
                <w:highlight w:val="none"/>
                <w:lang w:eastAsia="zh-CN"/>
              </w:rPr>
              <w:t>。</w:t>
            </w:r>
          </w:p>
          <w:p w14:paraId="4D666510">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cs="Times New Roman" w:eastAsiaTheme="minorEastAsia"/>
                <w:b/>
                <w:bCs/>
                <w:color w:val="auto"/>
                <w:sz w:val="24"/>
                <w:szCs w:val="24"/>
                <w:highlight w:val="none"/>
                <w:lang w:val="en-US" w:eastAsia="zh-CN"/>
              </w:rPr>
            </w:pPr>
            <w:r>
              <w:rPr>
                <w:rFonts w:hint="eastAsia" w:ascii="Times New Roman" w:hAnsi="Times New Roman" w:cs="Times New Roman" w:eastAsiaTheme="minorEastAsia"/>
                <w:b/>
                <w:bCs/>
                <w:color w:val="auto"/>
                <w:sz w:val="24"/>
                <w:szCs w:val="24"/>
                <w:highlight w:val="none"/>
                <w:lang w:eastAsia="zh-CN"/>
              </w:rPr>
              <w:t>（</w:t>
            </w:r>
            <w:r>
              <w:rPr>
                <w:rFonts w:hint="eastAsia" w:ascii="Times New Roman" w:hAnsi="Times New Roman" w:cs="Times New Roman" w:eastAsiaTheme="minorEastAsia"/>
                <w:b/>
                <w:bCs/>
                <w:color w:val="auto"/>
                <w:sz w:val="24"/>
                <w:szCs w:val="24"/>
                <w:highlight w:val="none"/>
                <w:lang w:val="en-US" w:eastAsia="zh-CN"/>
              </w:rPr>
              <w:t>2</w:t>
            </w:r>
            <w:r>
              <w:rPr>
                <w:rFonts w:hint="eastAsia" w:ascii="Times New Roman" w:hAnsi="Times New Roman" w:cs="Times New Roman" w:eastAsiaTheme="minorEastAsia"/>
                <w:b/>
                <w:bCs/>
                <w:color w:val="auto"/>
                <w:sz w:val="24"/>
                <w:szCs w:val="24"/>
                <w:highlight w:val="none"/>
                <w:lang w:eastAsia="zh-CN"/>
              </w:rPr>
              <w:t>）</w:t>
            </w:r>
            <w:r>
              <w:rPr>
                <w:rFonts w:hint="eastAsia" w:ascii="Times New Roman" w:hAnsi="Times New Roman" w:cs="Times New Roman" w:eastAsiaTheme="minorEastAsia"/>
                <w:b/>
                <w:bCs/>
                <w:color w:val="auto"/>
                <w:sz w:val="24"/>
                <w:szCs w:val="24"/>
                <w:highlight w:val="none"/>
                <w:lang w:val="en-US" w:eastAsia="zh-CN"/>
              </w:rPr>
              <w:t>保护措施</w:t>
            </w:r>
          </w:p>
          <w:p w14:paraId="258F4B7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eastAsia" w:ascii="Times New Roman" w:hAnsi="Times New Roman" w:cs="Times New Roman" w:eastAsiaTheme="minorEastAsia"/>
                <w:color w:val="auto"/>
                <w:sz w:val="24"/>
                <w:szCs w:val="24"/>
                <w:highlight w:val="none"/>
                <w:lang w:val="en-US" w:eastAsia="zh-CN"/>
              </w:rPr>
              <w:t>1）</w:t>
            </w:r>
            <w:r>
              <w:rPr>
                <w:rFonts w:hint="default" w:ascii="Times New Roman" w:hAnsi="Times New Roman" w:cs="Times New Roman" w:eastAsiaTheme="minorEastAsia"/>
                <w:color w:val="auto"/>
                <w:sz w:val="24"/>
                <w:szCs w:val="24"/>
                <w:highlight w:val="none"/>
              </w:rPr>
              <w:t>施工废水</w:t>
            </w:r>
          </w:p>
          <w:p w14:paraId="3C9E125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项目施工过程中主要产生施工设备维修、清洗产生的废水，施工废水设置1个容积约为5m</w:t>
            </w:r>
            <w:r>
              <w:rPr>
                <w:rFonts w:hint="default" w:ascii="Times New Roman" w:hAnsi="Times New Roman" w:cs="Times New Roman" w:eastAsiaTheme="minorEastAsia"/>
                <w:color w:val="auto"/>
                <w:sz w:val="24"/>
                <w:szCs w:val="24"/>
                <w:highlight w:val="none"/>
                <w:vertAlign w:val="superscript"/>
              </w:rPr>
              <w:t>3</w:t>
            </w:r>
            <w:r>
              <w:rPr>
                <w:rFonts w:hint="default" w:ascii="Times New Roman" w:hAnsi="Times New Roman" w:cs="Times New Roman" w:eastAsiaTheme="minorEastAsia"/>
                <w:color w:val="auto"/>
                <w:sz w:val="24"/>
                <w:szCs w:val="24"/>
                <w:highlight w:val="none"/>
              </w:rPr>
              <w:t>的临时沉淀池收集处理后全部用于施工场地洒水降尘，不外排。对周围地表水影响较小。</w:t>
            </w:r>
          </w:p>
          <w:p w14:paraId="6BF0161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eastAsia" w:ascii="Times New Roman" w:hAnsi="Times New Roman" w:cs="Times New Roman" w:eastAsiaTheme="minorEastAsia"/>
                <w:color w:val="auto"/>
                <w:sz w:val="24"/>
                <w:szCs w:val="24"/>
                <w:highlight w:val="none"/>
                <w:lang w:val="en-US" w:eastAsia="zh-CN"/>
              </w:rPr>
              <w:t>2）</w:t>
            </w:r>
            <w:r>
              <w:rPr>
                <w:rFonts w:hint="default" w:ascii="Times New Roman" w:hAnsi="Times New Roman" w:cs="Times New Roman" w:eastAsiaTheme="minorEastAsia"/>
                <w:color w:val="auto"/>
                <w:sz w:val="24"/>
                <w:szCs w:val="24"/>
                <w:highlight w:val="none"/>
              </w:rPr>
              <w:t>施工人员生活污水</w:t>
            </w:r>
          </w:p>
          <w:p w14:paraId="4542025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项目施工期不设施工营地，施工人员均不在项目区食宿，仅产生少量洗手清洁废水。施工人员生活污水依托原项目已建化粪池进行处理，不外排，对周围地表水影响较小。</w:t>
            </w:r>
          </w:p>
          <w:p w14:paraId="35768B2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cs="Times New Roman" w:eastAsiaTheme="minorEastAsia"/>
                <w:color w:val="auto"/>
                <w:sz w:val="24"/>
                <w:szCs w:val="24"/>
                <w:highlight w:val="none"/>
                <w:lang w:eastAsia="zh-CN"/>
              </w:rPr>
            </w:pPr>
            <w:r>
              <w:rPr>
                <w:rFonts w:hint="default" w:ascii="Times New Roman" w:hAnsi="Times New Roman" w:cs="Times New Roman" w:eastAsiaTheme="minorEastAsia"/>
                <w:color w:val="auto"/>
                <w:sz w:val="24"/>
                <w:szCs w:val="24"/>
                <w:highlight w:val="none"/>
              </w:rPr>
              <w:t>本项目施工时间较短，施工期工程量较少，施工废水主要为机械清洗废水，主要污染物为SS和少量石油类，经临时沉淀池（</w:t>
            </w:r>
            <w:r>
              <w:rPr>
                <w:rFonts w:hint="default" w:ascii="Times New Roman" w:hAnsi="Times New Roman" w:cs="Times New Roman" w:eastAsiaTheme="minorEastAsia"/>
                <w:color w:val="auto"/>
                <w:sz w:val="24"/>
                <w:szCs w:val="24"/>
                <w:highlight w:val="none"/>
                <w:lang w:val="en-US" w:eastAsia="zh-CN"/>
              </w:rPr>
              <w:t>5</w:t>
            </w:r>
            <w:r>
              <w:rPr>
                <w:rFonts w:hint="default" w:ascii="Times New Roman" w:hAnsi="Times New Roman" w:cs="Times New Roman" w:eastAsiaTheme="minorEastAsia"/>
                <w:color w:val="auto"/>
                <w:sz w:val="24"/>
                <w:szCs w:val="24"/>
                <w:highlight w:val="none"/>
              </w:rPr>
              <w:t>m</w:t>
            </w:r>
            <w:r>
              <w:rPr>
                <w:rFonts w:hint="default" w:ascii="Times New Roman" w:hAnsi="Times New Roman" w:cs="Times New Roman" w:eastAsiaTheme="minorEastAsia"/>
                <w:color w:val="auto"/>
                <w:sz w:val="24"/>
                <w:szCs w:val="24"/>
                <w:highlight w:val="none"/>
                <w:vertAlign w:val="superscript"/>
              </w:rPr>
              <w:t>3</w:t>
            </w:r>
            <w:r>
              <w:rPr>
                <w:rFonts w:hint="default" w:ascii="Times New Roman" w:hAnsi="Times New Roman" w:cs="Times New Roman" w:eastAsiaTheme="minorEastAsia"/>
                <w:color w:val="auto"/>
                <w:sz w:val="24"/>
                <w:szCs w:val="24"/>
                <w:highlight w:val="none"/>
              </w:rPr>
              <w:t>）收集沉淀处理后回用于施工场地洒水降尘，不外排。施工人员生活污水依托原项目已建化粪池进行处理，不外排</w:t>
            </w:r>
            <w:r>
              <w:rPr>
                <w:rFonts w:hint="eastAsia" w:ascii="Times New Roman" w:hAnsi="Times New Roman" w:cs="Times New Roman" w:eastAsiaTheme="minorEastAsia"/>
                <w:color w:val="auto"/>
                <w:sz w:val="24"/>
                <w:szCs w:val="24"/>
                <w:highlight w:val="none"/>
                <w:lang w:eastAsia="zh-CN"/>
              </w:rPr>
              <w:t>。</w:t>
            </w:r>
          </w:p>
          <w:p w14:paraId="3E4E8FC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eastAsia" w:ascii="Times New Roman" w:hAnsi="Times New Roman" w:cs="Times New Roman" w:eastAsiaTheme="minorEastAsia"/>
                <w:color w:val="auto"/>
                <w:sz w:val="24"/>
                <w:szCs w:val="24"/>
                <w:highlight w:val="none"/>
                <w:lang w:val="en-US" w:eastAsia="zh-CN"/>
              </w:rPr>
              <w:t>综上，本项目施工期直接进入地表水体，</w:t>
            </w:r>
            <w:r>
              <w:rPr>
                <w:rFonts w:hint="default" w:ascii="Times New Roman" w:hAnsi="Times New Roman" w:cs="Times New Roman" w:eastAsiaTheme="minorEastAsia"/>
                <w:color w:val="auto"/>
                <w:sz w:val="24"/>
                <w:szCs w:val="24"/>
                <w:highlight w:val="none"/>
              </w:rPr>
              <w:t>对周围地表水影响较小。</w:t>
            </w:r>
          </w:p>
          <w:p w14:paraId="78343325">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default" w:ascii="Times New Roman" w:hAnsi="Times New Roman" w:cs="Times New Roman" w:eastAsiaTheme="minorEastAsia"/>
                <w:b/>
                <w:color w:val="auto"/>
                <w:sz w:val="24"/>
                <w:szCs w:val="24"/>
                <w:highlight w:val="none"/>
              </w:rPr>
            </w:pPr>
            <w:r>
              <w:rPr>
                <w:rFonts w:hint="default" w:ascii="Times New Roman" w:hAnsi="Times New Roman" w:cs="Times New Roman" w:eastAsiaTheme="minorEastAsia"/>
                <w:b/>
                <w:color w:val="auto"/>
                <w:sz w:val="24"/>
                <w:szCs w:val="24"/>
                <w:highlight w:val="none"/>
              </w:rPr>
              <w:t>3、施工期噪声污染防治措施</w:t>
            </w:r>
          </w:p>
          <w:p w14:paraId="7C36459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eastAsiaTheme="minorEastAsia"/>
                <w:color w:val="auto"/>
                <w:sz w:val="24"/>
                <w:szCs w:val="24"/>
                <w:highlight w:val="none"/>
                <w:lang w:val="en-US" w:eastAsia="zh-CN"/>
              </w:rPr>
              <w:t>（1）产污环节</w:t>
            </w:r>
          </w:p>
          <w:p w14:paraId="6631A2C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施工期间，由于使用施工机械以及施工材料运输车辆，将会产生一定的噪声污染。机械噪声有电锯、焊接机等引起的噪声。施工机械的运行噪声在80～105dB(A)之间；运输车辆多为货车，源强在70～85dB(A)之间，施工噪声的特点是突发性和间歇性，为间歇性点源排放。</w:t>
            </w:r>
          </w:p>
          <w:p w14:paraId="3B44D93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eastAsiaTheme="minorEastAsia"/>
                <w:color w:val="auto"/>
                <w:sz w:val="24"/>
                <w:szCs w:val="24"/>
                <w:highlight w:val="none"/>
                <w:lang w:eastAsia="zh-CN"/>
              </w:rPr>
              <w:t>（</w:t>
            </w:r>
            <w:r>
              <w:rPr>
                <w:rFonts w:hint="eastAsia" w:ascii="Times New Roman" w:hAnsi="Times New Roman" w:cs="Times New Roman" w:eastAsiaTheme="minorEastAsia"/>
                <w:color w:val="auto"/>
                <w:sz w:val="24"/>
                <w:szCs w:val="24"/>
                <w:highlight w:val="none"/>
                <w:lang w:val="en-US" w:eastAsia="zh-CN"/>
              </w:rPr>
              <w:t>2</w:t>
            </w:r>
            <w:r>
              <w:rPr>
                <w:rFonts w:hint="eastAsia" w:ascii="Times New Roman" w:hAnsi="Times New Roman" w:cs="Times New Roman" w:eastAsiaTheme="minorEastAsia"/>
                <w:color w:val="auto"/>
                <w:sz w:val="24"/>
                <w:szCs w:val="24"/>
                <w:highlight w:val="none"/>
                <w:lang w:eastAsia="zh-CN"/>
              </w:rPr>
              <w:t>）</w:t>
            </w:r>
            <w:r>
              <w:rPr>
                <w:rFonts w:hint="eastAsia" w:ascii="Times New Roman" w:hAnsi="Times New Roman" w:cs="Times New Roman" w:eastAsiaTheme="minorEastAsia"/>
                <w:color w:val="auto"/>
                <w:sz w:val="24"/>
                <w:szCs w:val="24"/>
                <w:highlight w:val="none"/>
                <w:lang w:val="en-US" w:eastAsia="zh-CN"/>
              </w:rPr>
              <w:t>防治措施</w:t>
            </w:r>
          </w:p>
          <w:p w14:paraId="059B0AE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为了降低施工噪声对周围环境的影响，本环评提出以下防治措施：</w:t>
            </w:r>
          </w:p>
          <w:p w14:paraId="277B8C8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①禁止中午12：00 -14：00，夜间22：00 - 6：00建筑施工作业。</w:t>
            </w:r>
          </w:p>
          <w:p w14:paraId="2B1DE10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②施工单位应选用噪音低、振动小的设备。同时在施工单位应设专人对设备进行定期保养和维护，并负责对现场工作人员进行培训，严格按操作规范使用各种机械。</w:t>
            </w:r>
          </w:p>
          <w:p w14:paraId="29B29D1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③采用距离防护措施：在不影响施工情况下将噪声设备集中安排。</w:t>
            </w:r>
          </w:p>
          <w:p w14:paraId="663D646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④采用障碍物遮挡：在项目区场界设置2.5m临时围挡；在施工的结构阶段和装修阶段，对建筑物的外部也应采用围挡，以减轻设备噪声对周围环境的影响。</w:t>
            </w:r>
          </w:p>
          <w:p w14:paraId="6AC4406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⑤施工人员在施工作业时尽量减少噪音；早晚施工不大声喧哗，建筑物资轻拿轻放，做好施工中的计划调控。</w:t>
            </w:r>
          </w:p>
          <w:p w14:paraId="63E5380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⑥建设管理部门应加强对施工场地的噪声管理，施工企业也应对施工噪声进行自律，文明施工，施工期间组织好区内交通，施工场地的施工车辆出入现场时应低速、禁鸣，设立专职人员负责该工作，封闭施工，避免影响居民的正常生活。</w:t>
            </w:r>
          </w:p>
          <w:p w14:paraId="477A648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b w:val="0"/>
                <w:bCs/>
                <w:color w:val="auto"/>
                <w:sz w:val="24"/>
                <w:szCs w:val="24"/>
                <w:highlight w:val="none"/>
              </w:rPr>
            </w:pPr>
            <w:r>
              <w:rPr>
                <w:rFonts w:hint="default" w:ascii="Times New Roman" w:hAnsi="Times New Roman" w:cs="Times New Roman" w:eastAsiaTheme="minorEastAsia"/>
                <w:b w:val="0"/>
                <w:bCs/>
                <w:color w:val="auto"/>
                <w:sz w:val="24"/>
                <w:szCs w:val="24"/>
                <w:highlight w:val="none"/>
              </w:rPr>
              <w:t>综上所述，施工期间通过加强管理，合理安排施工时间，文明施工等措施后，能有效减小施工噪声对周围环境的影响。项目施工期较短暂，施工期噪声会随施工期结束而消失。</w:t>
            </w:r>
          </w:p>
          <w:p w14:paraId="7BEA1862">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default" w:ascii="Times New Roman" w:hAnsi="Times New Roman" w:cs="Times New Roman" w:eastAsiaTheme="minorEastAsia"/>
                <w:b/>
                <w:color w:val="auto"/>
                <w:sz w:val="24"/>
                <w:szCs w:val="24"/>
                <w:highlight w:val="none"/>
              </w:rPr>
            </w:pPr>
            <w:r>
              <w:rPr>
                <w:rFonts w:hint="default" w:ascii="Times New Roman" w:hAnsi="Times New Roman" w:cs="Times New Roman" w:eastAsiaTheme="minorEastAsia"/>
                <w:b/>
                <w:color w:val="auto"/>
                <w:sz w:val="24"/>
                <w:szCs w:val="24"/>
                <w:highlight w:val="none"/>
              </w:rPr>
              <w:t>4、固体废物防治措施</w:t>
            </w:r>
          </w:p>
          <w:p w14:paraId="7E4FABE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eastAsiaTheme="minorEastAsia"/>
                <w:color w:val="auto"/>
                <w:sz w:val="24"/>
                <w:szCs w:val="24"/>
                <w:highlight w:val="none"/>
                <w:lang w:eastAsia="zh-CN"/>
              </w:rPr>
              <w:t>（</w:t>
            </w:r>
            <w:r>
              <w:rPr>
                <w:rFonts w:hint="eastAsia" w:ascii="Times New Roman" w:hAnsi="Times New Roman" w:cs="Times New Roman" w:eastAsiaTheme="minorEastAsia"/>
                <w:color w:val="auto"/>
                <w:sz w:val="24"/>
                <w:szCs w:val="24"/>
                <w:highlight w:val="none"/>
                <w:lang w:val="en-US" w:eastAsia="zh-CN"/>
              </w:rPr>
              <w:t>1</w:t>
            </w:r>
            <w:r>
              <w:rPr>
                <w:rFonts w:hint="eastAsia" w:ascii="Times New Roman" w:hAnsi="Times New Roman" w:cs="Times New Roman" w:eastAsiaTheme="minorEastAsia"/>
                <w:color w:val="auto"/>
                <w:sz w:val="24"/>
                <w:szCs w:val="24"/>
                <w:highlight w:val="none"/>
                <w:lang w:eastAsia="zh-CN"/>
              </w:rPr>
              <w:t>）</w:t>
            </w:r>
            <w:r>
              <w:rPr>
                <w:rFonts w:hint="eastAsia" w:ascii="Times New Roman" w:hAnsi="Times New Roman" w:cs="Times New Roman" w:eastAsiaTheme="minorEastAsia"/>
                <w:color w:val="auto"/>
                <w:sz w:val="24"/>
                <w:szCs w:val="24"/>
                <w:highlight w:val="none"/>
                <w:lang w:val="en-US" w:eastAsia="zh-CN"/>
              </w:rPr>
              <w:t>产污环节</w:t>
            </w:r>
          </w:p>
          <w:p w14:paraId="5F311E3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项目施工期产生的固废主要为建筑垃圾、施工人员生活垃圾、土石方等。</w:t>
            </w:r>
          </w:p>
          <w:p w14:paraId="663AC6E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eastAsiaTheme="minorEastAsia"/>
                <w:color w:val="auto"/>
                <w:sz w:val="24"/>
                <w:szCs w:val="24"/>
                <w:highlight w:val="none"/>
                <w:lang w:eastAsia="zh-CN"/>
              </w:rPr>
              <w:t>（</w:t>
            </w:r>
            <w:r>
              <w:rPr>
                <w:rFonts w:hint="eastAsia" w:ascii="Times New Roman" w:hAnsi="Times New Roman" w:cs="Times New Roman" w:eastAsiaTheme="minorEastAsia"/>
                <w:color w:val="auto"/>
                <w:sz w:val="24"/>
                <w:szCs w:val="24"/>
                <w:highlight w:val="none"/>
                <w:lang w:val="en-US" w:eastAsia="zh-CN"/>
              </w:rPr>
              <w:t>2</w:t>
            </w:r>
            <w:r>
              <w:rPr>
                <w:rFonts w:hint="eastAsia" w:ascii="Times New Roman" w:hAnsi="Times New Roman" w:cs="Times New Roman" w:eastAsiaTheme="minorEastAsia"/>
                <w:color w:val="auto"/>
                <w:sz w:val="24"/>
                <w:szCs w:val="24"/>
                <w:highlight w:val="none"/>
                <w:lang w:eastAsia="zh-CN"/>
              </w:rPr>
              <w:t>）</w:t>
            </w:r>
            <w:r>
              <w:rPr>
                <w:rFonts w:hint="eastAsia" w:ascii="Times New Roman" w:hAnsi="Times New Roman" w:cs="Times New Roman" w:eastAsiaTheme="minorEastAsia"/>
                <w:color w:val="auto"/>
                <w:sz w:val="24"/>
                <w:szCs w:val="24"/>
                <w:highlight w:val="none"/>
                <w:lang w:val="en-US" w:eastAsia="zh-CN"/>
              </w:rPr>
              <w:t>防治措施</w:t>
            </w:r>
          </w:p>
          <w:p w14:paraId="3832A5B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1）建筑垃圾</w:t>
            </w:r>
          </w:p>
          <w:p w14:paraId="3E7A79A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本项目施工期建筑垃圾主要为废弃的钢材、废弃施工材料、废弃包装袋等。建筑垃圾可回收利用的回收利用，不可回收利用的统一清运至当地政府部门指定地点处置，不得随意堆放。</w:t>
            </w:r>
          </w:p>
          <w:p w14:paraId="2D8B803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2）施工人员产生的生活垃圾</w:t>
            </w:r>
          </w:p>
          <w:p w14:paraId="7172ADC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本项目施工人员均为周边居民，不在场地内食宿，施工人员生活垃圾产生量较少，集中收集后，定期清运至周边村庄垃圾收集点处置，对周围环境影响较小。</w:t>
            </w:r>
          </w:p>
          <w:p w14:paraId="06BFB33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3）土石方</w:t>
            </w:r>
          </w:p>
          <w:p w14:paraId="3792F08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根据现场踏勘，本项目初期雨水收集池、渗滤液收集池等建设时，需开挖地面，土石方开挖量不大，可以用于场地内低洼处回填，能做到土石方内部平衡，无废弃土石方产生，无需设置永久弃渣场。</w:t>
            </w:r>
          </w:p>
          <w:p w14:paraId="4D3E02E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综上所述，施工期采取本环评提出的污染防治措施后，施工废气、噪声对周围环境影响较小，施工废水回用，施工固废处置率100%，且施工期影响随着施工结束而消失，则本项目施工期对周围环境的影响可以接受。</w:t>
            </w:r>
          </w:p>
        </w:tc>
      </w:tr>
      <w:tr w14:paraId="38C0B2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84" w:hRule="atLeast"/>
          <w:jc w:val="center"/>
        </w:trPr>
        <w:tc>
          <w:tcPr>
            <w:tcW w:w="295" w:type="dxa"/>
            <w:tcMar>
              <w:left w:w="28" w:type="dxa"/>
              <w:right w:w="28" w:type="dxa"/>
            </w:tcMar>
            <w:vAlign w:val="center"/>
          </w:tcPr>
          <w:p w14:paraId="74313B86">
            <w:pPr>
              <w:jc w:val="center"/>
              <w:rPr>
                <w:bCs/>
                <w:color w:val="auto"/>
                <w:kern w:val="0"/>
                <w:szCs w:val="21"/>
                <w:highlight w:val="none"/>
              </w:rPr>
            </w:pPr>
            <w:r>
              <w:rPr>
                <w:bCs/>
                <w:color w:val="auto"/>
                <w:kern w:val="0"/>
                <w:sz w:val="24"/>
                <w:highlight w:val="none"/>
              </w:rPr>
              <w:t>运营期环境影响和保护措施</w:t>
            </w:r>
          </w:p>
        </w:tc>
        <w:tc>
          <w:tcPr>
            <w:tcW w:w="8913" w:type="dxa"/>
          </w:tcPr>
          <w:p w14:paraId="1FC57DF7">
            <w:pPr>
              <w:spacing w:before="120" w:beforeLines="50" w:line="360" w:lineRule="auto"/>
              <w:rPr>
                <w:b/>
                <w:color w:val="auto"/>
                <w:kern w:val="0"/>
                <w:sz w:val="24"/>
                <w:highlight w:val="none"/>
              </w:rPr>
            </w:pPr>
            <w:r>
              <w:rPr>
                <w:rFonts w:hint="eastAsia"/>
                <w:b/>
                <w:color w:val="auto"/>
                <w:kern w:val="0"/>
                <w:sz w:val="24"/>
                <w:highlight w:val="none"/>
                <w:lang w:val="en-US" w:eastAsia="zh-CN"/>
              </w:rPr>
              <w:t>1</w:t>
            </w:r>
            <w:r>
              <w:rPr>
                <w:rFonts w:hint="eastAsia"/>
                <w:b/>
                <w:color w:val="auto"/>
                <w:kern w:val="0"/>
                <w:sz w:val="24"/>
                <w:highlight w:val="none"/>
              </w:rPr>
              <w:t>、运营期</w:t>
            </w:r>
            <w:r>
              <w:rPr>
                <w:b/>
                <w:color w:val="auto"/>
                <w:kern w:val="0"/>
                <w:sz w:val="24"/>
                <w:highlight w:val="none"/>
              </w:rPr>
              <w:t>废气</w:t>
            </w:r>
            <w:r>
              <w:rPr>
                <w:rFonts w:hint="eastAsia"/>
                <w:b/>
                <w:color w:val="auto"/>
                <w:kern w:val="0"/>
                <w:sz w:val="24"/>
                <w:highlight w:val="none"/>
              </w:rPr>
              <w:t>环境影响及保护措施</w:t>
            </w:r>
          </w:p>
          <w:p w14:paraId="767E30FD">
            <w:pPr>
              <w:spacing w:line="360" w:lineRule="auto"/>
              <w:ind w:firstLine="482" w:firstLineChars="200"/>
              <w:rPr>
                <w:b/>
                <w:color w:val="auto"/>
                <w:kern w:val="0"/>
                <w:sz w:val="24"/>
                <w:highlight w:val="none"/>
              </w:rPr>
            </w:pPr>
            <w:r>
              <w:rPr>
                <w:rFonts w:hint="eastAsia"/>
                <w:b/>
                <w:color w:val="auto"/>
                <w:kern w:val="0"/>
                <w:sz w:val="24"/>
                <w:highlight w:val="none"/>
                <w:lang w:eastAsia="zh-CN"/>
              </w:rPr>
              <w:t>（</w:t>
            </w:r>
            <w:r>
              <w:rPr>
                <w:rFonts w:hint="eastAsia"/>
                <w:b/>
                <w:color w:val="auto"/>
                <w:kern w:val="0"/>
                <w:sz w:val="24"/>
                <w:highlight w:val="none"/>
                <w:lang w:val="en-US" w:eastAsia="zh-CN"/>
              </w:rPr>
              <w:t>1</w:t>
            </w:r>
            <w:r>
              <w:rPr>
                <w:rFonts w:hint="eastAsia"/>
                <w:b/>
                <w:color w:val="auto"/>
                <w:kern w:val="0"/>
                <w:sz w:val="24"/>
                <w:highlight w:val="none"/>
                <w:lang w:eastAsia="zh-CN"/>
              </w:rPr>
              <w:t>）</w:t>
            </w:r>
            <w:r>
              <w:rPr>
                <w:rFonts w:hint="eastAsia"/>
                <w:b/>
                <w:color w:val="auto"/>
                <w:kern w:val="0"/>
                <w:sz w:val="24"/>
                <w:highlight w:val="none"/>
              </w:rPr>
              <w:t>产排污环节及污染物种类</w:t>
            </w:r>
          </w:p>
          <w:p w14:paraId="622A45F4">
            <w:pPr>
              <w:spacing w:line="360" w:lineRule="auto"/>
              <w:ind w:firstLine="480" w:firstLineChars="200"/>
              <w:rPr>
                <w:bCs/>
                <w:color w:val="auto"/>
                <w:kern w:val="0"/>
                <w:sz w:val="24"/>
                <w:highlight w:val="none"/>
              </w:rPr>
            </w:pPr>
            <w:r>
              <w:rPr>
                <w:rFonts w:hint="eastAsia"/>
                <w:bCs/>
                <w:color w:val="auto"/>
                <w:kern w:val="0"/>
                <w:sz w:val="24"/>
                <w:highlight w:val="none"/>
              </w:rPr>
              <w:t>项目产排污环节及污染物种类见表4-1。</w:t>
            </w:r>
          </w:p>
          <w:p w14:paraId="0ACA9F26">
            <w:pPr>
              <w:pStyle w:val="69"/>
              <w:ind w:firstLine="514"/>
              <w:jc w:val="center"/>
              <w:rPr>
                <w:rFonts w:ascii="Times New Roman" w:hAnsi="Times New Roman" w:cs="Times New Roman"/>
                <w:b/>
                <w:bCs/>
                <w:color w:val="auto"/>
                <w:highlight w:val="none"/>
                <w:lang w:eastAsia="zh-CN"/>
              </w:rPr>
            </w:pPr>
            <w:r>
              <w:rPr>
                <w:rFonts w:ascii="Times New Roman" w:hAnsi="Times New Roman" w:cs="Times New Roman"/>
                <w:b/>
                <w:bCs/>
                <w:color w:val="auto"/>
                <w:spacing w:val="8"/>
                <w:highlight w:val="none"/>
                <w:lang w:eastAsia="zh-CN"/>
              </w:rPr>
              <w:t>表</w:t>
            </w:r>
            <w:r>
              <w:rPr>
                <w:rFonts w:ascii="Times New Roman" w:hAnsi="Times New Roman" w:eastAsia="Times New Roman" w:cs="Times New Roman"/>
                <w:b/>
                <w:bCs/>
                <w:color w:val="auto"/>
                <w:spacing w:val="8"/>
                <w:highlight w:val="none"/>
                <w:lang w:eastAsia="zh-CN"/>
              </w:rPr>
              <w:t xml:space="preserve">4-1 </w:t>
            </w:r>
            <w:r>
              <w:rPr>
                <w:rFonts w:ascii="Times New Roman" w:hAnsi="Times New Roman" w:cs="Times New Roman"/>
                <w:b/>
                <w:bCs/>
                <w:color w:val="auto"/>
                <w:spacing w:val="8"/>
                <w:highlight w:val="none"/>
                <w:lang w:eastAsia="zh-CN"/>
              </w:rPr>
              <w:t xml:space="preserve"> </w:t>
            </w:r>
            <w:r>
              <w:rPr>
                <w:rFonts w:hint="eastAsia" w:ascii="Times New Roman" w:hAnsi="Times New Roman" w:cs="Times New Roman"/>
                <w:b/>
                <w:bCs/>
                <w:color w:val="auto"/>
                <w:spacing w:val="8"/>
                <w:highlight w:val="none"/>
                <w:lang w:eastAsia="zh-CN"/>
              </w:rPr>
              <w:t>改扩建新增</w:t>
            </w:r>
            <w:r>
              <w:rPr>
                <w:rFonts w:ascii="Times New Roman" w:hAnsi="Times New Roman" w:cs="Times New Roman"/>
                <w:b/>
                <w:bCs/>
                <w:color w:val="auto"/>
                <w:spacing w:val="8"/>
                <w:highlight w:val="none"/>
                <w:lang w:eastAsia="zh-CN"/>
              </w:rPr>
              <w:t>废气产污环节名称、污染物项目和排放形式一览表</w:t>
            </w:r>
          </w:p>
          <w:tbl>
            <w:tblPr>
              <w:tblStyle w:val="120"/>
              <w:tblW w:w="497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85" w:type="dxa"/>
                <w:bottom w:w="0" w:type="dxa"/>
                <w:right w:w="85" w:type="dxa"/>
              </w:tblCellMar>
            </w:tblPr>
            <w:tblGrid>
              <w:gridCol w:w="990"/>
              <w:gridCol w:w="986"/>
              <w:gridCol w:w="810"/>
              <w:gridCol w:w="2269"/>
              <w:gridCol w:w="2721"/>
              <w:gridCol w:w="867"/>
            </w:tblGrid>
            <w:tr w14:paraId="2D1F7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397" w:hRule="atLeast"/>
              </w:trPr>
              <w:tc>
                <w:tcPr>
                  <w:tcW w:w="572" w:type="pct"/>
                  <w:tcBorders>
                    <w:bottom w:val="single" w:color="auto" w:sz="4" w:space="0"/>
                  </w:tcBorders>
                  <w:vAlign w:val="center"/>
                </w:tcPr>
                <w:p w14:paraId="1A4831CD">
                  <w:pPr>
                    <w:keepNext w:val="0"/>
                    <w:keepLines w:val="0"/>
                    <w:pageBreakBefore w:val="0"/>
                    <w:kinsoku/>
                    <w:wordWrap/>
                    <w:overflowPunct/>
                    <w:topLinePunct w:val="0"/>
                    <w:autoSpaceDE/>
                    <w:autoSpaceDN/>
                    <w:bidi w:val="0"/>
                    <w:adjustRightInd w:val="0"/>
                    <w:snapToGrid w:val="0"/>
                    <w:spacing w:line="320" w:lineRule="exact"/>
                    <w:jc w:val="center"/>
                    <w:rPr>
                      <w:b/>
                      <w:bCs/>
                      <w:color w:val="auto"/>
                      <w:highlight w:val="none"/>
                    </w:rPr>
                  </w:pPr>
                  <w:r>
                    <w:rPr>
                      <w:b/>
                      <w:bCs/>
                      <w:color w:val="auto"/>
                      <w:highlight w:val="none"/>
                    </w:rPr>
                    <w:t>生产单元</w:t>
                  </w:r>
                </w:p>
              </w:tc>
              <w:tc>
                <w:tcPr>
                  <w:tcW w:w="570" w:type="pct"/>
                  <w:vAlign w:val="center"/>
                </w:tcPr>
                <w:p w14:paraId="5EAB3367">
                  <w:pPr>
                    <w:keepNext w:val="0"/>
                    <w:keepLines w:val="0"/>
                    <w:pageBreakBefore w:val="0"/>
                    <w:kinsoku/>
                    <w:wordWrap/>
                    <w:overflowPunct/>
                    <w:topLinePunct w:val="0"/>
                    <w:autoSpaceDE/>
                    <w:autoSpaceDN/>
                    <w:bidi w:val="0"/>
                    <w:adjustRightInd w:val="0"/>
                    <w:snapToGrid w:val="0"/>
                    <w:spacing w:line="320" w:lineRule="exact"/>
                    <w:jc w:val="center"/>
                    <w:rPr>
                      <w:b/>
                      <w:bCs/>
                      <w:color w:val="auto"/>
                      <w:highlight w:val="none"/>
                    </w:rPr>
                  </w:pPr>
                  <w:r>
                    <w:rPr>
                      <w:b/>
                      <w:bCs/>
                      <w:color w:val="auto"/>
                      <w:highlight w:val="none"/>
                    </w:rPr>
                    <w:t>废气产</w:t>
                  </w:r>
                </w:p>
                <w:p w14:paraId="68DFDD84">
                  <w:pPr>
                    <w:keepNext w:val="0"/>
                    <w:keepLines w:val="0"/>
                    <w:pageBreakBefore w:val="0"/>
                    <w:kinsoku/>
                    <w:wordWrap/>
                    <w:overflowPunct/>
                    <w:topLinePunct w:val="0"/>
                    <w:autoSpaceDE/>
                    <w:autoSpaceDN/>
                    <w:bidi w:val="0"/>
                    <w:adjustRightInd w:val="0"/>
                    <w:snapToGrid w:val="0"/>
                    <w:spacing w:line="320" w:lineRule="exact"/>
                    <w:jc w:val="center"/>
                    <w:rPr>
                      <w:b/>
                      <w:bCs/>
                      <w:color w:val="auto"/>
                      <w:highlight w:val="none"/>
                    </w:rPr>
                  </w:pPr>
                  <w:r>
                    <w:rPr>
                      <w:b/>
                      <w:bCs/>
                      <w:color w:val="auto"/>
                      <w:highlight w:val="none"/>
                    </w:rPr>
                    <w:t>污环节</w:t>
                  </w:r>
                </w:p>
              </w:tc>
              <w:tc>
                <w:tcPr>
                  <w:tcW w:w="468" w:type="pct"/>
                  <w:vAlign w:val="center"/>
                </w:tcPr>
                <w:p w14:paraId="6F420EC1">
                  <w:pPr>
                    <w:keepNext w:val="0"/>
                    <w:keepLines w:val="0"/>
                    <w:pageBreakBefore w:val="0"/>
                    <w:kinsoku/>
                    <w:wordWrap/>
                    <w:overflowPunct/>
                    <w:topLinePunct w:val="0"/>
                    <w:autoSpaceDE/>
                    <w:autoSpaceDN/>
                    <w:bidi w:val="0"/>
                    <w:adjustRightInd w:val="0"/>
                    <w:snapToGrid w:val="0"/>
                    <w:spacing w:line="320" w:lineRule="exact"/>
                    <w:jc w:val="center"/>
                    <w:rPr>
                      <w:b/>
                      <w:bCs/>
                      <w:color w:val="auto"/>
                      <w:highlight w:val="none"/>
                    </w:rPr>
                  </w:pPr>
                  <w:r>
                    <w:rPr>
                      <w:rFonts w:hint="eastAsia"/>
                      <w:b/>
                      <w:bCs/>
                      <w:color w:val="auto"/>
                      <w:highlight w:val="none"/>
                    </w:rPr>
                    <w:t>序号</w:t>
                  </w:r>
                </w:p>
              </w:tc>
              <w:tc>
                <w:tcPr>
                  <w:tcW w:w="1312" w:type="pct"/>
                  <w:vAlign w:val="center"/>
                </w:tcPr>
                <w:p w14:paraId="543D0157">
                  <w:pPr>
                    <w:keepNext w:val="0"/>
                    <w:keepLines w:val="0"/>
                    <w:pageBreakBefore w:val="0"/>
                    <w:kinsoku/>
                    <w:wordWrap/>
                    <w:overflowPunct/>
                    <w:topLinePunct w:val="0"/>
                    <w:autoSpaceDE/>
                    <w:autoSpaceDN/>
                    <w:bidi w:val="0"/>
                    <w:adjustRightInd w:val="0"/>
                    <w:snapToGrid w:val="0"/>
                    <w:spacing w:line="320" w:lineRule="exact"/>
                    <w:jc w:val="center"/>
                    <w:rPr>
                      <w:b/>
                      <w:bCs/>
                      <w:color w:val="auto"/>
                      <w:highlight w:val="none"/>
                    </w:rPr>
                  </w:pPr>
                  <w:r>
                    <w:rPr>
                      <w:b/>
                      <w:bCs/>
                      <w:color w:val="auto"/>
                      <w:highlight w:val="none"/>
                    </w:rPr>
                    <w:t>主要污染物</w:t>
                  </w:r>
                </w:p>
              </w:tc>
              <w:tc>
                <w:tcPr>
                  <w:tcW w:w="1574" w:type="pct"/>
                  <w:vAlign w:val="center"/>
                </w:tcPr>
                <w:p w14:paraId="436950EE">
                  <w:pPr>
                    <w:keepNext w:val="0"/>
                    <w:keepLines w:val="0"/>
                    <w:pageBreakBefore w:val="0"/>
                    <w:kinsoku/>
                    <w:wordWrap/>
                    <w:overflowPunct/>
                    <w:topLinePunct w:val="0"/>
                    <w:autoSpaceDE/>
                    <w:autoSpaceDN/>
                    <w:bidi w:val="0"/>
                    <w:adjustRightInd w:val="0"/>
                    <w:snapToGrid w:val="0"/>
                    <w:spacing w:line="320" w:lineRule="exact"/>
                    <w:jc w:val="center"/>
                    <w:rPr>
                      <w:b/>
                      <w:bCs/>
                      <w:color w:val="auto"/>
                      <w:highlight w:val="none"/>
                    </w:rPr>
                  </w:pPr>
                  <w:r>
                    <w:rPr>
                      <w:b/>
                      <w:bCs/>
                      <w:color w:val="auto"/>
                      <w:highlight w:val="none"/>
                    </w:rPr>
                    <w:t>污染治理措施</w:t>
                  </w:r>
                </w:p>
              </w:tc>
              <w:tc>
                <w:tcPr>
                  <w:tcW w:w="501" w:type="pct"/>
                  <w:vAlign w:val="center"/>
                </w:tcPr>
                <w:p w14:paraId="3A528AA3">
                  <w:pPr>
                    <w:keepNext w:val="0"/>
                    <w:keepLines w:val="0"/>
                    <w:pageBreakBefore w:val="0"/>
                    <w:kinsoku/>
                    <w:wordWrap/>
                    <w:overflowPunct/>
                    <w:topLinePunct w:val="0"/>
                    <w:autoSpaceDE/>
                    <w:autoSpaceDN/>
                    <w:bidi w:val="0"/>
                    <w:adjustRightInd w:val="0"/>
                    <w:snapToGrid w:val="0"/>
                    <w:spacing w:line="320" w:lineRule="exact"/>
                    <w:jc w:val="center"/>
                    <w:rPr>
                      <w:b/>
                      <w:bCs/>
                      <w:color w:val="auto"/>
                      <w:highlight w:val="none"/>
                    </w:rPr>
                  </w:pPr>
                  <w:r>
                    <w:rPr>
                      <w:b/>
                      <w:bCs/>
                      <w:color w:val="auto"/>
                      <w:highlight w:val="none"/>
                    </w:rPr>
                    <w:t>主要排</w:t>
                  </w:r>
                </w:p>
                <w:p w14:paraId="0B9D5055">
                  <w:pPr>
                    <w:keepNext w:val="0"/>
                    <w:keepLines w:val="0"/>
                    <w:pageBreakBefore w:val="0"/>
                    <w:kinsoku/>
                    <w:wordWrap/>
                    <w:overflowPunct/>
                    <w:topLinePunct w:val="0"/>
                    <w:autoSpaceDE/>
                    <w:autoSpaceDN/>
                    <w:bidi w:val="0"/>
                    <w:adjustRightInd w:val="0"/>
                    <w:snapToGrid w:val="0"/>
                    <w:spacing w:line="320" w:lineRule="exact"/>
                    <w:jc w:val="center"/>
                    <w:rPr>
                      <w:b/>
                      <w:bCs/>
                      <w:color w:val="auto"/>
                      <w:highlight w:val="none"/>
                    </w:rPr>
                  </w:pPr>
                  <w:r>
                    <w:rPr>
                      <w:b/>
                      <w:bCs/>
                      <w:color w:val="auto"/>
                      <w:highlight w:val="none"/>
                    </w:rPr>
                    <w:t>放形式</w:t>
                  </w:r>
                </w:p>
              </w:tc>
            </w:tr>
            <w:tr w14:paraId="5CCB6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397" w:hRule="atLeast"/>
              </w:trPr>
              <w:tc>
                <w:tcPr>
                  <w:tcW w:w="572" w:type="pct"/>
                  <w:vMerge w:val="restart"/>
                  <w:tcBorders>
                    <w:top w:val="single" w:color="auto" w:sz="4" w:space="0"/>
                    <w:left w:val="single" w:color="auto" w:sz="4" w:space="0"/>
                    <w:right w:val="single" w:color="auto" w:sz="4" w:space="0"/>
                  </w:tcBorders>
                  <w:vAlign w:val="center"/>
                </w:tcPr>
                <w:p w14:paraId="2BA8DEF3">
                  <w:pPr>
                    <w:keepNext w:val="0"/>
                    <w:keepLines w:val="0"/>
                    <w:pageBreakBefore w:val="0"/>
                    <w:widowControl/>
                    <w:kinsoku/>
                    <w:wordWrap/>
                    <w:overflowPunct/>
                    <w:topLinePunct w:val="0"/>
                    <w:autoSpaceDE/>
                    <w:autoSpaceDN/>
                    <w:bidi w:val="0"/>
                    <w:spacing w:line="320" w:lineRule="exact"/>
                    <w:jc w:val="center"/>
                    <w:textAlignment w:val="center"/>
                    <w:rPr>
                      <w:color w:val="auto"/>
                      <w:highlight w:val="none"/>
                    </w:rPr>
                  </w:pPr>
                  <w:r>
                    <w:rPr>
                      <w:color w:val="auto"/>
                      <w:sz w:val="22"/>
                      <w:szCs w:val="22"/>
                      <w:highlight w:val="none"/>
                    </w:rPr>
                    <w:t>液态水溶性肥料生产线</w:t>
                  </w:r>
                </w:p>
              </w:tc>
              <w:tc>
                <w:tcPr>
                  <w:tcW w:w="570" w:type="pct"/>
                  <w:tcBorders>
                    <w:left w:val="single" w:color="auto" w:sz="4" w:space="0"/>
                  </w:tcBorders>
                  <w:vAlign w:val="center"/>
                </w:tcPr>
                <w:p w14:paraId="087DD5F7">
                  <w:pPr>
                    <w:keepNext w:val="0"/>
                    <w:keepLines w:val="0"/>
                    <w:pageBreakBefore w:val="0"/>
                    <w:kinsoku/>
                    <w:wordWrap/>
                    <w:overflowPunct/>
                    <w:topLinePunct w:val="0"/>
                    <w:autoSpaceDE/>
                    <w:autoSpaceDN/>
                    <w:bidi w:val="0"/>
                    <w:adjustRightInd w:val="0"/>
                    <w:snapToGrid w:val="0"/>
                    <w:spacing w:line="320" w:lineRule="exact"/>
                    <w:jc w:val="center"/>
                    <w:rPr>
                      <w:rFonts w:hint="default"/>
                      <w:color w:val="auto"/>
                      <w:highlight w:val="none"/>
                      <w:lang w:val="en-US"/>
                    </w:rPr>
                  </w:pPr>
                  <w:r>
                    <w:rPr>
                      <w:rFonts w:hint="eastAsia"/>
                      <w:color w:val="auto"/>
                      <w:highlight w:val="none"/>
                      <w:lang w:val="en-US" w:eastAsia="zh-CN"/>
                    </w:rPr>
                    <w:t>一次投料、搅拌</w:t>
                  </w:r>
                </w:p>
              </w:tc>
              <w:tc>
                <w:tcPr>
                  <w:tcW w:w="468" w:type="pct"/>
                  <w:vAlign w:val="center"/>
                </w:tcPr>
                <w:p w14:paraId="5E86155B">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highlight w:val="none"/>
                      <w:lang w:val="en-US" w:eastAsia="zh-CN"/>
                    </w:rPr>
                  </w:pPr>
                  <w:r>
                    <w:rPr>
                      <w:rFonts w:hint="eastAsia"/>
                      <w:color w:val="auto"/>
                      <w:highlight w:val="none"/>
                      <w:lang w:val="en-US" w:eastAsia="zh-CN"/>
                    </w:rPr>
                    <w:t>G1</w:t>
                  </w:r>
                </w:p>
              </w:tc>
              <w:tc>
                <w:tcPr>
                  <w:tcW w:w="1312" w:type="pct"/>
                  <w:vAlign w:val="center"/>
                </w:tcPr>
                <w:p w14:paraId="58EE3FD7">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szCs w:val="21"/>
                      <w:highlight w:val="none"/>
                      <w:lang w:val="en-US" w:eastAsia="zh-CN"/>
                    </w:rPr>
                  </w:pPr>
                  <w:r>
                    <w:rPr>
                      <w:rFonts w:hint="eastAsia"/>
                      <w:color w:val="auto"/>
                      <w:szCs w:val="21"/>
                      <w:highlight w:val="none"/>
                      <w:lang w:val="en-US" w:eastAsia="zh-CN"/>
                    </w:rPr>
                    <w:t>颗粒物</w:t>
                  </w:r>
                </w:p>
              </w:tc>
              <w:tc>
                <w:tcPr>
                  <w:tcW w:w="1574" w:type="pct"/>
                  <w:vAlign w:val="center"/>
                </w:tcPr>
                <w:p w14:paraId="4713F7A4">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highlight w:val="none"/>
                      <w:lang w:val="en-US" w:eastAsia="zh-CN"/>
                    </w:rPr>
                  </w:pPr>
                  <w:r>
                    <w:rPr>
                      <w:rFonts w:hint="eastAsia"/>
                      <w:color w:val="auto"/>
                      <w:highlight w:val="none"/>
                      <w:lang w:val="en-US" w:eastAsia="zh-CN"/>
                    </w:rPr>
                    <w:t>物料投料轻拿轻放、湿法搅拌。</w:t>
                  </w:r>
                </w:p>
              </w:tc>
              <w:tc>
                <w:tcPr>
                  <w:tcW w:w="501" w:type="pct"/>
                  <w:vAlign w:val="center"/>
                </w:tcPr>
                <w:p w14:paraId="641034EE">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highlight w:val="none"/>
                      <w:lang w:val="en-US" w:eastAsia="zh-CN"/>
                    </w:rPr>
                  </w:pPr>
                  <w:r>
                    <w:rPr>
                      <w:rFonts w:hint="eastAsia"/>
                      <w:color w:val="auto"/>
                      <w:highlight w:val="none"/>
                      <w:lang w:val="en-US" w:eastAsia="zh-CN"/>
                    </w:rPr>
                    <w:t>无组织</w:t>
                  </w:r>
                </w:p>
              </w:tc>
            </w:tr>
            <w:tr w14:paraId="3897B0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397" w:hRule="atLeast"/>
              </w:trPr>
              <w:tc>
                <w:tcPr>
                  <w:tcW w:w="572" w:type="pct"/>
                  <w:vMerge w:val="continue"/>
                  <w:tcBorders>
                    <w:left w:val="single" w:color="auto" w:sz="4" w:space="0"/>
                    <w:right w:val="single" w:color="auto" w:sz="4" w:space="0"/>
                  </w:tcBorders>
                  <w:vAlign w:val="center"/>
                </w:tcPr>
                <w:p w14:paraId="2DD629B5">
                  <w:pPr>
                    <w:keepNext w:val="0"/>
                    <w:keepLines w:val="0"/>
                    <w:pageBreakBefore w:val="0"/>
                    <w:widowControl/>
                    <w:kinsoku/>
                    <w:wordWrap/>
                    <w:overflowPunct/>
                    <w:topLinePunct w:val="0"/>
                    <w:autoSpaceDE/>
                    <w:autoSpaceDN/>
                    <w:bidi w:val="0"/>
                    <w:spacing w:line="320" w:lineRule="exact"/>
                    <w:jc w:val="center"/>
                    <w:textAlignment w:val="center"/>
                    <w:rPr>
                      <w:color w:val="auto"/>
                      <w:sz w:val="22"/>
                      <w:szCs w:val="22"/>
                      <w:highlight w:val="none"/>
                    </w:rPr>
                  </w:pPr>
                </w:p>
              </w:tc>
              <w:tc>
                <w:tcPr>
                  <w:tcW w:w="570" w:type="pct"/>
                  <w:tcBorders>
                    <w:left w:val="single" w:color="auto" w:sz="4" w:space="0"/>
                  </w:tcBorders>
                  <w:vAlign w:val="center"/>
                </w:tcPr>
                <w:p w14:paraId="38FF21D4">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highlight w:val="none"/>
                      <w:lang w:val="en-US" w:eastAsia="zh-CN"/>
                    </w:rPr>
                  </w:pPr>
                  <w:r>
                    <w:rPr>
                      <w:rFonts w:hint="eastAsia"/>
                      <w:color w:val="auto"/>
                      <w:highlight w:val="none"/>
                    </w:rPr>
                    <w:t>发酵</w:t>
                  </w:r>
                </w:p>
              </w:tc>
              <w:tc>
                <w:tcPr>
                  <w:tcW w:w="468" w:type="pct"/>
                  <w:shd w:val="clear" w:color="auto" w:fill="auto"/>
                  <w:vAlign w:val="center"/>
                </w:tcPr>
                <w:p w14:paraId="7348CCA5">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G2</w:t>
                  </w:r>
                </w:p>
              </w:tc>
              <w:tc>
                <w:tcPr>
                  <w:tcW w:w="1312" w:type="pct"/>
                  <w:shd w:val="clear" w:color="auto" w:fill="auto"/>
                  <w:vAlign w:val="center"/>
                </w:tcPr>
                <w:p w14:paraId="18356ECB">
                  <w:pPr>
                    <w:keepNext w:val="0"/>
                    <w:keepLines w:val="0"/>
                    <w:pageBreakBefore w:val="0"/>
                    <w:kinsoku/>
                    <w:wordWrap/>
                    <w:overflowPunct/>
                    <w:topLinePunct w:val="0"/>
                    <w:autoSpaceDE/>
                    <w:autoSpaceDN/>
                    <w:bidi w:val="0"/>
                    <w:adjustRightInd w:val="0"/>
                    <w:snapToGrid w:val="0"/>
                    <w:spacing w:line="320" w:lineRule="exact"/>
                    <w:jc w:val="center"/>
                    <w:rPr>
                      <w:rFonts w:hint="eastAsia"/>
                      <w:bCs/>
                      <w:color w:val="auto"/>
                      <w:kern w:val="0"/>
                      <w:szCs w:val="21"/>
                      <w:highlight w:val="none"/>
                    </w:rPr>
                  </w:pPr>
                  <w:r>
                    <w:rPr>
                      <w:rFonts w:hint="eastAsia"/>
                      <w:bCs/>
                      <w:color w:val="auto"/>
                      <w:kern w:val="0"/>
                      <w:szCs w:val="21"/>
                      <w:highlight w:val="none"/>
                    </w:rPr>
                    <w:t>氨、臭气浓度、</w:t>
                  </w:r>
                </w:p>
                <w:p w14:paraId="2CF3A5DD">
                  <w:pPr>
                    <w:keepNext w:val="0"/>
                    <w:keepLines w:val="0"/>
                    <w:pageBreakBefore w:val="0"/>
                    <w:kinsoku/>
                    <w:wordWrap/>
                    <w:overflowPunct/>
                    <w:topLinePunct w:val="0"/>
                    <w:autoSpaceDE/>
                    <w:autoSpaceDN/>
                    <w:bidi w:val="0"/>
                    <w:adjustRightInd w:val="0"/>
                    <w:snapToGrid w:val="0"/>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bCs/>
                      <w:color w:val="auto"/>
                      <w:kern w:val="0"/>
                      <w:szCs w:val="21"/>
                      <w:highlight w:val="none"/>
                    </w:rPr>
                    <w:t>硫化氢</w:t>
                  </w:r>
                </w:p>
              </w:tc>
              <w:tc>
                <w:tcPr>
                  <w:tcW w:w="1574" w:type="pct"/>
                  <w:shd w:val="clear" w:color="auto" w:fill="auto"/>
                  <w:vAlign w:val="center"/>
                </w:tcPr>
                <w:p w14:paraId="319B031C">
                  <w:pPr>
                    <w:keepNext w:val="0"/>
                    <w:keepLines w:val="0"/>
                    <w:pageBreakBefore w:val="0"/>
                    <w:kinsoku/>
                    <w:wordWrap/>
                    <w:overflowPunct/>
                    <w:topLinePunct w:val="0"/>
                    <w:autoSpaceDE/>
                    <w:autoSpaceDN/>
                    <w:bidi w:val="0"/>
                    <w:adjustRightInd w:val="0"/>
                    <w:snapToGrid w:val="0"/>
                    <w:spacing w:line="320" w:lineRule="exact"/>
                    <w:jc w:val="both"/>
                    <w:rPr>
                      <w:rFonts w:hint="eastAsia" w:eastAsia="宋体"/>
                      <w:color w:val="auto"/>
                      <w:highlight w:val="none"/>
                      <w:lang w:eastAsia="zh-CN"/>
                    </w:rPr>
                  </w:pPr>
                  <w:r>
                    <w:rPr>
                      <w:rFonts w:hint="eastAsia" w:ascii="Times New Roman" w:hAnsi="Times New Roman" w:eastAsia="宋体" w:cs="Times New Roman"/>
                      <w:color w:val="auto"/>
                      <w:kern w:val="2"/>
                      <w:sz w:val="21"/>
                      <w:szCs w:val="24"/>
                      <w:highlight w:val="none"/>
                      <w:lang w:val="en-US" w:eastAsia="zh-CN" w:bidi="ar-SA"/>
                    </w:rPr>
                    <w:t>发酵罐密封</w:t>
                  </w:r>
                  <w:r>
                    <w:rPr>
                      <w:rFonts w:hint="eastAsia" w:cs="Times New Roman"/>
                      <w:color w:val="auto"/>
                      <w:kern w:val="2"/>
                      <w:sz w:val="21"/>
                      <w:szCs w:val="24"/>
                      <w:highlight w:val="none"/>
                      <w:lang w:val="en-US" w:eastAsia="zh-CN" w:bidi="ar-SA"/>
                    </w:rPr>
                    <w:t>发酵并</w:t>
                  </w:r>
                  <w:r>
                    <w:rPr>
                      <w:rFonts w:hint="eastAsia" w:ascii="Times New Roman" w:hAnsi="Times New Roman" w:eastAsia="宋体" w:cs="Times New Roman"/>
                      <w:color w:val="auto"/>
                      <w:kern w:val="2"/>
                      <w:sz w:val="21"/>
                      <w:szCs w:val="24"/>
                      <w:highlight w:val="none"/>
                      <w:lang w:val="en-US" w:eastAsia="zh-CN" w:bidi="ar-SA"/>
                    </w:rPr>
                    <w:t>采取发酵罐及时清洗、加强通风</w:t>
                  </w:r>
                  <w:r>
                    <w:rPr>
                      <w:rFonts w:hint="eastAsia" w:cs="Times New Roman"/>
                      <w:color w:val="auto"/>
                      <w:kern w:val="2"/>
                      <w:sz w:val="21"/>
                      <w:szCs w:val="24"/>
                      <w:highlight w:val="none"/>
                      <w:lang w:val="en-US" w:eastAsia="zh-CN" w:bidi="ar-SA"/>
                    </w:rPr>
                    <w:t>、开罐和搅拌期间</w:t>
                  </w:r>
                  <w:r>
                    <w:rPr>
                      <w:rFonts w:hint="eastAsia" w:ascii="Times New Roman" w:hAnsi="Times New Roman" w:eastAsia="宋体" w:cs="Times New Roman"/>
                      <w:color w:val="auto"/>
                      <w:kern w:val="2"/>
                      <w:sz w:val="21"/>
                      <w:szCs w:val="24"/>
                      <w:highlight w:val="none"/>
                      <w:lang w:val="en-US" w:eastAsia="zh-CN" w:bidi="ar-SA"/>
                    </w:rPr>
                    <w:t>喷洒除臭剂。</w:t>
                  </w:r>
                </w:p>
              </w:tc>
              <w:tc>
                <w:tcPr>
                  <w:tcW w:w="501" w:type="pct"/>
                  <w:shd w:val="clear" w:color="auto" w:fill="auto"/>
                  <w:vAlign w:val="center"/>
                </w:tcPr>
                <w:p w14:paraId="278862C4">
                  <w:pPr>
                    <w:keepNext w:val="0"/>
                    <w:keepLines w:val="0"/>
                    <w:pageBreakBefore w:val="0"/>
                    <w:kinsoku/>
                    <w:wordWrap/>
                    <w:overflowPunct/>
                    <w:topLinePunct w:val="0"/>
                    <w:autoSpaceDE/>
                    <w:autoSpaceDN/>
                    <w:bidi w:val="0"/>
                    <w:adjustRightInd w:val="0"/>
                    <w:snapToGrid w:val="0"/>
                    <w:spacing w:line="320" w:lineRule="exact"/>
                    <w:jc w:val="center"/>
                    <w:rPr>
                      <w:rFonts w:ascii="Times New Roman" w:hAnsi="Times New Roman" w:eastAsia="宋体" w:cs="Times New Roman"/>
                      <w:color w:val="auto"/>
                      <w:kern w:val="2"/>
                      <w:sz w:val="21"/>
                      <w:szCs w:val="24"/>
                      <w:highlight w:val="none"/>
                      <w:lang w:val="en-US" w:eastAsia="zh-CN" w:bidi="ar-SA"/>
                    </w:rPr>
                  </w:pPr>
                  <w:r>
                    <w:rPr>
                      <w:color w:val="auto"/>
                      <w:highlight w:val="none"/>
                    </w:rPr>
                    <w:t>无组织</w:t>
                  </w:r>
                </w:p>
              </w:tc>
            </w:tr>
            <w:tr w14:paraId="42419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397" w:hRule="atLeast"/>
              </w:trPr>
              <w:tc>
                <w:tcPr>
                  <w:tcW w:w="572" w:type="pct"/>
                  <w:vMerge w:val="continue"/>
                  <w:tcBorders>
                    <w:left w:val="single" w:color="auto" w:sz="4" w:space="0"/>
                    <w:right w:val="single" w:color="auto" w:sz="4" w:space="0"/>
                  </w:tcBorders>
                  <w:vAlign w:val="center"/>
                </w:tcPr>
                <w:p w14:paraId="5C5C5CB3">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c>
                <w:tcPr>
                  <w:tcW w:w="570" w:type="pct"/>
                  <w:tcBorders>
                    <w:left w:val="single" w:color="auto" w:sz="4" w:space="0"/>
                  </w:tcBorders>
                  <w:vAlign w:val="center"/>
                </w:tcPr>
                <w:p w14:paraId="1F4ABC07">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highlight w:val="none"/>
                      <w:lang w:val="en-US" w:eastAsia="zh-CN"/>
                    </w:rPr>
                  </w:pPr>
                  <w:r>
                    <w:rPr>
                      <w:rFonts w:hint="eastAsia"/>
                      <w:color w:val="auto"/>
                      <w:highlight w:val="none"/>
                      <w:lang w:val="en-US" w:eastAsia="zh-CN"/>
                    </w:rPr>
                    <w:t>二次投料、搅拌</w:t>
                  </w:r>
                </w:p>
              </w:tc>
              <w:tc>
                <w:tcPr>
                  <w:tcW w:w="468" w:type="pct"/>
                  <w:vAlign w:val="center"/>
                </w:tcPr>
                <w:p w14:paraId="111C2739">
                  <w:pPr>
                    <w:keepNext w:val="0"/>
                    <w:keepLines w:val="0"/>
                    <w:pageBreakBefore w:val="0"/>
                    <w:kinsoku/>
                    <w:wordWrap/>
                    <w:overflowPunct/>
                    <w:topLinePunct w:val="0"/>
                    <w:autoSpaceDE/>
                    <w:autoSpaceDN/>
                    <w:bidi w:val="0"/>
                    <w:adjustRightInd w:val="0"/>
                    <w:snapToGrid w:val="0"/>
                    <w:spacing w:line="320" w:lineRule="exact"/>
                    <w:jc w:val="center"/>
                    <w:rPr>
                      <w:rFonts w:hint="default"/>
                      <w:color w:val="auto"/>
                      <w:highlight w:val="none"/>
                      <w:lang w:val="en-US"/>
                    </w:rPr>
                  </w:pPr>
                  <w:r>
                    <w:rPr>
                      <w:rFonts w:hint="eastAsia"/>
                      <w:color w:val="auto"/>
                      <w:highlight w:val="none"/>
                      <w:lang w:val="en-US" w:eastAsia="zh-CN"/>
                    </w:rPr>
                    <w:t>G3</w:t>
                  </w:r>
                </w:p>
              </w:tc>
              <w:tc>
                <w:tcPr>
                  <w:tcW w:w="1312" w:type="pct"/>
                  <w:shd w:val="clear" w:color="auto" w:fill="auto"/>
                  <w:vAlign w:val="center"/>
                </w:tcPr>
                <w:p w14:paraId="4F1B0791">
                  <w:pPr>
                    <w:keepNext w:val="0"/>
                    <w:keepLines w:val="0"/>
                    <w:pageBreakBefore w:val="0"/>
                    <w:kinsoku/>
                    <w:wordWrap/>
                    <w:overflowPunct/>
                    <w:topLinePunct w:val="0"/>
                    <w:autoSpaceDE/>
                    <w:autoSpaceDN/>
                    <w:bidi w:val="0"/>
                    <w:adjustRightInd w:val="0"/>
                    <w:snapToGrid w:val="0"/>
                    <w:spacing w:line="320" w:lineRule="exact"/>
                    <w:jc w:val="center"/>
                    <w:rPr>
                      <w:rFonts w:hint="eastAsia"/>
                      <w:bCs/>
                      <w:color w:val="auto"/>
                      <w:kern w:val="0"/>
                      <w:szCs w:val="21"/>
                      <w:highlight w:val="none"/>
                    </w:rPr>
                  </w:pPr>
                  <w:r>
                    <w:rPr>
                      <w:rFonts w:hint="eastAsia"/>
                      <w:bCs/>
                      <w:color w:val="auto"/>
                      <w:kern w:val="0"/>
                      <w:szCs w:val="21"/>
                      <w:highlight w:val="none"/>
                      <w:lang w:val="en-US" w:eastAsia="zh-CN"/>
                    </w:rPr>
                    <w:t>颗粒物、</w:t>
                  </w:r>
                  <w:r>
                    <w:rPr>
                      <w:rFonts w:hint="eastAsia"/>
                      <w:bCs/>
                      <w:color w:val="auto"/>
                      <w:kern w:val="0"/>
                      <w:szCs w:val="21"/>
                      <w:highlight w:val="none"/>
                    </w:rPr>
                    <w:t>氨、</w:t>
                  </w:r>
                </w:p>
                <w:p w14:paraId="00195E8C">
                  <w:pPr>
                    <w:keepNext w:val="0"/>
                    <w:keepLines w:val="0"/>
                    <w:pageBreakBefore w:val="0"/>
                    <w:kinsoku/>
                    <w:wordWrap/>
                    <w:overflowPunct/>
                    <w:topLinePunct w:val="0"/>
                    <w:autoSpaceDE/>
                    <w:autoSpaceDN/>
                    <w:bidi w:val="0"/>
                    <w:adjustRightInd w:val="0"/>
                    <w:snapToGrid w:val="0"/>
                    <w:spacing w:line="320" w:lineRule="exact"/>
                    <w:jc w:val="center"/>
                    <w:rPr>
                      <w:color w:val="auto"/>
                      <w:szCs w:val="21"/>
                      <w:highlight w:val="none"/>
                    </w:rPr>
                  </w:pPr>
                  <w:r>
                    <w:rPr>
                      <w:rFonts w:hint="eastAsia"/>
                      <w:bCs/>
                      <w:color w:val="auto"/>
                      <w:kern w:val="0"/>
                      <w:szCs w:val="21"/>
                      <w:highlight w:val="none"/>
                    </w:rPr>
                    <w:t>臭气浓度、硫化氢</w:t>
                  </w:r>
                </w:p>
              </w:tc>
              <w:tc>
                <w:tcPr>
                  <w:tcW w:w="1574" w:type="pct"/>
                  <w:shd w:val="clear" w:color="auto" w:fill="auto"/>
                  <w:vAlign w:val="center"/>
                </w:tcPr>
                <w:p w14:paraId="684CD41C">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highlight w:val="none"/>
                      <w:lang w:eastAsia="zh-CN"/>
                    </w:rPr>
                  </w:pPr>
                  <w:r>
                    <w:rPr>
                      <w:rFonts w:hint="eastAsia"/>
                      <w:color w:val="auto"/>
                      <w:highlight w:val="none"/>
                      <w:lang w:val="en-US" w:eastAsia="zh-CN"/>
                    </w:rPr>
                    <w:t>厂房密闭（仅预留进出口）；物料投料轻拿轻放、湿法搅拌、人工投料站（滤芯过滤）</w:t>
                  </w:r>
                </w:p>
              </w:tc>
              <w:tc>
                <w:tcPr>
                  <w:tcW w:w="501" w:type="pct"/>
                  <w:shd w:val="clear" w:color="auto" w:fill="auto"/>
                  <w:vAlign w:val="center"/>
                </w:tcPr>
                <w:p w14:paraId="6672194D">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r>
                    <w:rPr>
                      <w:color w:val="auto"/>
                      <w:highlight w:val="none"/>
                    </w:rPr>
                    <w:t>无组织</w:t>
                  </w:r>
                </w:p>
              </w:tc>
            </w:tr>
            <w:tr w14:paraId="1A46D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397" w:hRule="atLeast"/>
              </w:trPr>
              <w:tc>
                <w:tcPr>
                  <w:tcW w:w="572" w:type="pct"/>
                  <w:vMerge w:val="restart"/>
                  <w:tcBorders>
                    <w:top w:val="single" w:color="auto" w:sz="4" w:space="0"/>
                    <w:left w:val="single" w:color="auto" w:sz="4" w:space="0"/>
                    <w:right w:val="single" w:color="auto" w:sz="4" w:space="0"/>
                  </w:tcBorders>
                  <w:vAlign w:val="center"/>
                </w:tcPr>
                <w:p w14:paraId="7B35584B">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r>
                    <w:rPr>
                      <w:color w:val="auto"/>
                      <w:highlight w:val="none"/>
                    </w:rPr>
                    <w:t>粉状水溶性肥料生产线</w:t>
                  </w:r>
                </w:p>
              </w:tc>
              <w:tc>
                <w:tcPr>
                  <w:tcW w:w="570" w:type="pct"/>
                  <w:tcBorders>
                    <w:left w:val="single" w:color="auto" w:sz="4" w:space="0"/>
                  </w:tcBorders>
                  <w:shd w:val="clear" w:color="auto" w:fill="auto"/>
                  <w:vAlign w:val="center"/>
                </w:tcPr>
                <w:p w14:paraId="4889305A">
                  <w:pPr>
                    <w:keepNext w:val="0"/>
                    <w:keepLines w:val="0"/>
                    <w:pageBreakBefore w:val="0"/>
                    <w:kinsoku/>
                    <w:wordWrap/>
                    <w:overflowPunct/>
                    <w:topLinePunct w:val="0"/>
                    <w:autoSpaceDE/>
                    <w:autoSpaceDN/>
                    <w:bidi w:val="0"/>
                    <w:adjustRightInd w:val="0"/>
                    <w:snapToGrid w:val="0"/>
                    <w:spacing w:line="320" w:lineRule="exact"/>
                    <w:jc w:val="center"/>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rPr>
                    <w:t>发酵</w:t>
                  </w:r>
                </w:p>
              </w:tc>
              <w:tc>
                <w:tcPr>
                  <w:tcW w:w="468" w:type="pct"/>
                  <w:shd w:val="clear" w:color="auto" w:fill="auto"/>
                  <w:vAlign w:val="center"/>
                </w:tcPr>
                <w:p w14:paraId="5210D751">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G6</w:t>
                  </w:r>
                </w:p>
              </w:tc>
              <w:tc>
                <w:tcPr>
                  <w:tcW w:w="1312" w:type="pct"/>
                  <w:shd w:val="clear" w:color="auto" w:fill="auto"/>
                  <w:vAlign w:val="center"/>
                </w:tcPr>
                <w:p w14:paraId="2E5E2C20">
                  <w:pPr>
                    <w:keepNext w:val="0"/>
                    <w:keepLines w:val="0"/>
                    <w:pageBreakBefore w:val="0"/>
                    <w:kinsoku/>
                    <w:wordWrap/>
                    <w:overflowPunct/>
                    <w:topLinePunct w:val="0"/>
                    <w:autoSpaceDE/>
                    <w:autoSpaceDN/>
                    <w:bidi w:val="0"/>
                    <w:adjustRightInd w:val="0"/>
                    <w:snapToGrid w:val="0"/>
                    <w:spacing w:line="320" w:lineRule="exact"/>
                    <w:jc w:val="center"/>
                    <w:rPr>
                      <w:rFonts w:hint="eastAsia"/>
                      <w:bCs/>
                      <w:color w:val="auto"/>
                      <w:kern w:val="0"/>
                      <w:szCs w:val="21"/>
                      <w:highlight w:val="none"/>
                    </w:rPr>
                  </w:pPr>
                  <w:r>
                    <w:rPr>
                      <w:rFonts w:hint="eastAsia"/>
                      <w:bCs/>
                      <w:color w:val="auto"/>
                      <w:kern w:val="0"/>
                      <w:szCs w:val="21"/>
                      <w:highlight w:val="none"/>
                    </w:rPr>
                    <w:t>氨、臭气浓度、</w:t>
                  </w:r>
                </w:p>
                <w:p w14:paraId="6B212A78">
                  <w:pPr>
                    <w:keepNext w:val="0"/>
                    <w:keepLines w:val="0"/>
                    <w:pageBreakBefore w:val="0"/>
                    <w:kinsoku/>
                    <w:wordWrap/>
                    <w:overflowPunct/>
                    <w:topLinePunct w:val="0"/>
                    <w:autoSpaceDE/>
                    <w:autoSpaceDN/>
                    <w:bidi w:val="0"/>
                    <w:adjustRightInd w:val="0"/>
                    <w:snapToGrid w:val="0"/>
                    <w:spacing w:line="320" w:lineRule="exact"/>
                    <w:jc w:val="center"/>
                    <w:rPr>
                      <w:rFonts w:hint="eastAsia" w:ascii="Times New Roman" w:hAnsi="Times New Roman" w:eastAsia="宋体" w:cs="Times New Roman"/>
                      <w:color w:val="auto"/>
                      <w:kern w:val="2"/>
                      <w:sz w:val="21"/>
                      <w:szCs w:val="24"/>
                      <w:highlight w:val="none"/>
                      <w:lang w:val="en-US" w:eastAsia="zh-CN" w:bidi="ar-SA"/>
                    </w:rPr>
                  </w:pPr>
                  <w:r>
                    <w:rPr>
                      <w:rFonts w:hint="eastAsia"/>
                      <w:bCs/>
                      <w:color w:val="auto"/>
                      <w:kern w:val="0"/>
                      <w:szCs w:val="21"/>
                      <w:highlight w:val="none"/>
                    </w:rPr>
                    <w:t>硫化氢</w:t>
                  </w:r>
                  <w:r>
                    <w:rPr>
                      <w:rFonts w:hint="eastAsia"/>
                      <w:color w:val="auto"/>
                      <w:highlight w:val="none"/>
                    </w:rPr>
                    <w:t>、</w:t>
                  </w:r>
                  <w:r>
                    <w:rPr>
                      <w:rFonts w:hint="eastAsia"/>
                      <w:color w:val="auto"/>
                      <w:highlight w:val="none"/>
                      <w:lang w:val="en-US" w:eastAsia="zh-CN"/>
                    </w:rPr>
                    <w:t>粉尘（含水率量较大，本次仅定性分析）</w:t>
                  </w:r>
                </w:p>
              </w:tc>
              <w:tc>
                <w:tcPr>
                  <w:tcW w:w="1574" w:type="pct"/>
                  <w:vMerge w:val="restart"/>
                  <w:shd w:val="clear" w:color="auto" w:fill="auto"/>
                  <w:vAlign w:val="center"/>
                </w:tcPr>
                <w:p w14:paraId="72673AF2">
                  <w:pPr>
                    <w:keepNext w:val="0"/>
                    <w:keepLines w:val="0"/>
                    <w:pageBreakBefore w:val="0"/>
                    <w:kinsoku/>
                    <w:wordWrap/>
                    <w:overflowPunct/>
                    <w:topLinePunct w:val="0"/>
                    <w:autoSpaceDE/>
                    <w:autoSpaceDN/>
                    <w:bidi w:val="0"/>
                    <w:adjustRightInd w:val="0"/>
                    <w:snapToGrid w:val="0"/>
                    <w:spacing w:line="320" w:lineRule="exact"/>
                    <w:jc w:val="left"/>
                    <w:rPr>
                      <w:rFonts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厂房封闭+负压收集+</w:t>
                  </w:r>
                  <w:r>
                    <w:rPr>
                      <w:rFonts w:hint="eastAsia"/>
                      <w:color w:val="auto"/>
                      <w:highlight w:val="none"/>
                    </w:rPr>
                    <w:t>生物除臭</w:t>
                  </w:r>
                  <w:r>
                    <w:rPr>
                      <w:rFonts w:hint="eastAsia"/>
                      <w:color w:val="auto"/>
                      <w:highlight w:val="none"/>
                      <w:lang w:val="en-US" w:eastAsia="zh-CN"/>
                    </w:rPr>
                    <w:t>过滤</w:t>
                  </w:r>
                  <w:r>
                    <w:rPr>
                      <w:rFonts w:hint="eastAsia"/>
                      <w:color w:val="auto"/>
                      <w:highlight w:val="none"/>
                    </w:rPr>
                    <w:t>设施+定期通风换气</w:t>
                  </w:r>
                </w:p>
              </w:tc>
              <w:tc>
                <w:tcPr>
                  <w:tcW w:w="501" w:type="pct"/>
                  <w:vMerge w:val="restart"/>
                  <w:vAlign w:val="center"/>
                </w:tcPr>
                <w:p w14:paraId="073FA998">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r>
                    <w:rPr>
                      <w:rFonts w:hint="eastAsia"/>
                      <w:color w:val="auto"/>
                      <w:highlight w:val="none"/>
                    </w:rPr>
                    <w:t>有</w:t>
                  </w:r>
                  <w:r>
                    <w:rPr>
                      <w:color w:val="auto"/>
                      <w:highlight w:val="none"/>
                    </w:rPr>
                    <w:t>组织</w:t>
                  </w:r>
                </w:p>
              </w:tc>
            </w:tr>
            <w:tr w14:paraId="2CD5B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397" w:hRule="atLeast"/>
              </w:trPr>
              <w:tc>
                <w:tcPr>
                  <w:tcW w:w="572" w:type="pct"/>
                  <w:vMerge w:val="continue"/>
                  <w:tcBorders>
                    <w:left w:val="single" w:color="auto" w:sz="4" w:space="0"/>
                    <w:right w:val="single" w:color="auto" w:sz="4" w:space="0"/>
                  </w:tcBorders>
                  <w:vAlign w:val="center"/>
                </w:tcPr>
                <w:p w14:paraId="06AEB9E1">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c>
                <w:tcPr>
                  <w:tcW w:w="570" w:type="pct"/>
                  <w:tcBorders>
                    <w:left w:val="single" w:color="auto" w:sz="4" w:space="0"/>
                  </w:tcBorders>
                  <w:shd w:val="clear" w:color="auto" w:fill="auto"/>
                  <w:vAlign w:val="center"/>
                </w:tcPr>
                <w:p w14:paraId="0036415A">
                  <w:pPr>
                    <w:keepNext w:val="0"/>
                    <w:keepLines w:val="0"/>
                    <w:pageBreakBefore w:val="0"/>
                    <w:kinsoku/>
                    <w:wordWrap/>
                    <w:overflowPunct/>
                    <w:topLinePunct w:val="0"/>
                    <w:autoSpaceDE/>
                    <w:autoSpaceDN/>
                    <w:bidi w:val="0"/>
                    <w:adjustRightInd w:val="0"/>
                    <w:snapToGrid w:val="0"/>
                    <w:spacing w:line="320" w:lineRule="exact"/>
                    <w:jc w:val="center"/>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一次</w:t>
                  </w:r>
                  <w:r>
                    <w:rPr>
                      <w:rFonts w:hint="eastAsia"/>
                      <w:color w:val="auto"/>
                      <w:highlight w:val="none"/>
                    </w:rPr>
                    <w:t>筛分</w:t>
                  </w:r>
                </w:p>
              </w:tc>
              <w:tc>
                <w:tcPr>
                  <w:tcW w:w="468" w:type="pct"/>
                  <w:shd w:val="clear" w:color="auto" w:fill="auto"/>
                  <w:vAlign w:val="center"/>
                </w:tcPr>
                <w:p w14:paraId="13149C0F">
                  <w:pPr>
                    <w:keepNext w:val="0"/>
                    <w:keepLines w:val="0"/>
                    <w:pageBreakBefore w:val="0"/>
                    <w:kinsoku/>
                    <w:wordWrap/>
                    <w:overflowPunct/>
                    <w:topLinePunct w:val="0"/>
                    <w:autoSpaceDE/>
                    <w:autoSpaceDN/>
                    <w:bidi w:val="0"/>
                    <w:adjustRightInd w:val="0"/>
                    <w:snapToGrid w:val="0"/>
                    <w:spacing w:line="320" w:lineRule="exact"/>
                    <w:jc w:val="center"/>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G7</w:t>
                  </w:r>
                </w:p>
              </w:tc>
              <w:tc>
                <w:tcPr>
                  <w:tcW w:w="1312" w:type="pct"/>
                  <w:shd w:val="clear" w:color="auto" w:fill="auto"/>
                  <w:vAlign w:val="center"/>
                </w:tcPr>
                <w:p w14:paraId="1D70D5ED">
                  <w:pPr>
                    <w:keepNext w:val="0"/>
                    <w:keepLines w:val="0"/>
                    <w:pageBreakBefore w:val="0"/>
                    <w:kinsoku/>
                    <w:wordWrap/>
                    <w:overflowPunct/>
                    <w:topLinePunct w:val="0"/>
                    <w:autoSpaceDE/>
                    <w:autoSpaceDN/>
                    <w:bidi w:val="0"/>
                    <w:adjustRightInd w:val="0"/>
                    <w:snapToGrid w:val="0"/>
                    <w:spacing w:line="320" w:lineRule="exact"/>
                    <w:jc w:val="center"/>
                    <w:rPr>
                      <w:rFonts w:hint="eastAsia"/>
                      <w:bCs/>
                      <w:color w:val="auto"/>
                      <w:kern w:val="0"/>
                      <w:szCs w:val="21"/>
                      <w:highlight w:val="none"/>
                    </w:rPr>
                  </w:pPr>
                  <w:r>
                    <w:rPr>
                      <w:color w:val="auto"/>
                      <w:highlight w:val="none"/>
                    </w:rPr>
                    <w:t>颗粒物</w:t>
                  </w:r>
                  <w:r>
                    <w:rPr>
                      <w:rFonts w:hint="eastAsia"/>
                      <w:color w:val="auto"/>
                      <w:highlight w:val="none"/>
                      <w:lang w:val="en-US" w:eastAsia="zh-CN"/>
                    </w:rPr>
                    <w:t>（含水率量较大，本次仅定性分析）</w:t>
                  </w:r>
                  <w:r>
                    <w:rPr>
                      <w:rFonts w:hint="eastAsia"/>
                      <w:color w:val="auto"/>
                      <w:highlight w:val="none"/>
                      <w:lang w:eastAsia="zh-CN"/>
                    </w:rPr>
                    <w:t>、</w:t>
                  </w:r>
                  <w:r>
                    <w:rPr>
                      <w:rFonts w:hint="eastAsia"/>
                      <w:bCs/>
                      <w:color w:val="auto"/>
                      <w:kern w:val="0"/>
                      <w:szCs w:val="21"/>
                      <w:highlight w:val="none"/>
                    </w:rPr>
                    <w:t>氨、</w:t>
                  </w:r>
                </w:p>
                <w:p w14:paraId="3F870121">
                  <w:pPr>
                    <w:keepNext w:val="0"/>
                    <w:keepLines w:val="0"/>
                    <w:pageBreakBefore w:val="0"/>
                    <w:kinsoku/>
                    <w:wordWrap/>
                    <w:overflowPunct/>
                    <w:topLinePunct w:val="0"/>
                    <w:autoSpaceDE/>
                    <w:autoSpaceDN/>
                    <w:bidi w:val="0"/>
                    <w:adjustRightInd w:val="0"/>
                    <w:snapToGrid w:val="0"/>
                    <w:spacing w:line="320" w:lineRule="exact"/>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szCs w:val="21"/>
                      <w:highlight w:val="none"/>
                    </w:rPr>
                    <w:t>臭气浓度、硫化氢</w:t>
                  </w:r>
                </w:p>
              </w:tc>
              <w:tc>
                <w:tcPr>
                  <w:tcW w:w="1574" w:type="pct"/>
                  <w:vMerge w:val="continue"/>
                  <w:shd w:val="clear" w:color="auto" w:fill="auto"/>
                  <w:vAlign w:val="center"/>
                </w:tcPr>
                <w:p w14:paraId="4F66340A">
                  <w:pPr>
                    <w:keepNext w:val="0"/>
                    <w:keepLines w:val="0"/>
                    <w:pageBreakBefore w:val="0"/>
                    <w:kinsoku/>
                    <w:wordWrap/>
                    <w:overflowPunct/>
                    <w:topLinePunct w:val="0"/>
                    <w:autoSpaceDE/>
                    <w:autoSpaceDN/>
                    <w:bidi w:val="0"/>
                    <w:adjustRightInd w:val="0"/>
                    <w:snapToGrid w:val="0"/>
                    <w:spacing w:line="320" w:lineRule="exact"/>
                    <w:jc w:val="center"/>
                    <w:rPr>
                      <w:rFonts w:hint="eastAsia"/>
                      <w:color w:val="auto"/>
                      <w:highlight w:val="none"/>
                    </w:rPr>
                  </w:pPr>
                </w:p>
              </w:tc>
              <w:tc>
                <w:tcPr>
                  <w:tcW w:w="501" w:type="pct"/>
                  <w:vMerge w:val="continue"/>
                  <w:vAlign w:val="center"/>
                </w:tcPr>
                <w:p w14:paraId="49E6730D">
                  <w:pPr>
                    <w:keepNext w:val="0"/>
                    <w:keepLines w:val="0"/>
                    <w:pageBreakBefore w:val="0"/>
                    <w:kinsoku/>
                    <w:wordWrap/>
                    <w:overflowPunct/>
                    <w:topLinePunct w:val="0"/>
                    <w:autoSpaceDE/>
                    <w:autoSpaceDN/>
                    <w:bidi w:val="0"/>
                    <w:adjustRightInd w:val="0"/>
                    <w:snapToGrid w:val="0"/>
                    <w:spacing w:line="320" w:lineRule="exact"/>
                    <w:jc w:val="center"/>
                    <w:rPr>
                      <w:rFonts w:hint="eastAsia"/>
                      <w:color w:val="auto"/>
                      <w:highlight w:val="none"/>
                    </w:rPr>
                  </w:pPr>
                </w:p>
              </w:tc>
            </w:tr>
            <w:tr w14:paraId="449E38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397" w:hRule="atLeast"/>
              </w:trPr>
              <w:tc>
                <w:tcPr>
                  <w:tcW w:w="572" w:type="pct"/>
                  <w:vMerge w:val="continue"/>
                  <w:tcBorders>
                    <w:left w:val="single" w:color="auto" w:sz="4" w:space="0"/>
                    <w:right w:val="single" w:color="auto" w:sz="4" w:space="0"/>
                  </w:tcBorders>
                  <w:vAlign w:val="center"/>
                </w:tcPr>
                <w:p w14:paraId="79BA4A1D">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c>
                <w:tcPr>
                  <w:tcW w:w="570" w:type="pct"/>
                  <w:tcBorders>
                    <w:left w:val="single" w:color="auto" w:sz="4" w:space="0"/>
                  </w:tcBorders>
                  <w:shd w:val="clear" w:color="auto" w:fill="auto"/>
                  <w:vAlign w:val="center"/>
                </w:tcPr>
                <w:p w14:paraId="2E1E38D2">
                  <w:pPr>
                    <w:keepNext w:val="0"/>
                    <w:keepLines w:val="0"/>
                    <w:pageBreakBefore w:val="0"/>
                    <w:kinsoku/>
                    <w:wordWrap/>
                    <w:overflowPunct/>
                    <w:topLinePunct w:val="0"/>
                    <w:autoSpaceDE/>
                    <w:autoSpaceDN/>
                    <w:bidi w:val="0"/>
                    <w:adjustRightInd w:val="0"/>
                    <w:snapToGrid w:val="0"/>
                    <w:spacing w:line="320" w:lineRule="exact"/>
                    <w:jc w:val="center"/>
                    <w:rPr>
                      <w:rFonts w:hint="eastAsia"/>
                      <w:color w:val="auto"/>
                      <w:highlight w:val="none"/>
                      <w:lang w:val="en-US" w:eastAsia="zh-CN"/>
                    </w:rPr>
                  </w:pPr>
                  <w:r>
                    <w:rPr>
                      <w:rFonts w:hint="eastAsia"/>
                      <w:color w:val="auto"/>
                      <w:highlight w:val="none"/>
                      <w:lang w:val="en-US" w:eastAsia="zh-CN"/>
                    </w:rPr>
                    <w:t>一次</w:t>
                  </w:r>
                </w:p>
                <w:p w14:paraId="50AF9EA4">
                  <w:pPr>
                    <w:keepNext w:val="0"/>
                    <w:keepLines w:val="0"/>
                    <w:pageBreakBefore w:val="0"/>
                    <w:kinsoku/>
                    <w:wordWrap/>
                    <w:overflowPunct/>
                    <w:topLinePunct w:val="0"/>
                    <w:autoSpaceDE/>
                    <w:autoSpaceDN/>
                    <w:bidi w:val="0"/>
                    <w:adjustRightInd w:val="0"/>
                    <w:snapToGrid w:val="0"/>
                    <w:spacing w:line="320" w:lineRule="exact"/>
                    <w:jc w:val="center"/>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混合搅拌</w:t>
                  </w:r>
                </w:p>
              </w:tc>
              <w:tc>
                <w:tcPr>
                  <w:tcW w:w="468" w:type="pct"/>
                  <w:shd w:val="clear" w:color="auto" w:fill="auto"/>
                  <w:vAlign w:val="center"/>
                </w:tcPr>
                <w:p w14:paraId="4F5421CB">
                  <w:pPr>
                    <w:keepNext w:val="0"/>
                    <w:keepLines w:val="0"/>
                    <w:pageBreakBefore w:val="0"/>
                    <w:kinsoku/>
                    <w:wordWrap/>
                    <w:overflowPunct/>
                    <w:topLinePunct w:val="0"/>
                    <w:autoSpaceDE/>
                    <w:autoSpaceDN/>
                    <w:bidi w:val="0"/>
                    <w:adjustRightInd w:val="0"/>
                    <w:snapToGrid w:val="0"/>
                    <w:spacing w:line="320" w:lineRule="exact"/>
                    <w:jc w:val="center"/>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G4</w:t>
                  </w:r>
                </w:p>
              </w:tc>
              <w:tc>
                <w:tcPr>
                  <w:tcW w:w="1312" w:type="pct"/>
                  <w:shd w:val="clear" w:color="auto" w:fill="auto"/>
                  <w:vAlign w:val="center"/>
                </w:tcPr>
                <w:p w14:paraId="349C1375">
                  <w:pPr>
                    <w:keepNext w:val="0"/>
                    <w:keepLines w:val="0"/>
                    <w:pageBreakBefore w:val="0"/>
                    <w:kinsoku/>
                    <w:wordWrap/>
                    <w:overflowPunct/>
                    <w:topLinePunct w:val="0"/>
                    <w:autoSpaceDE/>
                    <w:autoSpaceDN/>
                    <w:bidi w:val="0"/>
                    <w:adjustRightInd w:val="0"/>
                    <w:snapToGrid w:val="0"/>
                    <w:spacing w:line="320" w:lineRule="exact"/>
                    <w:jc w:val="center"/>
                    <w:rPr>
                      <w:rFonts w:ascii="Times New Roman" w:hAnsi="Times New Roman" w:eastAsia="宋体" w:cs="Times New Roman"/>
                      <w:color w:val="auto"/>
                      <w:kern w:val="2"/>
                      <w:sz w:val="21"/>
                      <w:szCs w:val="24"/>
                      <w:highlight w:val="none"/>
                      <w:lang w:val="en-US" w:eastAsia="zh-CN" w:bidi="ar-SA"/>
                    </w:rPr>
                  </w:pPr>
                  <w:r>
                    <w:rPr>
                      <w:color w:val="auto"/>
                      <w:highlight w:val="none"/>
                    </w:rPr>
                    <w:t>颗粒物</w:t>
                  </w:r>
                </w:p>
              </w:tc>
              <w:tc>
                <w:tcPr>
                  <w:tcW w:w="1574" w:type="pct"/>
                  <w:vMerge w:val="restart"/>
                  <w:vAlign w:val="center"/>
                </w:tcPr>
                <w:p w14:paraId="6B27DE76">
                  <w:pPr>
                    <w:keepNext w:val="0"/>
                    <w:keepLines w:val="0"/>
                    <w:pageBreakBefore w:val="0"/>
                    <w:kinsoku/>
                    <w:wordWrap/>
                    <w:overflowPunct/>
                    <w:topLinePunct w:val="0"/>
                    <w:autoSpaceDE/>
                    <w:autoSpaceDN/>
                    <w:bidi w:val="0"/>
                    <w:adjustRightInd w:val="0"/>
                    <w:snapToGrid w:val="0"/>
                    <w:spacing w:line="320" w:lineRule="exact"/>
                    <w:jc w:val="left"/>
                    <w:rPr>
                      <w:rFonts w:hint="eastAsia"/>
                      <w:color w:val="auto"/>
                      <w:highlight w:val="none"/>
                    </w:rPr>
                  </w:pPr>
                  <w:r>
                    <w:rPr>
                      <w:rFonts w:hint="eastAsia"/>
                      <w:color w:val="auto"/>
                      <w:highlight w:val="none"/>
                    </w:rPr>
                    <w:t>集气罩（收集效率80%）收集+布袋除尘器处理（效率98%）15m排气筒排放</w:t>
                  </w:r>
                </w:p>
              </w:tc>
              <w:tc>
                <w:tcPr>
                  <w:tcW w:w="501" w:type="pct"/>
                  <w:vMerge w:val="continue"/>
                  <w:vAlign w:val="center"/>
                </w:tcPr>
                <w:p w14:paraId="5B5E961F">
                  <w:pPr>
                    <w:keepNext w:val="0"/>
                    <w:keepLines w:val="0"/>
                    <w:pageBreakBefore w:val="0"/>
                    <w:kinsoku/>
                    <w:wordWrap/>
                    <w:overflowPunct/>
                    <w:topLinePunct w:val="0"/>
                    <w:autoSpaceDE/>
                    <w:autoSpaceDN/>
                    <w:bidi w:val="0"/>
                    <w:adjustRightInd w:val="0"/>
                    <w:snapToGrid w:val="0"/>
                    <w:spacing w:line="320" w:lineRule="exact"/>
                    <w:jc w:val="center"/>
                    <w:rPr>
                      <w:rFonts w:hint="eastAsia"/>
                      <w:color w:val="auto"/>
                      <w:highlight w:val="none"/>
                    </w:rPr>
                  </w:pPr>
                </w:p>
              </w:tc>
            </w:tr>
            <w:tr w14:paraId="4FE07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397" w:hRule="atLeast"/>
              </w:trPr>
              <w:tc>
                <w:tcPr>
                  <w:tcW w:w="572" w:type="pct"/>
                  <w:vMerge w:val="continue"/>
                  <w:tcBorders>
                    <w:left w:val="single" w:color="auto" w:sz="4" w:space="0"/>
                    <w:right w:val="single" w:color="auto" w:sz="4" w:space="0"/>
                  </w:tcBorders>
                  <w:vAlign w:val="center"/>
                </w:tcPr>
                <w:p w14:paraId="42D5F16B">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c>
                <w:tcPr>
                  <w:tcW w:w="570" w:type="pct"/>
                  <w:tcBorders>
                    <w:left w:val="single" w:color="auto" w:sz="4" w:space="0"/>
                  </w:tcBorders>
                  <w:vAlign w:val="center"/>
                </w:tcPr>
                <w:p w14:paraId="45B07830">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highlight w:val="none"/>
                      <w:lang w:val="en-US" w:eastAsia="zh-CN"/>
                    </w:rPr>
                  </w:pPr>
                  <w:r>
                    <w:rPr>
                      <w:rFonts w:hint="eastAsia"/>
                      <w:color w:val="auto"/>
                      <w:highlight w:val="none"/>
                      <w:lang w:val="en-US" w:eastAsia="zh-CN"/>
                    </w:rPr>
                    <w:t>一次扑粉</w:t>
                  </w:r>
                </w:p>
              </w:tc>
              <w:tc>
                <w:tcPr>
                  <w:tcW w:w="468" w:type="pct"/>
                  <w:vAlign w:val="center"/>
                </w:tcPr>
                <w:p w14:paraId="1DFF9DE2">
                  <w:pPr>
                    <w:keepNext w:val="0"/>
                    <w:keepLines w:val="0"/>
                    <w:pageBreakBefore w:val="0"/>
                    <w:kinsoku/>
                    <w:wordWrap/>
                    <w:overflowPunct/>
                    <w:topLinePunct w:val="0"/>
                    <w:autoSpaceDE/>
                    <w:autoSpaceDN/>
                    <w:bidi w:val="0"/>
                    <w:adjustRightInd w:val="0"/>
                    <w:snapToGrid w:val="0"/>
                    <w:spacing w:line="320" w:lineRule="exact"/>
                    <w:jc w:val="center"/>
                    <w:rPr>
                      <w:rFonts w:hint="default"/>
                      <w:color w:val="auto"/>
                      <w:highlight w:val="none"/>
                      <w:lang w:val="en-US"/>
                    </w:rPr>
                  </w:pPr>
                  <w:r>
                    <w:rPr>
                      <w:rFonts w:hint="eastAsia"/>
                      <w:color w:val="auto"/>
                      <w:highlight w:val="none"/>
                      <w:lang w:val="en-US" w:eastAsia="zh-CN"/>
                    </w:rPr>
                    <w:t>G5</w:t>
                  </w:r>
                </w:p>
              </w:tc>
              <w:tc>
                <w:tcPr>
                  <w:tcW w:w="1312" w:type="pct"/>
                  <w:vAlign w:val="center"/>
                </w:tcPr>
                <w:p w14:paraId="7258B5C6">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r>
                    <w:rPr>
                      <w:color w:val="auto"/>
                      <w:highlight w:val="none"/>
                    </w:rPr>
                    <w:t>颗粒物</w:t>
                  </w:r>
                </w:p>
              </w:tc>
              <w:tc>
                <w:tcPr>
                  <w:tcW w:w="1574" w:type="pct"/>
                  <w:vMerge w:val="continue"/>
                  <w:vAlign w:val="center"/>
                </w:tcPr>
                <w:p w14:paraId="5042627E">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c>
                <w:tcPr>
                  <w:tcW w:w="501" w:type="pct"/>
                  <w:vMerge w:val="continue"/>
                  <w:vAlign w:val="center"/>
                </w:tcPr>
                <w:p w14:paraId="1DC95577">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r>
            <w:tr w14:paraId="01AFC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7" w:hRule="atLeast"/>
              </w:trPr>
              <w:tc>
                <w:tcPr>
                  <w:tcW w:w="572" w:type="pct"/>
                  <w:vMerge w:val="continue"/>
                  <w:tcBorders>
                    <w:left w:val="single" w:color="auto" w:sz="4" w:space="0"/>
                    <w:right w:val="single" w:color="auto" w:sz="4" w:space="0"/>
                  </w:tcBorders>
                  <w:vAlign w:val="center"/>
                </w:tcPr>
                <w:p w14:paraId="3AEB12CF">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c>
                <w:tcPr>
                  <w:tcW w:w="570" w:type="pct"/>
                  <w:tcBorders>
                    <w:left w:val="single" w:color="auto" w:sz="4" w:space="0"/>
                  </w:tcBorders>
                  <w:vAlign w:val="center"/>
                </w:tcPr>
                <w:p w14:paraId="76D20326">
                  <w:pPr>
                    <w:keepNext w:val="0"/>
                    <w:keepLines w:val="0"/>
                    <w:pageBreakBefore w:val="0"/>
                    <w:kinsoku/>
                    <w:wordWrap/>
                    <w:overflowPunct/>
                    <w:topLinePunct w:val="0"/>
                    <w:autoSpaceDE/>
                    <w:autoSpaceDN/>
                    <w:bidi w:val="0"/>
                    <w:adjustRightInd w:val="0"/>
                    <w:snapToGrid w:val="0"/>
                    <w:spacing w:line="320" w:lineRule="exact"/>
                    <w:jc w:val="center"/>
                    <w:rPr>
                      <w:rFonts w:hint="default"/>
                      <w:color w:val="auto"/>
                      <w:highlight w:val="none"/>
                      <w:lang w:val="en-US" w:eastAsia="zh-CN"/>
                    </w:rPr>
                  </w:pPr>
                  <w:r>
                    <w:rPr>
                      <w:rFonts w:hint="eastAsia"/>
                      <w:color w:val="auto"/>
                      <w:highlight w:val="none"/>
                      <w:lang w:val="en-US" w:eastAsia="zh-CN"/>
                    </w:rPr>
                    <w:t>二次扑粉</w:t>
                  </w:r>
                </w:p>
              </w:tc>
              <w:tc>
                <w:tcPr>
                  <w:tcW w:w="468" w:type="pct"/>
                  <w:vAlign w:val="center"/>
                </w:tcPr>
                <w:p w14:paraId="13E076CE">
                  <w:pPr>
                    <w:keepNext w:val="0"/>
                    <w:keepLines w:val="0"/>
                    <w:pageBreakBefore w:val="0"/>
                    <w:kinsoku/>
                    <w:wordWrap/>
                    <w:overflowPunct/>
                    <w:topLinePunct w:val="0"/>
                    <w:autoSpaceDE/>
                    <w:autoSpaceDN/>
                    <w:bidi w:val="0"/>
                    <w:adjustRightInd w:val="0"/>
                    <w:snapToGrid w:val="0"/>
                    <w:spacing w:line="320" w:lineRule="exact"/>
                    <w:jc w:val="center"/>
                    <w:rPr>
                      <w:rFonts w:hint="eastAsia"/>
                      <w:color w:val="auto"/>
                      <w:highlight w:val="none"/>
                      <w:lang w:val="en-US" w:eastAsia="zh-CN"/>
                    </w:rPr>
                  </w:pPr>
                  <w:r>
                    <w:rPr>
                      <w:rFonts w:hint="eastAsia"/>
                      <w:color w:val="auto"/>
                      <w:highlight w:val="none"/>
                      <w:lang w:val="en-US" w:eastAsia="zh-CN"/>
                    </w:rPr>
                    <w:t>G8</w:t>
                  </w:r>
                </w:p>
              </w:tc>
              <w:tc>
                <w:tcPr>
                  <w:tcW w:w="1312" w:type="pct"/>
                  <w:vAlign w:val="center"/>
                </w:tcPr>
                <w:p w14:paraId="79BCC71C">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highlight w:val="none"/>
                      <w:lang w:val="en-US" w:eastAsia="zh-CN"/>
                    </w:rPr>
                  </w:pPr>
                  <w:r>
                    <w:rPr>
                      <w:rFonts w:hint="eastAsia"/>
                      <w:color w:val="auto"/>
                      <w:highlight w:val="none"/>
                      <w:lang w:val="en-US" w:eastAsia="zh-CN"/>
                    </w:rPr>
                    <w:t>颗粒物</w:t>
                  </w:r>
                </w:p>
              </w:tc>
              <w:tc>
                <w:tcPr>
                  <w:tcW w:w="1574" w:type="pct"/>
                  <w:vMerge w:val="continue"/>
                  <w:vAlign w:val="center"/>
                </w:tcPr>
                <w:p w14:paraId="34EC16B7">
                  <w:pPr>
                    <w:keepNext w:val="0"/>
                    <w:keepLines w:val="0"/>
                    <w:pageBreakBefore w:val="0"/>
                    <w:kinsoku/>
                    <w:wordWrap/>
                    <w:overflowPunct/>
                    <w:topLinePunct w:val="0"/>
                    <w:autoSpaceDE/>
                    <w:autoSpaceDN/>
                    <w:bidi w:val="0"/>
                    <w:adjustRightInd w:val="0"/>
                    <w:snapToGrid w:val="0"/>
                    <w:spacing w:line="320" w:lineRule="exact"/>
                    <w:jc w:val="center"/>
                    <w:rPr>
                      <w:rFonts w:hint="eastAsia"/>
                      <w:color w:val="auto"/>
                      <w:highlight w:val="none"/>
                    </w:rPr>
                  </w:pPr>
                </w:p>
              </w:tc>
              <w:tc>
                <w:tcPr>
                  <w:tcW w:w="501" w:type="pct"/>
                  <w:vMerge w:val="continue"/>
                  <w:vAlign w:val="center"/>
                </w:tcPr>
                <w:p w14:paraId="3DC4C608">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r>
            <w:tr w14:paraId="78497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7" w:hRule="atLeast"/>
              </w:trPr>
              <w:tc>
                <w:tcPr>
                  <w:tcW w:w="572" w:type="pct"/>
                  <w:vMerge w:val="continue"/>
                  <w:tcBorders>
                    <w:left w:val="single" w:color="auto" w:sz="4" w:space="0"/>
                    <w:right w:val="single" w:color="auto" w:sz="4" w:space="0"/>
                  </w:tcBorders>
                  <w:vAlign w:val="center"/>
                </w:tcPr>
                <w:p w14:paraId="126D2BB5">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c>
                <w:tcPr>
                  <w:tcW w:w="570" w:type="pct"/>
                  <w:tcBorders>
                    <w:left w:val="single" w:color="auto" w:sz="4" w:space="0"/>
                  </w:tcBorders>
                  <w:vAlign w:val="center"/>
                </w:tcPr>
                <w:p w14:paraId="6264AD2E">
                  <w:pPr>
                    <w:keepNext w:val="0"/>
                    <w:keepLines w:val="0"/>
                    <w:pageBreakBefore w:val="0"/>
                    <w:kinsoku/>
                    <w:wordWrap/>
                    <w:overflowPunct/>
                    <w:topLinePunct w:val="0"/>
                    <w:autoSpaceDE/>
                    <w:autoSpaceDN/>
                    <w:bidi w:val="0"/>
                    <w:adjustRightInd w:val="0"/>
                    <w:snapToGrid w:val="0"/>
                    <w:spacing w:line="320" w:lineRule="exact"/>
                    <w:jc w:val="center"/>
                    <w:rPr>
                      <w:rFonts w:hint="default"/>
                      <w:color w:val="auto"/>
                      <w:highlight w:val="none"/>
                      <w:lang w:val="en-US" w:eastAsia="zh-CN"/>
                    </w:rPr>
                  </w:pPr>
                  <w:r>
                    <w:rPr>
                      <w:rFonts w:hint="eastAsia"/>
                      <w:color w:val="auto"/>
                      <w:highlight w:val="none"/>
                      <w:lang w:val="en-US" w:eastAsia="zh-CN"/>
                    </w:rPr>
                    <w:t>二次</w:t>
                  </w:r>
                </w:p>
                <w:p w14:paraId="13C33775">
                  <w:pPr>
                    <w:keepNext w:val="0"/>
                    <w:keepLines w:val="0"/>
                    <w:pageBreakBefore w:val="0"/>
                    <w:kinsoku/>
                    <w:wordWrap/>
                    <w:overflowPunct/>
                    <w:topLinePunct w:val="0"/>
                    <w:autoSpaceDE/>
                    <w:autoSpaceDN/>
                    <w:bidi w:val="0"/>
                    <w:adjustRightInd w:val="0"/>
                    <w:snapToGrid w:val="0"/>
                    <w:spacing w:line="320" w:lineRule="exact"/>
                    <w:jc w:val="center"/>
                    <w:rPr>
                      <w:rFonts w:hint="eastAsia"/>
                      <w:color w:val="auto"/>
                      <w:highlight w:val="none"/>
                      <w:lang w:val="en-US" w:eastAsia="zh-CN"/>
                    </w:rPr>
                  </w:pPr>
                  <w:r>
                    <w:rPr>
                      <w:rFonts w:hint="eastAsia"/>
                      <w:color w:val="auto"/>
                      <w:highlight w:val="none"/>
                      <w:lang w:val="en-US" w:eastAsia="zh-CN"/>
                    </w:rPr>
                    <w:t>混合搅拌</w:t>
                  </w:r>
                </w:p>
              </w:tc>
              <w:tc>
                <w:tcPr>
                  <w:tcW w:w="468" w:type="pct"/>
                  <w:vAlign w:val="center"/>
                </w:tcPr>
                <w:p w14:paraId="059617A9">
                  <w:pPr>
                    <w:keepNext w:val="0"/>
                    <w:keepLines w:val="0"/>
                    <w:pageBreakBefore w:val="0"/>
                    <w:kinsoku/>
                    <w:wordWrap/>
                    <w:overflowPunct/>
                    <w:topLinePunct w:val="0"/>
                    <w:autoSpaceDE/>
                    <w:autoSpaceDN/>
                    <w:bidi w:val="0"/>
                    <w:adjustRightInd w:val="0"/>
                    <w:snapToGrid w:val="0"/>
                    <w:spacing w:line="320" w:lineRule="exact"/>
                    <w:jc w:val="center"/>
                    <w:rPr>
                      <w:rFonts w:hint="default"/>
                      <w:color w:val="auto"/>
                      <w:highlight w:val="none"/>
                      <w:lang w:val="en-US" w:eastAsia="zh-CN"/>
                    </w:rPr>
                  </w:pPr>
                  <w:r>
                    <w:rPr>
                      <w:rFonts w:hint="eastAsia"/>
                      <w:color w:val="auto"/>
                      <w:highlight w:val="none"/>
                      <w:lang w:val="en-US" w:eastAsia="zh-CN"/>
                    </w:rPr>
                    <w:t>G9</w:t>
                  </w:r>
                </w:p>
              </w:tc>
              <w:tc>
                <w:tcPr>
                  <w:tcW w:w="1312" w:type="pct"/>
                  <w:vAlign w:val="center"/>
                </w:tcPr>
                <w:p w14:paraId="3C022A17">
                  <w:pPr>
                    <w:keepNext w:val="0"/>
                    <w:keepLines w:val="0"/>
                    <w:pageBreakBefore w:val="0"/>
                    <w:kinsoku/>
                    <w:wordWrap/>
                    <w:overflowPunct/>
                    <w:topLinePunct w:val="0"/>
                    <w:autoSpaceDE/>
                    <w:autoSpaceDN/>
                    <w:bidi w:val="0"/>
                    <w:adjustRightInd w:val="0"/>
                    <w:snapToGrid w:val="0"/>
                    <w:spacing w:line="320" w:lineRule="exact"/>
                    <w:jc w:val="center"/>
                    <w:rPr>
                      <w:rFonts w:hint="eastAsia" w:eastAsia="宋体"/>
                      <w:color w:val="auto"/>
                      <w:highlight w:val="none"/>
                      <w:lang w:val="en-US" w:eastAsia="zh-CN"/>
                    </w:rPr>
                  </w:pPr>
                  <w:r>
                    <w:rPr>
                      <w:rFonts w:hint="eastAsia"/>
                      <w:color w:val="auto"/>
                      <w:highlight w:val="none"/>
                      <w:lang w:val="en-US" w:eastAsia="zh-CN"/>
                    </w:rPr>
                    <w:t>颗粒物</w:t>
                  </w:r>
                </w:p>
              </w:tc>
              <w:tc>
                <w:tcPr>
                  <w:tcW w:w="1574" w:type="pct"/>
                  <w:vMerge w:val="continue"/>
                  <w:vAlign w:val="center"/>
                </w:tcPr>
                <w:p w14:paraId="5D8262A6">
                  <w:pPr>
                    <w:keepNext w:val="0"/>
                    <w:keepLines w:val="0"/>
                    <w:pageBreakBefore w:val="0"/>
                    <w:kinsoku/>
                    <w:wordWrap/>
                    <w:overflowPunct/>
                    <w:topLinePunct w:val="0"/>
                    <w:autoSpaceDE/>
                    <w:autoSpaceDN/>
                    <w:bidi w:val="0"/>
                    <w:adjustRightInd w:val="0"/>
                    <w:snapToGrid w:val="0"/>
                    <w:spacing w:line="320" w:lineRule="exact"/>
                    <w:jc w:val="center"/>
                    <w:rPr>
                      <w:rFonts w:hint="eastAsia"/>
                      <w:color w:val="auto"/>
                      <w:highlight w:val="none"/>
                    </w:rPr>
                  </w:pPr>
                </w:p>
              </w:tc>
              <w:tc>
                <w:tcPr>
                  <w:tcW w:w="501" w:type="pct"/>
                  <w:vMerge w:val="continue"/>
                  <w:vAlign w:val="center"/>
                </w:tcPr>
                <w:p w14:paraId="6E8DDEE8">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r>
            <w:tr w14:paraId="7D859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397" w:hRule="atLeast"/>
              </w:trPr>
              <w:tc>
                <w:tcPr>
                  <w:tcW w:w="572" w:type="pct"/>
                  <w:vMerge w:val="continue"/>
                  <w:tcBorders>
                    <w:left w:val="single" w:color="auto" w:sz="4" w:space="0"/>
                    <w:right w:val="single" w:color="auto" w:sz="4" w:space="0"/>
                  </w:tcBorders>
                  <w:vAlign w:val="center"/>
                </w:tcPr>
                <w:p w14:paraId="21E2B0CC">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c>
                <w:tcPr>
                  <w:tcW w:w="570" w:type="pct"/>
                  <w:tcBorders>
                    <w:left w:val="single" w:color="auto" w:sz="4" w:space="0"/>
                  </w:tcBorders>
                  <w:vAlign w:val="center"/>
                </w:tcPr>
                <w:p w14:paraId="68763D87">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r>
                    <w:rPr>
                      <w:rFonts w:hint="eastAsia"/>
                      <w:color w:val="auto"/>
                      <w:highlight w:val="none"/>
                    </w:rPr>
                    <w:t>粉碎</w:t>
                  </w:r>
                </w:p>
              </w:tc>
              <w:tc>
                <w:tcPr>
                  <w:tcW w:w="468" w:type="pct"/>
                  <w:vAlign w:val="center"/>
                </w:tcPr>
                <w:p w14:paraId="1B234142">
                  <w:pPr>
                    <w:keepNext w:val="0"/>
                    <w:keepLines w:val="0"/>
                    <w:pageBreakBefore w:val="0"/>
                    <w:kinsoku/>
                    <w:wordWrap/>
                    <w:overflowPunct/>
                    <w:topLinePunct w:val="0"/>
                    <w:autoSpaceDE/>
                    <w:autoSpaceDN/>
                    <w:bidi w:val="0"/>
                    <w:adjustRightInd w:val="0"/>
                    <w:snapToGrid w:val="0"/>
                    <w:spacing w:line="320" w:lineRule="exact"/>
                    <w:jc w:val="center"/>
                    <w:rPr>
                      <w:rFonts w:hint="default" w:eastAsia="宋体"/>
                      <w:color w:val="auto"/>
                      <w:highlight w:val="none"/>
                      <w:lang w:val="en-US" w:eastAsia="zh-CN"/>
                    </w:rPr>
                  </w:pPr>
                  <w:r>
                    <w:rPr>
                      <w:rFonts w:hint="eastAsia"/>
                      <w:color w:val="auto"/>
                      <w:highlight w:val="none"/>
                      <w:lang w:val="en-US" w:eastAsia="zh-CN"/>
                    </w:rPr>
                    <w:t>G10</w:t>
                  </w:r>
                </w:p>
              </w:tc>
              <w:tc>
                <w:tcPr>
                  <w:tcW w:w="1312" w:type="pct"/>
                  <w:vAlign w:val="center"/>
                </w:tcPr>
                <w:p w14:paraId="328B32F4">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r>
                    <w:rPr>
                      <w:color w:val="auto"/>
                      <w:highlight w:val="none"/>
                    </w:rPr>
                    <w:t>颗粒物</w:t>
                  </w:r>
                </w:p>
              </w:tc>
              <w:tc>
                <w:tcPr>
                  <w:tcW w:w="1574" w:type="pct"/>
                  <w:vMerge w:val="continue"/>
                  <w:vAlign w:val="center"/>
                </w:tcPr>
                <w:p w14:paraId="212E9A67">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c>
                <w:tcPr>
                  <w:tcW w:w="501" w:type="pct"/>
                  <w:vMerge w:val="continue"/>
                  <w:vAlign w:val="center"/>
                </w:tcPr>
                <w:p w14:paraId="13E61A24">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r>
            <w:tr w14:paraId="03C93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397" w:hRule="atLeast"/>
              </w:trPr>
              <w:tc>
                <w:tcPr>
                  <w:tcW w:w="572" w:type="pct"/>
                  <w:vMerge w:val="continue"/>
                  <w:tcBorders>
                    <w:left w:val="single" w:color="auto" w:sz="4" w:space="0"/>
                    <w:right w:val="single" w:color="auto" w:sz="4" w:space="0"/>
                  </w:tcBorders>
                  <w:vAlign w:val="center"/>
                </w:tcPr>
                <w:p w14:paraId="0A03FA06">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c>
                <w:tcPr>
                  <w:tcW w:w="570" w:type="pct"/>
                  <w:tcBorders>
                    <w:left w:val="single" w:color="auto" w:sz="4" w:space="0"/>
                  </w:tcBorders>
                  <w:vAlign w:val="center"/>
                </w:tcPr>
                <w:p w14:paraId="559B7A57">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r>
                    <w:rPr>
                      <w:rFonts w:hint="eastAsia"/>
                      <w:color w:val="auto"/>
                      <w:highlight w:val="none"/>
                      <w:lang w:val="en-US" w:eastAsia="zh-CN"/>
                    </w:rPr>
                    <w:t>二次</w:t>
                  </w:r>
                  <w:r>
                    <w:rPr>
                      <w:rFonts w:hint="eastAsia"/>
                      <w:color w:val="auto"/>
                      <w:highlight w:val="none"/>
                    </w:rPr>
                    <w:t>筛分</w:t>
                  </w:r>
                </w:p>
              </w:tc>
              <w:tc>
                <w:tcPr>
                  <w:tcW w:w="468" w:type="pct"/>
                  <w:vAlign w:val="center"/>
                </w:tcPr>
                <w:p w14:paraId="48B1445B">
                  <w:pPr>
                    <w:keepNext w:val="0"/>
                    <w:keepLines w:val="0"/>
                    <w:pageBreakBefore w:val="0"/>
                    <w:kinsoku/>
                    <w:wordWrap/>
                    <w:overflowPunct/>
                    <w:topLinePunct w:val="0"/>
                    <w:autoSpaceDE/>
                    <w:autoSpaceDN/>
                    <w:bidi w:val="0"/>
                    <w:adjustRightInd w:val="0"/>
                    <w:snapToGrid w:val="0"/>
                    <w:spacing w:line="320" w:lineRule="exact"/>
                    <w:jc w:val="center"/>
                    <w:rPr>
                      <w:rFonts w:hint="default"/>
                      <w:color w:val="auto"/>
                      <w:highlight w:val="none"/>
                      <w:lang w:val="en-US"/>
                    </w:rPr>
                  </w:pPr>
                  <w:r>
                    <w:rPr>
                      <w:rFonts w:hint="eastAsia"/>
                      <w:color w:val="auto"/>
                      <w:highlight w:val="none"/>
                      <w:lang w:val="en-US" w:eastAsia="zh-CN"/>
                    </w:rPr>
                    <w:t>G11</w:t>
                  </w:r>
                </w:p>
              </w:tc>
              <w:tc>
                <w:tcPr>
                  <w:tcW w:w="1312" w:type="pct"/>
                  <w:vAlign w:val="center"/>
                </w:tcPr>
                <w:p w14:paraId="53982E59">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r>
                    <w:rPr>
                      <w:color w:val="auto"/>
                      <w:highlight w:val="none"/>
                    </w:rPr>
                    <w:t>颗粒物</w:t>
                  </w:r>
                </w:p>
              </w:tc>
              <w:tc>
                <w:tcPr>
                  <w:tcW w:w="1574" w:type="pct"/>
                  <w:vMerge w:val="continue"/>
                  <w:vAlign w:val="center"/>
                </w:tcPr>
                <w:p w14:paraId="1036FDA0">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c>
                <w:tcPr>
                  <w:tcW w:w="501" w:type="pct"/>
                  <w:vMerge w:val="continue"/>
                  <w:vAlign w:val="center"/>
                </w:tcPr>
                <w:p w14:paraId="28ACAF2E">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r>
            <w:tr w14:paraId="5A3AB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397" w:hRule="atLeast"/>
              </w:trPr>
              <w:tc>
                <w:tcPr>
                  <w:tcW w:w="572" w:type="pct"/>
                  <w:vMerge w:val="continue"/>
                  <w:tcBorders>
                    <w:left w:val="single" w:color="auto" w:sz="4" w:space="0"/>
                    <w:right w:val="single" w:color="auto" w:sz="4" w:space="0"/>
                  </w:tcBorders>
                  <w:vAlign w:val="center"/>
                </w:tcPr>
                <w:p w14:paraId="59A429ED">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c>
                <w:tcPr>
                  <w:tcW w:w="570" w:type="pct"/>
                  <w:tcBorders>
                    <w:left w:val="single" w:color="auto" w:sz="4" w:space="0"/>
                  </w:tcBorders>
                  <w:vAlign w:val="center"/>
                </w:tcPr>
                <w:p w14:paraId="09E93F1E">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r>
                    <w:rPr>
                      <w:rFonts w:hint="eastAsia"/>
                      <w:color w:val="auto"/>
                      <w:highlight w:val="none"/>
                    </w:rPr>
                    <w:t>包装</w:t>
                  </w:r>
                </w:p>
              </w:tc>
              <w:tc>
                <w:tcPr>
                  <w:tcW w:w="468" w:type="pct"/>
                  <w:vAlign w:val="center"/>
                </w:tcPr>
                <w:p w14:paraId="54272974">
                  <w:pPr>
                    <w:keepNext w:val="0"/>
                    <w:keepLines w:val="0"/>
                    <w:pageBreakBefore w:val="0"/>
                    <w:kinsoku/>
                    <w:wordWrap/>
                    <w:overflowPunct/>
                    <w:topLinePunct w:val="0"/>
                    <w:autoSpaceDE/>
                    <w:autoSpaceDN/>
                    <w:bidi w:val="0"/>
                    <w:adjustRightInd w:val="0"/>
                    <w:snapToGrid w:val="0"/>
                    <w:spacing w:line="320" w:lineRule="exact"/>
                    <w:jc w:val="center"/>
                    <w:rPr>
                      <w:rFonts w:hint="default"/>
                      <w:color w:val="auto"/>
                      <w:highlight w:val="none"/>
                      <w:lang w:val="en-US"/>
                    </w:rPr>
                  </w:pPr>
                  <w:r>
                    <w:rPr>
                      <w:rFonts w:hint="eastAsia"/>
                      <w:color w:val="auto"/>
                      <w:highlight w:val="none"/>
                      <w:lang w:val="en-US" w:eastAsia="zh-CN"/>
                    </w:rPr>
                    <w:t>G12</w:t>
                  </w:r>
                </w:p>
              </w:tc>
              <w:tc>
                <w:tcPr>
                  <w:tcW w:w="1312" w:type="pct"/>
                  <w:vAlign w:val="center"/>
                </w:tcPr>
                <w:p w14:paraId="7D6E32E2">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r>
                    <w:rPr>
                      <w:color w:val="auto"/>
                      <w:highlight w:val="none"/>
                    </w:rPr>
                    <w:t>颗粒物</w:t>
                  </w:r>
                </w:p>
              </w:tc>
              <w:tc>
                <w:tcPr>
                  <w:tcW w:w="1574" w:type="pct"/>
                  <w:vMerge w:val="continue"/>
                  <w:vAlign w:val="center"/>
                </w:tcPr>
                <w:p w14:paraId="07A30FF3">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c>
                <w:tcPr>
                  <w:tcW w:w="501" w:type="pct"/>
                  <w:vMerge w:val="continue"/>
                  <w:vAlign w:val="center"/>
                </w:tcPr>
                <w:p w14:paraId="15A79CE5">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r>
            <w:tr w14:paraId="24347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397" w:hRule="atLeast"/>
              </w:trPr>
              <w:tc>
                <w:tcPr>
                  <w:tcW w:w="572" w:type="pct"/>
                  <w:vMerge w:val="continue"/>
                  <w:tcBorders>
                    <w:left w:val="single" w:color="auto" w:sz="4" w:space="0"/>
                    <w:right w:val="single" w:color="auto" w:sz="4" w:space="0"/>
                  </w:tcBorders>
                  <w:vAlign w:val="center"/>
                </w:tcPr>
                <w:p w14:paraId="3204FFEF">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p>
              </w:tc>
              <w:tc>
                <w:tcPr>
                  <w:tcW w:w="2351" w:type="pct"/>
                  <w:gridSpan w:val="3"/>
                  <w:tcBorders>
                    <w:left w:val="single" w:color="auto" w:sz="4" w:space="0"/>
                  </w:tcBorders>
                  <w:shd w:val="clear" w:color="auto" w:fill="auto"/>
                  <w:vAlign w:val="center"/>
                </w:tcPr>
                <w:p w14:paraId="04DB2FFF">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r>
                    <w:rPr>
                      <w:rFonts w:hint="eastAsia"/>
                      <w:color w:val="auto"/>
                      <w:highlight w:val="none"/>
                    </w:rPr>
                    <w:t>其余未被收集废气</w:t>
                  </w:r>
                </w:p>
              </w:tc>
              <w:tc>
                <w:tcPr>
                  <w:tcW w:w="1574" w:type="pct"/>
                  <w:shd w:val="clear" w:color="auto" w:fill="auto"/>
                  <w:vAlign w:val="center"/>
                </w:tcPr>
                <w:p w14:paraId="17A52726">
                  <w:pPr>
                    <w:keepNext w:val="0"/>
                    <w:keepLines w:val="0"/>
                    <w:pageBreakBefore w:val="0"/>
                    <w:kinsoku/>
                    <w:wordWrap/>
                    <w:overflowPunct/>
                    <w:topLinePunct w:val="0"/>
                    <w:autoSpaceDE/>
                    <w:autoSpaceDN/>
                    <w:bidi w:val="0"/>
                    <w:adjustRightInd w:val="0"/>
                    <w:snapToGrid w:val="0"/>
                    <w:spacing w:line="320" w:lineRule="exact"/>
                    <w:jc w:val="left"/>
                    <w:rPr>
                      <w:rFonts w:hint="default" w:eastAsia="宋体"/>
                      <w:color w:val="auto"/>
                      <w:highlight w:val="none"/>
                      <w:lang w:val="en-US" w:eastAsia="zh-CN"/>
                    </w:rPr>
                  </w:pPr>
                  <w:r>
                    <w:rPr>
                      <w:rFonts w:hint="eastAsia"/>
                      <w:color w:val="auto"/>
                      <w:highlight w:val="none"/>
                      <w:lang w:val="en-US" w:eastAsia="zh-CN"/>
                    </w:rPr>
                    <w:t>粉尘采取封闭</w:t>
                  </w:r>
                  <w:r>
                    <w:rPr>
                      <w:rFonts w:hint="eastAsia"/>
                      <w:color w:val="auto"/>
                      <w:highlight w:val="none"/>
                    </w:rPr>
                    <w:t>厂房阻隔沉降</w:t>
                  </w:r>
                  <w:r>
                    <w:rPr>
                      <w:rFonts w:hint="eastAsia"/>
                      <w:color w:val="auto"/>
                      <w:highlight w:val="none"/>
                      <w:lang w:eastAsia="zh-CN"/>
                    </w:rPr>
                    <w:t>；</w:t>
                  </w:r>
                  <w:r>
                    <w:rPr>
                      <w:rFonts w:hint="eastAsia"/>
                      <w:bCs/>
                      <w:color w:val="auto"/>
                      <w:kern w:val="0"/>
                      <w:szCs w:val="21"/>
                      <w:highlight w:val="none"/>
                    </w:rPr>
                    <w:t>氨、臭气浓度、硫化氢</w:t>
                  </w:r>
                  <w:r>
                    <w:rPr>
                      <w:rFonts w:hint="eastAsia"/>
                      <w:color w:val="auto"/>
                      <w:highlight w:val="none"/>
                    </w:rPr>
                    <w:t>、</w:t>
                  </w:r>
                  <w:r>
                    <w:rPr>
                      <w:rFonts w:hint="eastAsia"/>
                      <w:color w:val="auto"/>
                      <w:highlight w:val="none"/>
                      <w:lang w:val="en-US" w:eastAsia="zh-CN"/>
                    </w:rPr>
                    <w:t>定期喷洒除臭剂。</w:t>
                  </w:r>
                </w:p>
              </w:tc>
              <w:tc>
                <w:tcPr>
                  <w:tcW w:w="501" w:type="pct"/>
                  <w:shd w:val="clear" w:color="auto" w:fill="auto"/>
                  <w:vAlign w:val="center"/>
                </w:tcPr>
                <w:p w14:paraId="3D453CA6">
                  <w:pPr>
                    <w:keepNext w:val="0"/>
                    <w:keepLines w:val="0"/>
                    <w:pageBreakBefore w:val="0"/>
                    <w:kinsoku/>
                    <w:wordWrap/>
                    <w:overflowPunct/>
                    <w:topLinePunct w:val="0"/>
                    <w:autoSpaceDE/>
                    <w:autoSpaceDN/>
                    <w:bidi w:val="0"/>
                    <w:adjustRightInd w:val="0"/>
                    <w:snapToGrid w:val="0"/>
                    <w:spacing w:line="320" w:lineRule="exact"/>
                    <w:jc w:val="center"/>
                    <w:rPr>
                      <w:color w:val="auto"/>
                      <w:highlight w:val="none"/>
                    </w:rPr>
                  </w:pPr>
                  <w:r>
                    <w:rPr>
                      <w:rFonts w:hint="eastAsia"/>
                      <w:color w:val="auto"/>
                      <w:highlight w:val="none"/>
                    </w:rPr>
                    <w:t>无组织</w:t>
                  </w:r>
                </w:p>
              </w:tc>
            </w:tr>
          </w:tbl>
          <w:p w14:paraId="6DF04E8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eastAsia"/>
                <w:b/>
                <w:color w:val="auto"/>
                <w:kern w:val="0"/>
                <w:sz w:val="24"/>
                <w:highlight w:val="none"/>
                <w:lang w:eastAsia="zh-CN"/>
              </w:rPr>
            </w:pPr>
          </w:p>
          <w:p w14:paraId="0D10F65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default" w:eastAsia="宋体"/>
                <w:b/>
                <w:color w:val="auto"/>
                <w:kern w:val="0"/>
                <w:sz w:val="24"/>
                <w:highlight w:val="none"/>
                <w:lang w:val="en-US" w:eastAsia="zh-CN"/>
              </w:rPr>
            </w:pPr>
            <w:r>
              <w:rPr>
                <w:rFonts w:hint="eastAsia"/>
                <w:b/>
                <w:color w:val="auto"/>
                <w:kern w:val="0"/>
                <w:sz w:val="24"/>
                <w:highlight w:val="none"/>
                <w:lang w:eastAsia="zh-CN"/>
              </w:rPr>
              <w:t>（</w:t>
            </w:r>
            <w:r>
              <w:rPr>
                <w:rFonts w:hint="eastAsia"/>
                <w:b/>
                <w:color w:val="auto"/>
                <w:kern w:val="0"/>
                <w:sz w:val="24"/>
                <w:highlight w:val="none"/>
                <w:lang w:val="en-US" w:eastAsia="zh-CN"/>
              </w:rPr>
              <w:t>2</w:t>
            </w:r>
            <w:r>
              <w:rPr>
                <w:rFonts w:hint="eastAsia"/>
                <w:b/>
                <w:color w:val="auto"/>
                <w:kern w:val="0"/>
                <w:sz w:val="24"/>
                <w:highlight w:val="none"/>
                <w:lang w:eastAsia="zh-CN"/>
              </w:rPr>
              <w:t>）</w:t>
            </w:r>
            <w:r>
              <w:rPr>
                <w:rFonts w:hint="eastAsia"/>
                <w:b/>
                <w:color w:val="auto"/>
                <w:kern w:val="0"/>
                <w:sz w:val="24"/>
                <w:highlight w:val="none"/>
              </w:rPr>
              <w:t>大气污染物</w:t>
            </w:r>
            <w:r>
              <w:rPr>
                <w:rFonts w:hint="eastAsia"/>
                <w:b/>
                <w:color w:val="auto"/>
                <w:kern w:val="0"/>
                <w:sz w:val="24"/>
                <w:highlight w:val="none"/>
                <w:lang w:val="en-US" w:eastAsia="zh-CN"/>
              </w:rPr>
              <w:t>产排污分析</w:t>
            </w:r>
          </w:p>
          <w:p w14:paraId="5EC8346F">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b/>
                <w:bCs/>
                <w:color w:val="auto"/>
                <w:kern w:val="0"/>
                <w:sz w:val="24"/>
                <w:highlight w:val="none"/>
              </w:rPr>
            </w:pPr>
            <w:r>
              <w:rPr>
                <w:rFonts w:hint="eastAsia"/>
                <w:b/>
                <w:bCs/>
                <w:color w:val="auto"/>
                <w:kern w:val="0"/>
                <w:sz w:val="24"/>
                <w:highlight w:val="none"/>
              </w:rPr>
              <w:t>1）液态</w:t>
            </w:r>
            <w:r>
              <w:rPr>
                <w:rFonts w:hint="eastAsia"/>
                <w:b/>
                <w:bCs/>
                <w:color w:val="auto"/>
                <w:kern w:val="0"/>
                <w:sz w:val="24"/>
                <w:highlight w:val="none"/>
                <w:lang w:val="en-US" w:eastAsia="zh-CN"/>
              </w:rPr>
              <w:t>复合微生物肥</w:t>
            </w:r>
            <w:r>
              <w:rPr>
                <w:rFonts w:hint="eastAsia"/>
                <w:b/>
                <w:bCs/>
                <w:color w:val="auto"/>
                <w:kern w:val="0"/>
                <w:sz w:val="24"/>
                <w:highlight w:val="none"/>
              </w:rPr>
              <w:t>生产线</w:t>
            </w:r>
          </w:p>
          <w:p w14:paraId="2451A32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eastAsia="宋体"/>
                <w:b/>
                <w:bCs/>
                <w:color w:val="auto"/>
                <w:kern w:val="0"/>
                <w:sz w:val="24"/>
                <w:highlight w:val="none"/>
                <w:lang w:val="en-US" w:eastAsia="zh-CN"/>
              </w:rPr>
            </w:pPr>
            <w:r>
              <w:rPr>
                <w:rFonts w:hint="eastAsia"/>
                <w:b/>
                <w:bCs/>
                <w:color w:val="auto"/>
                <w:kern w:val="0"/>
                <w:sz w:val="24"/>
                <w:highlight w:val="none"/>
              </w:rPr>
              <w:t>①</w:t>
            </w:r>
            <w:r>
              <w:rPr>
                <w:rFonts w:hint="eastAsia"/>
                <w:b/>
                <w:bCs/>
                <w:color w:val="auto"/>
                <w:kern w:val="0"/>
                <w:sz w:val="24"/>
                <w:highlight w:val="none"/>
                <w:lang w:val="en-US" w:eastAsia="zh-CN"/>
              </w:rPr>
              <w:t>氨、硫化氢</w:t>
            </w:r>
          </w:p>
          <w:p w14:paraId="1EBAD3F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eastAsia="宋体"/>
                <w:color w:val="auto"/>
                <w:kern w:val="0"/>
                <w:sz w:val="24"/>
                <w:highlight w:val="none"/>
                <w:lang w:val="en-US" w:eastAsia="zh-CN"/>
              </w:rPr>
            </w:pPr>
            <w:r>
              <w:rPr>
                <w:rFonts w:hint="eastAsia"/>
                <w:color w:val="auto"/>
                <w:kern w:val="0"/>
                <w:sz w:val="24"/>
                <w:highlight w:val="none"/>
                <w:lang w:val="en-US" w:eastAsia="zh-CN"/>
              </w:rPr>
              <w:t>A、源强</w:t>
            </w:r>
          </w:p>
          <w:p w14:paraId="11F59BB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highlight w:val="none"/>
              </w:rPr>
            </w:pPr>
            <w:r>
              <w:rPr>
                <w:rFonts w:hint="eastAsia"/>
                <w:color w:val="auto"/>
                <w:kern w:val="0"/>
                <w:sz w:val="24"/>
                <w:highlight w:val="none"/>
              </w:rPr>
              <w:t>在</w:t>
            </w:r>
            <w:r>
              <w:rPr>
                <w:rFonts w:hint="eastAsia"/>
                <w:color w:val="auto"/>
                <w:kern w:val="0"/>
                <w:sz w:val="24"/>
                <w:highlight w:val="none"/>
                <w:lang w:eastAsia="zh-CN"/>
              </w:rPr>
              <w:t>液体复合微生物肥</w:t>
            </w:r>
            <w:r>
              <w:rPr>
                <w:rFonts w:hint="eastAsia"/>
                <w:color w:val="auto"/>
                <w:kern w:val="0"/>
                <w:sz w:val="24"/>
                <w:highlight w:val="none"/>
              </w:rPr>
              <w:t>的发酵、搅拌过程中，会释放硫化氢、氨气等具有强烈臭味的气体，这些气味刺激人的嗅觉器官，引发厌恶或不愉快感。</w:t>
            </w:r>
          </w:p>
          <w:p w14:paraId="5FA584C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highlight w:val="none"/>
              </w:rPr>
            </w:pPr>
            <w:r>
              <w:rPr>
                <w:rFonts w:hint="eastAsia"/>
                <w:color w:val="auto"/>
                <w:kern w:val="0"/>
                <w:sz w:val="24"/>
                <w:highlight w:val="none"/>
              </w:rPr>
              <w:t>本项目采用密闭发酵罐进行发酵，搅拌</w:t>
            </w:r>
            <w:r>
              <w:rPr>
                <w:rFonts w:hint="eastAsia"/>
                <w:color w:val="auto"/>
                <w:kern w:val="0"/>
                <w:sz w:val="24"/>
                <w:highlight w:val="none"/>
                <w:lang w:val="en-US" w:eastAsia="zh-CN"/>
              </w:rPr>
              <w:t>在密闭</w:t>
            </w:r>
            <w:r>
              <w:rPr>
                <w:rFonts w:hint="eastAsia"/>
                <w:color w:val="auto"/>
                <w:kern w:val="0"/>
                <w:sz w:val="24"/>
                <w:highlight w:val="none"/>
              </w:rPr>
              <w:t>罐进行搅拌，减少了废气排放量</w:t>
            </w:r>
            <w:r>
              <w:rPr>
                <w:rFonts w:hint="eastAsia"/>
                <w:color w:val="auto"/>
                <w:kern w:val="0"/>
                <w:sz w:val="24"/>
                <w:highlight w:val="none"/>
                <w:lang w:eastAsia="zh-CN"/>
              </w:rPr>
              <w:t>，</w:t>
            </w:r>
            <w:r>
              <w:rPr>
                <w:rFonts w:hint="eastAsia"/>
                <w:color w:val="auto"/>
                <w:kern w:val="0"/>
                <w:sz w:val="24"/>
                <w:highlight w:val="none"/>
                <w:lang w:val="en-US" w:eastAsia="zh-CN"/>
              </w:rPr>
              <w:t>臭气仅在密闭发酵罐开罐是短暂排放，其产生时间短，且为间断产出；不好收集处理，本次拟采取厂房密闭（仅预留进出口）；物料投料轻拿轻放、湿法搅拌；发酵罐密封发酵并采取发酵罐及时清洗、加强通风、开罐和搅拌期间喷洒除臭剂减轻臭气浓度对周边环境的影响</w:t>
            </w:r>
            <w:r>
              <w:rPr>
                <w:rFonts w:hint="eastAsia"/>
                <w:color w:val="auto"/>
                <w:kern w:val="0"/>
                <w:sz w:val="24"/>
                <w:highlight w:val="none"/>
              </w:rPr>
              <w:t>。</w:t>
            </w:r>
          </w:p>
          <w:p w14:paraId="7F29606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highlight w:val="none"/>
                <w:lang w:eastAsia="zh-CN"/>
              </w:rPr>
            </w:pPr>
            <w:r>
              <w:rPr>
                <w:rFonts w:hint="eastAsia"/>
                <w:color w:val="auto"/>
                <w:kern w:val="0"/>
                <w:sz w:val="24"/>
                <w:highlight w:val="none"/>
              </w:rPr>
              <w:t>发酵过程因由于发酵罐的新陈代谢作用，将产生H</w:t>
            </w:r>
            <w:r>
              <w:rPr>
                <w:rFonts w:hint="eastAsia"/>
                <w:color w:val="auto"/>
                <w:kern w:val="0"/>
                <w:sz w:val="24"/>
                <w:highlight w:val="none"/>
                <w:vertAlign w:val="subscript"/>
              </w:rPr>
              <w:t>2</w:t>
            </w:r>
            <w:r>
              <w:rPr>
                <w:rFonts w:hint="eastAsia"/>
                <w:color w:val="auto"/>
                <w:kern w:val="0"/>
                <w:sz w:val="24"/>
                <w:highlight w:val="none"/>
              </w:rPr>
              <w:t>S、NH</w:t>
            </w:r>
            <w:r>
              <w:rPr>
                <w:rFonts w:hint="eastAsia"/>
                <w:color w:val="auto"/>
                <w:kern w:val="0"/>
                <w:sz w:val="24"/>
                <w:highlight w:val="none"/>
                <w:vertAlign w:val="subscript"/>
              </w:rPr>
              <w:t>3</w:t>
            </w:r>
            <w:r>
              <w:rPr>
                <w:rFonts w:hint="eastAsia"/>
                <w:color w:val="auto"/>
                <w:kern w:val="0"/>
                <w:sz w:val="24"/>
                <w:highlight w:val="none"/>
              </w:rPr>
              <w:t>等恶臭污染物，可能给周围大气环境带来恶臭影响</w:t>
            </w:r>
            <w:r>
              <w:rPr>
                <w:rFonts w:hint="eastAsia"/>
                <w:color w:val="auto"/>
                <w:kern w:val="0"/>
                <w:sz w:val="24"/>
                <w:highlight w:val="none"/>
                <w:lang w:eastAsia="zh-CN"/>
              </w:rPr>
              <w:t>。</w:t>
            </w:r>
          </w:p>
          <w:p w14:paraId="6026274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highlight w:val="none"/>
                <w:lang w:val="en-US" w:eastAsia="zh-CN"/>
              </w:rPr>
            </w:pPr>
            <w:r>
              <w:rPr>
                <w:rFonts w:hint="eastAsia"/>
                <w:color w:val="auto"/>
                <w:kern w:val="0"/>
                <w:sz w:val="24"/>
                <w:highlight w:val="none"/>
              </w:rPr>
              <w:t>目前国家及地方暂未发布发酵行业废气产排污系数资料，</w:t>
            </w:r>
            <w:r>
              <w:rPr>
                <w:rFonts w:hint="eastAsia"/>
                <w:color w:val="auto"/>
                <w:kern w:val="0"/>
                <w:sz w:val="24"/>
                <w:highlight w:val="none"/>
                <w:lang w:val="en-US" w:eastAsia="zh-CN"/>
              </w:rPr>
              <w:t>本项目</w:t>
            </w:r>
            <w:r>
              <w:rPr>
                <w:rFonts w:hint="eastAsia"/>
                <w:color w:val="auto"/>
                <w:kern w:val="0"/>
                <w:sz w:val="24"/>
                <w:highlight w:val="none"/>
              </w:rPr>
              <w:t>氨产污系数参照《第二次全国污染源普查产排量核算系数手册》（2019年）</w:t>
            </w:r>
            <w:r>
              <w:rPr>
                <w:rFonts w:hint="eastAsia"/>
                <w:color w:val="auto"/>
                <w:kern w:val="0"/>
                <w:sz w:val="24"/>
                <w:highlight w:val="none"/>
                <w:lang w:eastAsia="zh-CN"/>
              </w:rPr>
              <w:t>“</w:t>
            </w:r>
            <w:r>
              <w:rPr>
                <w:rFonts w:hint="eastAsia"/>
                <w:color w:val="auto"/>
                <w:kern w:val="0"/>
                <w:sz w:val="24"/>
                <w:highlight w:val="none"/>
              </w:rPr>
              <w:t>2625有机肥料及微生物肥料制造行业产污系数</w:t>
            </w:r>
            <w:r>
              <w:rPr>
                <w:rFonts w:hint="eastAsia"/>
                <w:color w:val="auto"/>
                <w:kern w:val="0"/>
                <w:sz w:val="24"/>
                <w:highlight w:val="none"/>
                <w:lang w:eastAsia="zh-CN"/>
              </w:rPr>
              <w:t>”</w:t>
            </w:r>
            <w:r>
              <w:rPr>
                <w:rFonts w:hint="eastAsia"/>
                <w:color w:val="auto"/>
                <w:kern w:val="0"/>
                <w:sz w:val="24"/>
                <w:highlight w:val="none"/>
              </w:rPr>
              <w:t>中</w:t>
            </w:r>
            <w:r>
              <w:rPr>
                <w:rFonts w:hint="eastAsia"/>
                <w:color w:val="auto"/>
                <w:kern w:val="0"/>
                <w:sz w:val="24"/>
                <w:highlight w:val="none"/>
                <w:lang w:eastAsia="zh-CN"/>
              </w:rPr>
              <w:t>“</w:t>
            </w:r>
            <w:r>
              <w:rPr>
                <w:rFonts w:hint="eastAsia"/>
                <w:color w:val="auto"/>
                <w:kern w:val="0"/>
                <w:sz w:val="24"/>
                <w:highlight w:val="none"/>
                <w:lang w:val="en-US" w:eastAsia="zh-CN"/>
              </w:rPr>
              <w:t>罐式发酵</w:t>
            </w:r>
            <w:r>
              <w:rPr>
                <w:rFonts w:hint="eastAsia"/>
                <w:color w:val="auto"/>
                <w:kern w:val="0"/>
                <w:sz w:val="24"/>
                <w:highlight w:val="none"/>
                <w:lang w:eastAsia="zh-CN"/>
              </w:rPr>
              <w:t>”</w:t>
            </w:r>
            <w:r>
              <w:rPr>
                <w:rFonts w:hint="eastAsia"/>
                <w:color w:val="auto"/>
                <w:kern w:val="0"/>
                <w:sz w:val="24"/>
                <w:highlight w:val="none"/>
                <w:lang w:val="en-US" w:eastAsia="zh-CN"/>
              </w:rPr>
              <w:t>氨的产污序数为0.01kg/t产品。</w:t>
            </w:r>
          </w:p>
          <w:p w14:paraId="7A72049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highlight w:val="none"/>
                <w:lang w:val="en-US" w:eastAsia="zh-CN"/>
              </w:rPr>
            </w:pPr>
            <w:r>
              <w:rPr>
                <w:rFonts w:hint="eastAsia"/>
                <w:color w:val="auto"/>
                <w:kern w:val="0"/>
                <w:sz w:val="24"/>
                <w:highlight w:val="none"/>
                <w:lang w:val="en-US" w:eastAsia="zh-CN"/>
              </w:rPr>
              <w:t>H</w:t>
            </w:r>
            <w:r>
              <w:rPr>
                <w:rFonts w:hint="eastAsia"/>
                <w:color w:val="auto"/>
                <w:kern w:val="0"/>
                <w:sz w:val="24"/>
                <w:highlight w:val="none"/>
                <w:vertAlign w:val="subscript"/>
                <w:lang w:val="en-US" w:eastAsia="zh-CN"/>
              </w:rPr>
              <w:t>2</w:t>
            </w:r>
            <w:r>
              <w:rPr>
                <w:rFonts w:hint="eastAsia"/>
                <w:color w:val="auto"/>
                <w:kern w:val="0"/>
                <w:sz w:val="24"/>
                <w:highlight w:val="none"/>
                <w:lang w:val="en-US" w:eastAsia="zh-CN"/>
              </w:rPr>
              <w:t>S主要源于微生物在厌氧条件下对含硫有机物的分解；原料中蛋白质/含硫氨基酸越丰富，H</w:t>
            </w:r>
            <w:r>
              <w:rPr>
                <w:rFonts w:hint="eastAsia"/>
                <w:color w:val="auto"/>
                <w:kern w:val="0"/>
                <w:sz w:val="24"/>
                <w:highlight w:val="none"/>
                <w:vertAlign w:val="subscript"/>
                <w:lang w:val="en-US" w:eastAsia="zh-CN"/>
              </w:rPr>
              <w:t>2</w:t>
            </w:r>
            <w:r>
              <w:rPr>
                <w:rFonts w:hint="eastAsia"/>
                <w:color w:val="auto"/>
                <w:kern w:val="0"/>
                <w:sz w:val="24"/>
                <w:highlight w:val="none"/>
                <w:lang w:val="en-US" w:eastAsia="zh-CN"/>
              </w:rPr>
              <w:t>S生成量越大，鸡粪和猪粪因蛋白质及含硫氨基酸（如半胱氨酸、蛋氨酸）含量显著高于本项目使用的果蔬废物，厌氧发酵时含硫有机物分解更充分，导致所产沼气中硫化氢浓度最高，即畜禽发酵废气产生的硫化氢＞果蔬废物产生的硫化氢，类比安徽省立腾同创生物有机肥有限公司年产10万吨有机肥生产项目、福建农基农业生物科技有限公司年产20000吨有机肥项目、纳若夏有机肥料生产项目等项目（其与本项目使用原辅料、生产工艺相近，原料主要为农业固体废弃物，不使用畜禽粪便）及参考《畜禽场环境评价》（刘成国主编，中国标准出版社）“粪便中氮的挥发量约占氨氮总量的10%，其中NH</w:t>
            </w:r>
            <w:r>
              <w:rPr>
                <w:rFonts w:hint="eastAsia"/>
                <w:color w:val="auto"/>
                <w:kern w:val="0"/>
                <w:sz w:val="24"/>
                <w:highlight w:val="none"/>
                <w:vertAlign w:val="subscript"/>
                <w:lang w:val="en-US" w:eastAsia="zh-CN"/>
              </w:rPr>
              <w:t>3</w:t>
            </w:r>
            <w:r>
              <w:rPr>
                <w:rFonts w:hint="eastAsia"/>
                <w:color w:val="auto"/>
                <w:kern w:val="0"/>
                <w:sz w:val="24"/>
                <w:highlight w:val="none"/>
                <w:lang w:val="en-US" w:eastAsia="zh-CN"/>
              </w:rPr>
              <w:t>占挥发总量的25%，H</w:t>
            </w:r>
            <w:r>
              <w:rPr>
                <w:rFonts w:hint="eastAsia"/>
                <w:color w:val="auto"/>
                <w:kern w:val="0"/>
                <w:sz w:val="24"/>
                <w:highlight w:val="none"/>
                <w:vertAlign w:val="subscript"/>
                <w:lang w:val="en-US" w:eastAsia="zh-CN"/>
              </w:rPr>
              <w:t>2</w:t>
            </w:r>
            <w:r>
              <w:rPr>
                <w:rFonts w:hint="eastAsia"/>
                <w:color w:val="auto"/>
                <w:kern w:val="0"/>
                <w:sz w:val="24"/>
                <w:highlight w:val="none"/>
                <w:lang w:val="en-US" w:eastAsia="zh-CN"/>
              </w:rPr>
              <w:t>S为NH</w:t>
            </w:r>
            <w:r>
              <w:rPr>
                <w:rFonts w:hint="eastAsia"/>
                <w:color w:val="auto"/>
                <w:kern w:val="0"/>
                <w:sz w:val="24"/>
                <w:highlight w:val="none"/>
                <w:vertAlign w:val="subscript"/>
                <w:lang w:val="en-US" w:eastAsia="zh-CN"/>
              </w:rPr>
              <w:t>3</w:t>
            </w:r>
            <w:r>
              <w:rPr>
                <w:rFonts w:hint="eastAsia"/>
                <w:color w:val="auto"/>
                <w:kern w:val="0"/>
                <w:sz w:val="24"/>
                <w:highlight w:val="none"/>
                <w:lang w:val="en-US" w:eastAsia="zh-CN"/>
              </w:rPr>
              <w:t>的10%”，考虑不利原则，本项目H</w:t>
            </w:r>
            <w:r>
              <w:rPr>
                <w:rFonts w:hint="eastAsia"/>
                <w:color w:val="auto"/>
                <w:kern w:val="0"/>
                <w:sz w:val="24"/>
                <w:highlight w:val="none"/>
                <w:vertAlign w:val="subscript"/>
                <w:lang w:val="en-US" w:eastAsia="zh-CN"/>
              </w:rPr>
              <w:t>2</w:t>
            </w:r>
            <w:r>
              <w:rPr>
                <w:rFonts w:hint="eastAsia"/>
                <w:color w:val="auto"/>
                <w:kern w:val="0"/>
                <w:sz w:val="24"/>
                <w:highlight w:val="none"/>
                <w:lang w:val="en-US" w:eastAsia="zh-CN"/>
              </w:rPr>
              <w:t>S产污系数取氨的10%，即0.001kg/t-产品。</w:t>
            </w:r>
          </w:p>
          <w:p w14:paraId="3C1B9E2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eastAsia="宋体"/>
                <w:color w:val="auto"/>
                <w:kern w:val="0"/>
                <w:sz w:val="24"/>
                <w:highlight w:val="none"/>
                <w:lang w:val="en-US" w:eastAsia="zh-CN"/>
              </w:rPr>
            </w:pPr>
            <w:r>
              <w:rPr>
                <w:rFonts w:hint="eastAsia"/>
                <w:color w:val="auto"/>
                <w:kern w:val="0"/>
                <w:sz w:val="24"/>
                <w:highlight w:val="none"/>
                <w:lang w:val="en-US" w:eastAsia="zh-CN"/>
              </w:rPr>
              <w:t>经计算，本项目</w:t>
            </w:r>
            <w:r>
              <w:rPr>
                <w:rFonts w:hint="eastAsia"/>
                <w:color w:val="auto"/>
                <w:kern w:val="0"/>
                <w:sz w:val="24"/>
                <w:highlight w:val="none"/>
                <w:lang w:eastAsia="zh-CN"/>
              </w:rPr>
              <w:t>液体复合微生物肥</w:t>
            </w:r>
            <w:r>
              <w:rPr>
                <w:rFonts w:hint="eastAsia"/>
                <w:color w:val="auto"/>
                <w:kern w:val="0"/>
                <w:sz w:val="24"/>
                <w:highlight w:val="none"/>
                <w:lang w:val="en-US" w:eastAsia="zh-CN"/>
              </w:rPr>
              <w:t>产量为16000t/a，则发酵、搅拌氨和硫化氢产生量分别为0.16t/a，0.016t/a。</w:t>
            </w:r>
          </w:p>
          <w:p w14:paraId="06CF3AB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eastAsia="宋体"/>
                <w:color w:val="auto"/>
                <w:kern w:val="0"/>
                <w:sz w:val="24"/>
                <w:highlight w:val="none"/>
                <w:lang w:val="en-US" w:eastAsia="zh-CN"/>
              </w:rPr>
            </w:pPr>
            <w:r>
              <w:rPr>
                <w:rFonts w:hint="eastAsia"/>
                <w:color w:val="auto"/>
                <w:kern w:val="0"/>
                <w:sz w:val="24"/>
                <w:highlight w:val="none"/>
                <w:lang w:val="en-US" w:eastAsia="zh-CN"/>
              </w:rPr>
              <w:t>B、防治措施</w:t>
            </w:r>
          </w:p>
          <w:p w14:paraId="2F9001D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highlight w:val="none"/>
              </w:rPr>
            </w:pPr>
            <w:r>
              <w:rPr>
                <w:rFonts w:hint="eastAsia"/>
                <w:color w:val="auto"/>
                <w:kern w:val="0"/>
                <w:sz w:val="24"/>
                <w:highlight w:val="none"/>
              </w:rPr>
              <w:t>采用密闭发酵罐进行发酵，搅拌在密闭罐进行搅拌，减少了废气排放量，臭气仅在密闭发酵罐开罐是短暂排放，其产生时间短，且为间断产出；</w:t>
            </w:r>
            <w:r>
              <w:rPr>
                <w:rFonts w:hint="eastAsia"/>
                <w:color w:val="auto"/>
                <w:kern w:val="0"/>
                <w:sz w:val="24"/>
                <w:highlight w:val="none"/>
                <w:lang w:val="en-US" w:eastAsia="zh-CN"/>
              </w:rPr>
              <w:t>用地有限，</w:t>
            </w:r>
            <w:r>
              <w:rPr>
                <w:rFonts w:hint="eastAsia"/>
                <w:color w:val="auto"/>
                <w:kern w:val="0"/>
                <w:sz w:val="24"/>
                <w:highlight w:val="none"/>
              </w:rPr>
              <w:t>不好收集处理</w:t>
            </w:r>
            <w:r>
              <w:rPr>
                <w:rFonts w:hint="eastAsia"/>
                <w:color w:val="auto"/>
                <w:kern w:val="0"/>
                <w:sz w:val="24"/>
                <w:highlight w:val="none"/>
                <w:lang w:val="en-US" w:eastAsia="zh-CN"/>
              </w:rPr>
              <w:t>的特点</w:t>
            </w:r>
            <w:r>
              <w:rPr>
                <w:rFonts w:hint="eastAsia"/>
                <w:color w:val="auto"/>
                <w:kern w:val="0"/>
                <w:sz w:val="24"/>
                <w:highlight w:val="none"/>
              </w:rPr>
              <w:t>，本次拟采取发酵密封发酵并采取发酵罐及时清洗、加强通风、开罐和搅拌期间喷洒除臭剂减轻臭气浓度对周边环境的影响。</w:t>
            </w:r>
          </w:p>
          <w:p w14:paraId="1683D35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eastAsia="宋体"/>
                <w:color w:val="auto"/>
                <w:kern w:val="0"/>
                <w:sz w:val="24"/>
                <w:highlight w:val="none"/>
                <w:lang w:val="en-US" w:eastAsia="zh-CN"/>
              </w:rPr>
            </w:pPr>
            <w:r>
              <w:rPr>
                <w:rFonts w:hint="eastAsia"/>
                <w:color w:val="auto"/>
                <w:kern w:val="0"/>
                <w:sz w:val="24"/>
                <w:highlight w:val="none"/>
                <w:lang w:val="en-US" w:eastAsia="zh-CN"/>
              </w:rPr>
              <w:t>C、排放情况</w:t>
            </w:r>
          </w:p>
          <w:p w14:paraId="3BD6301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highlight w:val="none"/>
              </w:rPr>
            </w:pPr>
            <w:r>
              <w:rPr>
                <w:rFonts w:hint="eastAsia"/>
                <w:color w:val="auto"/>
                <w:kern w:val="0"/>
                <w:sz w:val="24"/>
                <w:highlight w:val="none"/>
              </w:rPr>
              <w:t>根据查阅资料，目前市场上主要销售的生物除臭剂（大力克、万洁芬等）对NH</w:t>
            </w:r>
            <w:r>
              <w:rPr>
                <w:rFonts w:hint="eastAsia"/>
                <w:color w:val="auto"/>
                <w:kern w:val="0"/>
                <w:sz w:val="24"/>
                <w:highlight w:val="none"/>
                <w:vertAlign w:val="subscript"/>
              </w:rPr>
              <w:t>3</w:t>
            </w:r>
            <w:r>
              <w:rPr>
                <w:rFonts w:hint="eastAsia"/>
                <w:color w:val="auto"/>
                <w:kern w:val="0"/>
                <w:sz w:val="24"/>
                <w:highlight w:val="none"/>
              </w:rPr>
              <w:t>和H</w:t>
            </w:r>
            <w:r>
              <w:rPr>
                <w:rFonts w:hint="eastAsia"/>
                <w:color w:val="auto"/>
                <w:kern w:val="0"/>
                <w:sz w:val="24"/>
                <w:highlight w:val="none"/>
                <w:vertAlign w:val="subscript"/>
              </w:rPr>
              <w:t>2</w:t>
            </w:r>
            <w:r>
              <w:rPr>
                <w:rFonts w:hint="eastAsia"/>
                <w:color w:val="auto"/>
                <w:kern w:val="0"/>
                <w:sz w:val="24"/>
                <w:highlight w:val="none"/>
              </w:rPr>
              <w:t>S的去除效率分别为92%和89%（根据《自然科学》现代化农业，2011年第6期(总第383期)“微生物除臭剂研究进展”（赵晓锋，隋文志）的资料，经国家环境分析测试中心和陕西环境监测中心测试生物除臭剂（大力克、万洁芬等）对NH</w:t>
            </w:r>
            <w:r>
              <w:rPr>
                <w:rFonts w:hint="eastAsia"/>
                <w:color w:val="auto"/>
                <w:kern w:val="0"/>
                <w:sz w:val="24"/>
                <w:highlight w:val="none"/>
                <w:vertAlign w:val="subscript"/>
              </w:rPr>
              <w:t>3</w:t>
            </w:r>
            <w:r>
              <w:rPr>
                <w:rFonts w:hint="eastAsia"/>
                <w:color w:val="auto"/>
                <w:kern w:val="0"/>
                <w:sz w:val="24"/>
                <w:highlight w:val="none"/>
              </w:rPr>
              <w:t>和H</w:t>
            </w:r>
            <w:r>
              <w:rPr>
                <w:rFonts w:hint="eastAsia"/>
                <w:color w:val="auto"/>
                <w:kern w:val="0"/>
                <w:sz w:val="24"/>
                <w:highlight w:val="none"/>
                <w:vertAlign w:val="subscript"/>
              </w:rPr>
              <w:t>2</w:t>
            </w:r>
            <w:r>
              <w:rPr>
                <w:rFonts w:hint="eastAsia"/>
                <w:color w:val="auto"/>
                <w:kern w:val="0"/>
                <w:sz w:val="24"/>
                <w:highlight w:val="none"/>
              </w:rPr>
              <w:t>S的去除效率分别达92%和89%）。考虑到各种综合因素，本环评对NH</w:t>
            </w:r>
            <w:r>
              <w:rPr>
                <w:rFonts w:hint="eastAsia"/>
                <w:color w:val="auto"/>
                <w:kern w:val="0"/>
                <w:sz w:val="24"/>
                <w:highlight w:val="none"/>
                <w:vertAlign w:val="subscript"/>
              </w:rPr>
              <w:t>3</w:t>
            </w:r>
            <w:r>
              <w:rPr>
                <w:rFonts w:hint="eastAsia"/>
                <w:color w:val="auto"/>
                <w:kern w:val="0"/>
                <w:sz w:val="24"/>
                <w:highlight w:val="none"/>
              </w:rPr>
              <w:t>和H</w:t>
            </w:r>
            <w:r>
              <w:rPr>
                <w:rFonts w:hint="eastAsia"/>
                <w:color w:val="auto"/>
                <w:kern w:val="0"/>
                <w:sz w:val="24"/>
                <w:highlight w:val="none"/>
                <w:vertAlign w:val="subscript"/>
              </w:rPr>
              <w:t>2</w:t>
            </w:r>
            <w:r>
              <w:rPr>
                <w:rFonts w:hint="eastAsia"/>
                <w:color w:val="auto"/>
                <w:kern w:val="0"/>
                <w:sz w:val="24"/>
                <w:highlight w:val="none"/>
              </w:rPr>
              <w:t>S的去除效率取</w:t>
            </w:r>
            <w:r>
              <w:rPr>
                <w:rFonts w:hint="eastAsia"/>
                <w:color w:val="auto"/>
                <w:kern w:val="0"/>
                <w:sz w:val="24"/>
                <w:highlight w:val="none"/>
                <w:lang w:val="en-US" w:eastAsia="zh-CN"/>
              </w:rPr>
              <w:t>7</w:t>
            </w:r>
            <w:r>
              <w:rPr>
                <w:rFonts w:hint="eastAsia"/>
                <w:color w:val="auto"/>
                <w:kern w:val="0"/>
                <w:sz w:val="24"/>
                <w:highlight w:val="none"/>
              </w:rPr>
              <w:t>0%，则项目恶臭气体中NH</w:t>
            </w:r>
            <w:r>
              <w:rPr>
                <w:rFonts w:hint="eastAsia"/>
                <w:color w:val="auto"/>
                <w:kern w:val="0"/>
                <w:sz w:val="24"/>
                <w:highlight w:val="none"/>
                <w:vertAlign w:val="subscript"/>
              </w:rPr>
              <w:t>3</w:t>
            </w:r>
            <w:r>
              <w:rPr>
                <w:rFonts w:hint="eastAsia"/>
                <w:color w:val="auto"/>
                <w:kern w:val="0"/>
                <w:sz w:val="24"/>
                <w:highlight w:val="none"/>
              </w:rPr>
              <w:t>的排放量为0.0</w:t>
            </w:r>
            <w:r>
              <w:rPr>
                <w:rFonts w:hint="eastAsia"/>
                <w:color w:val="auto"/>
                <w:kern w:val="0"/>
                <w:sz w:val="24"/>
                <w:highlight w:val="none"/>
                <w:lang w:val="en-US" w:eastAsia="zh-CN"/>
              </w:rPr>
              <w:t>48</w:t>
            </w:r>
            <w:r>
              <w:rPr>
                <w:rFonts w:hint="eastAsia"/>
                <w:color w:val="auto"/>
                <w:kern w:val="0"/>
                <w:sz w:val="24"/>
                <w:highlight w:val="none"/>
              </w:rPr>
              <w:t>t/a，H</w:t>
            </w:r>
            <w:r>
              <w:rPr>
                <w:rFonts w:hint="eastAsia"/>
                <w:color w:val="auto"/>
                <w:kern w:val="0"/>
                <w:sz w:val="24"/>
                <w:highlight w:val="none"/>
                <w:vertAlign w:val="subscript"/>
              </w:rPr>
              <w:t>2</w:t>
            </w:r>
            <w:r>
              <w:rPr>
                <w:rFonts w:hint="eastAsia"/>
                <w:color w:val="auto"/>
                <w:kern w:val="0"/>
                <w:sz w:val="24"/>
                <w:highlight w:val="none"/>
              </w:rPr>
              <w:t>S的排放量0.</w:t>
            </w:r>
            <w:r>
              <w:rPr>
                <w:rFonts w:hint="eastAsia"/>
                <w:color w:val="auto"/>
                <w:kern w:val="0"/>
                <w:sz w:val="24"/>
                <w:highlight w:val="none"/>
                <w:lang w:val="en-US" w:eastAsia="zh-CN"/>
              </w:rPr>
              <w:t>005</w:t>
            </w:r>
            <w:r>
              <w:rPr>
                <w:rFonts w:hint="eastAsia"/>
                <w:color w:val="auto"/>
                <w:kern w:val="0"/>
                <w:sz w:val="24"/>
                <w:highlight w:val="none"/>
              </w:rPr>
              <w:t>t/a，经大气扩散及绿化吸收后对周围环境影响较小。</w:t>
            </w:r>
          </w:p>
          <w:p w14:paraId="51BDD46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②</w:t>
            </w:r>
            <w:r>
              <w:rPr>
                <w:rFonts w:hint="eastAsia" w:cs="Times New Roman"/>
                <w:b/>
                <w:bCs/>
                <w:color w:val="auto"/>
                <w:kern w:val="0"/>
                <w:sz w:val="24"/>
                <w:szCs w:val="24"/>
                <w:highlight w:val="none"/>
                <w:lang w:val="en-US" w:eastAsia="zh-CN" w:bidi="ar-SA"/>
              </w:rPr>
              <w:t>颗粒物</w:t>
            </w:r>
          </w:p>
          <w:p w14:paraId="5D94AE0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color w:val="auto"/>
                <w:kern w:val="0"/>
                <w:sz w:val="24"/>
                <w:highlight w:val="none"/>
                <w:lang w:val="en-US" w:eastAsia="zh-CN"/>
              </w:rPr>
            </w:pPr>
            <w:r>
              <w:rPr>
                <w:rFonts w:hint="eastAsia"/>
                <w:color w:val="auto"/>
                <w:kern w:val="0"/>
                <w:sz w:val="24"/>
                <w:highlight w:val="none"/>
                <w:lang w:val="en-US" w:eastAsia="zh-CN"/>
              </w:rPr>
              <w:t>A、源强</w:t>
            </w:r>
          </w:p>
          <w:p w14:paraId="4720088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highlight w:val="none"/>
                <w:lang w:eastAsia="zh-CN"/>
              </w:rPr>
            </w:pPr>
            <w:r>
              <w:rPr>
                <w:rFonts w:hint="eastAsia"/>
                <w:color w:val="auto"/>
                <w:kern w:val="0"/>
                <w:sz w:val="24"/>
                <w:highlight w:val="none"/>
                <w:lang w:eastAsia="zh-CN"/>
              </w:rPr>
              <w:t>本项目液体复合微生物肥前后处理</w:t>
            </w:r>
            <w:r>
              <w:rPr>
                <w:rFonts w:hint="eastAsia"/>
                <w:color w:val="auto"/>
                <w:kern w:val="0"/>
                <w:sz w:val="24"/>
                <w:highlight w:val="none"/>
                <w:lang w:val="en-US" w:eastAsia="zh-CN"/>
              </w:rPr>
              <w:t>主要</w:t>
            </w:r>
            <w:r>
              <w:rPr>
                <w:rFonts w:hint="eastAsia"/>
                <w:color w:val="auto"/>
                <w:kern w:val="0"/>
                <w:sz w:val="24"/>
                <w:highlight w:val="none"/>
                <w:lang w:eastAsia="zh-CN"/>
              </w:rPr>
              <w:t>包括：投料</w:t>
            </w:r>
            <w:r>
              <w:rPr>
                <w:rFonts w:hint="eastAsia"/>
                <w:color w:val="auto"/>
                <w:kern w:val="0"/>
                <w:sz w:val="24"/>
                <w:highlight w:val="none"/>
                <w:lang w:val="en-US" w:eastAsia="zh-CN"/>
              </w:rPr>
              <w:t>和搅拌</w:t>
            </w:r>
            <w:r>
              <w:rPr>
                <w:rFonts w:hint="eastAsia"/>
                <w:color w:val="auto"/>
                <w:kern w:val="0"/>
                <w:sz w:val="24"/>
                <w:highlight w:val="none"/>
                <w:lang w:eastAsia="zh-CN"/>
              </w:rPr>
              <w:t>。</w:t>
            </w:r>
          </w:p>
          <w:p w14:paraId="2FB6665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color w:val="auto"/>
                <w:kern w:val="0"/>
                <w:sz w:val="24"/>
                <w:highlight w:val="none"/>
                <w:lang w:val="en-US" w:eastAsia="zh-CN"/>
              </w:rPr>
            </w:pPr>
            <w:r>
              <w:rPr>
                <w:rFonts w:hint="eastAsia"/>
                <w:color w:val="auto"/>
                <w:kern w:val="0"/>
                <w:sz w:val="24"/>
                <w:highlight w:val="none"/>
                <w:lang w:eastAsia="zh-CN"/>
              </w:rPr>
              <w:t>依据《排放源统计调查产排污核算方法和系数手册》中“2625有机肥料及微生物肥料制造行业手册”-“2625有机肥及微生物肥制造行业系数表”，有机肥/生物有机肥前后处理过程中颗粒物的产污系数为0.370kg/t-产品。本项目液体复合微生物肥生产规模为</w:t>
            </w:r>
            <w:r>
              <w:rPr>
                <w:rFonts w:hint="eastAsia"/>
                <w:color w:val="auto"/>
                <w:kern w:val="0"/>
                <w:sz w:val="24"/>
                <w:highlight w:val="none"/>
                <w:lang w:val="en-US" w:eastAsia="zh-CN"/>
              </w:rPr>
              <w:t>16000</w:t>
            </w:r>
            <w:r>
              <w:rPr>
                <w:rFonts w:hint="eastAsia"/>
                <w:color w:val="auto"/>
                <w:kern w:val="0"/>
                <w:sz w:val="24"/>
                <w:highlight w:val="none"/>
                <w:lang w:eastAsia="zh-CN"/>
              </w:rPr>
              <w:t>t/a，则</w:t>
            </w:r>
            <w:r>
              <w:rPr>
                <w:rFonts w:hint="eastAsia"/>
                <w:color w:val="auto"/>
                <w:kern w:val="0"/>
                <w:sz w:val="24"/>
                <w:highlight w:val="none"/>
                <w:lang w:val="en-US" w:eastAsia="zh-CN"/>
              </w:rPr>
              <w:t>颗粒物产生量为5.92t/a。</w:t>
            </w:r>
          </w:p>
          <w:p w14:paraId="6EF3DE5D">
            <w:pPr>
              <w:keepNext w:val="0"/>
              <w:keepLines w:val="0"/>
              <w:pageBreakBefore w:val="0"/>
              <w:widowControl w:val="0"/>
              <w:numPr>
                <w:ilvl w:val="0"/>
                <w:numId w:val="5"/>
              </w:numPr>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highlight w:val="none"/>
                <w:lang w:val="en-US" w:eastAsia="zh-CN"/>
              </w:rPr>
            </w:pPr>
            <w:r>
              <w:rPr>
                <w:rFonts w:hint="eastAsia"/>
                <w:color w:val="auto"/>
                <w:kern w:val="0"/>
                <w:sz w:val="24"/>
                <w:highlight w:val="none"/>
                <w:lang w:val="en-US" w:eastAsia="zh-CN"/>
              </w:rPr>
              <w:t>防治措施</w:t>
            </w:r>
          </w:p>
          <w:p w14:paraId="0A56B24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color w:val="auto"/>
                <w:kern w:val="0"/>
                <w:sz w:val="24"/>
                <w:highlight w:val="none"/>
                <w:lang w:val="en-US" w:eastAsia="zh-CN"/>
              </w:rPr>
            </w:pPr>
            <w:r>
              <w:rPr>
                <w:rFonts w:hint="eastAsia"/>
                <w:color w:val="auto"/>
                <w:kern w:val="0"/>
                <w:sz w:val="24"/>
                <w:highlight w:val="none"/>
                <w:lang w:val="en-US" w:eastAsia="zh-CN"/>
              </w:rPr>
              <w:t>本项目</w:t>
            </w:r>
            <w:r>
              <w:rPr>
                <w:rFonts w:hint="eastAsia"/>
                <w:color w:val="auto"/>
                <w:kern w:val="0"/>
                <w:sz w:val="24"/>
                <w:highlight w:val="none"/>
                <w:lang w:eastAsia="zh-CN"/>
              </w:rPr>
              <w:t>液体复合微生物肥</w:t>
            </w:r>
            <w:r>
              <w:rPr>
                <w:rFonts w:hint="eastAsia"/>
                <w:color w:val="auto"/>
                <w:kern w:val="0"/>
                <w:sz w:val="24"/>
                <w:highlight w:val="none"/>
                <w:lang w:val="en-US" w:eastAsia="zh-CN"/>
              </w:rPr>
              <w:t>生产主要原料为尾菜废水，占比约88.9%，其搅拌可归属为湿法搅拌；则本项目</w:t>
            </w:r>
            <w:r>
              <w:rPr>
                <w:rFonts w:hint="eastAsia"/>
                <w:color w:val="auto"/>
                <w:kern w:val="0"/>
                <w:sz w:val="24"/>
                <w:highlight w:val="none"/>
                <w:lang w:eastAsia="zh-CN"/>
              </w:rPr>
              <w:t>液体复合微生物肥</w:t>
            </w:r>
            <w:r>
              <w:rPr>
                <w:rFonts w:hint="eastAsia"/>
                <w:color w:val="auto"/>
                <w:kern w:val="0"/>
                <w:sz w:val="24"/>
                <w:highlight w:val="none"/>
                <w:lang w:val="en-US" w:eastAsia="zh-CN"/>
              </w:rPr>
              <w:t>颗粒物主要产生环节在投料工序，鉴于本项目占地面积较小，本项目采取人工投料站（滤芯除尘）处理后经封闭厂房（预留进出口）围挡后无组织排放。</w:t>
            </w:r>
          </w:p>
          <w:p w14:paraId="384FA55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center"/>
              <w:textAlignment w:val="auto"/>
              <w:rPr>
                <w:rFonts w:hint="eastAsia"/>
                <w:color w:val="auto"/>
                <w:kern w:val="0"/>
                <w:sz w:val="24"/>
                <w:highlight w:val="none"/>
                <w:lang w:val="en-US" w:eastAsia="zh-CN"/>
              </w:rPr>
            </w:pPr>
            <w:r>
              <w:rPr>
                <w:color w:val="auto"/>
                <w:highlight w:val="none"/>
              </w:rPr>
              <w:drawing>
                <wp:inline distT="0" distB="0" distL="114300" distR="114300">
                  <wp:extent cx="3238500" cy="2238375"/>
                  <wp:effectExtent l="0" t="0" r="7620" b="1905"/>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15"/>
                          <a:stretch>
                            <a:fillRect/>
                          </a:stretch>
                        </pic:blipFill>
                        <pic:spPr>
                          <a:xfrm>
                            <a:off x="0" y="0"/>
                            <a:ext cx="3238500" cy="2238375"/>
                          </a:xfrm>
                          <a:prstGeom prst="rect">
                            <a:avLst/>
                          </a:prstGeom>
                          <a:noFill/>
                          <a:ln>
                            <a:noFill/>
                          </a:ln>
                        </pic:spPr>
                      </pic:pic>
                    </a:graphicData>
                  </a:graphic>
                </wp:inline>
              </w:drawing>
            </w:r>
          </w:p>
          <w:p w14:paraId="1D5F311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rPr>
                <w:rFonts w:hint="eastAsia"/>
                <w:color w:val="auto"/>
                <w:kern w:val="0"/>
                <w:sz w:val="24"/>
                <w:highlight w:val="none"/>
                <w:lang w:val="en-US" w:eastAsia="zh-CN"/>
              </w:rPr>
            </w:pPr>
            <w:r>
              <w:rPr>
                <w:rFonts w:hint="eastAsia"/>
                <w:b/>
                <w:bCs/>
                <w:color w:val="auto"/>
                <w:kern w:val="0"/>
                <w:sz w:val="21"/>
                <w:szCs w:val="21"/>
                <w:highlight w:val="none"/>
                <w:lang w:val="en-US" w:eastAsia="zh-CN"/>
              </w:rPr>
              <w:t>图4-1  人工投料站</w:t>
            </w:r>
          </w:p>
          <w:p w14:paraId="29F5E77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color w:val="auto"/>
                <w:kern w:val="0"/>
                <w:sz w:val="24"/>
                <w:highlight w:val="none"/>
                <w:lang w:val="en-US" w:eastAsia="zh-CN"/>
              </w:rPr>
            </w:pPr>
            <w:r>
              <w:rPr>
                <w:rFonts w:hint="eastAsia"/>
                <w:color w:val="auto"/>
                <w:kern w:val="0"/>
                <w:sz w:val="24"/>
                <w:highlight w:val="none"/>
                <w:lang w:val="en-US" w:eastAsia="zh-CN"/>
              </w:rPr>
              <w:t>人工投料站的操作：外购原装粉料先人工拆除外包装袋后，进入已开启真空负压抽吸的料仓口，料仓口设置有刀片可划开内包装，物料可进入搅拌罐；自动抽吸装置将可能扬起的粉料抽入配套的滤芯过滤装置拦截后再次利用。</w:t>
            </w:r>
          </w:p>
          <w:p w14:paraId="628F817C">
            <w:pPr>
              <w:keepNext w:val="0"/>
              <w:keepLines w:val="0"/>
              <w:pageBreakBefore w:val="0"/>
              <w:numPr>
                <w:ilvl w:val="0"/>
                <w:numId w:val="0"/>
              </w:numPr>
              <w:kinsoku/>
              <w:wordWrap/>
              <w:overflowPunct/>
              <w:topLinePunct w:val="0"/>
              <w:bidi w:val="0"/>
              <w:spacing w:line="440" w:lineRule="exact"/>
              <w:ind w:firstLine="480" w:firstLineChars="200"/>
              <w:rPr>
                <w:rFonts w:hint="default"/>
                <w:color w:val="auto"/>
                <w:kern w:val="0"/>
                <w:sz w:val="24"/>
                <w:highlight w:val="none"/>
                <w:lang w:val="en-US" w:eastAsia="zh-CN"/>
              </w:rPr>
            </w:pPr>
            <w:r>
              <w:rPr>
                <w:rFonts w:hint="eastAsia"/>
                <w:color w:val="auto"/>
                <w:kern w:val="0"/>
                <w:sz w:val="24"/>
                <w:highlight w:val="none"/>
                <w:lang w:val="en-US" w:eastAsia="zh-CN"/>
              </w:rPr>
              <w:t>C、排放情况</w:t>
            </w:r>
          </w:p>
          <w:p w14:paraId="5C030B2C">
            <w:pPr>
              <w:keepNext w:val="0"/>
              <w:keepLines w:val="0"/>
              <w:pageBreakBefore w:val="0"/>
              <w:numPr>
                <w:ilvl w:val="0"/>
                <w:numId w:val="0"/>
              </w:numPr>
              <w:kinsoku/>
              <w:wordWrap/>
              <w:overflowPunct/>
              <w:topLinePunct w:val="0"/>
              <w:bidi w:val="0"/>
              <w:spacing w:line="440" w:lineRule="exact"/>
              <w:ind w:firstLine="480" w:firstLineChars="200"/>
              <w:rPr>
                <w:rFonts w:hint="default"/>
                <w:color w:val="auto"/>
                <w:kern w:val="0"/>
                <w:sz w:val="24"/>
                <w:highlight w:val="none"/>
                <w:lang w:val="en-US" w:eastAsia="zh-CN"/>
              </w:rPr>
            </w:pPr>
            <w:r>
              <w:rPr>
                <w:rFonts w:hint="eastAsia"/>
                <w:color w:val="auto"/>
                <w:kern w:val="0"/>
                <w:sz w:val="24"/>
                <w:highlight w:val="none"/>
                <w:lang w:eastAsia="zh-CN"/>
              </w:rPr>
              <w:t>参照《排放源统计调查产排污核算方法和系数手册》（生态环境部公告2021年第24号）中“工业源固体物料堆场颗粒物核算系数手册”中附录，封闭式厂房控制效率为99%，鉴于本项目进出口</w:t>
            </w:r>
            <w:r>
              <w:rPr>
                <w:rFonts w:hint="eastAsia"/>
                <w:color w:val="auto"/>
                <w:kern w:val="0"/>
                <w:sz w:val="24"/>
                <w:highlight w:val="none"/>
                <w:lang w:val="en-US" w:eastAsia="zh-CN"/>
              </w:rPr>
              <w:t>未封闭</w:t>
            </w:r>
            <w:r>
              <w:rPr>
                <w:rFonts w:hint="eastAsia"/>
                <w:color w:val="auto"/>
                <w:kern w:val="0"/>
                <w:sz w:val="24"/>
                <w:highlight w:val="none"/>
                <w:lang w:eastAsia="zh-CN"/>
              </w:rPr>
              <w:t>，封闭效果一般，控制效率取80%；</w:t>
            </w:r>
            <w:r>
              <w:rPr>
                <w:rFonts w:hint="eastAsia"/>
                <w:color w:val="auto"/>
                <w:kern w:val="0"/>
                <w:sz w:val="24"/>
                <w:highlight w:val="none"/>
                <w:lang w:val="en-US" w:eastAsia="zh-CN"/>
              </w:rPr>
              <w:t>人工投料站采取滤芯除尘，其收集效率按90%计，处理效率按90%计，则无组织排放量为0.225t/a。</w:t>
            </w:r>
          </w:p>
          <w:p w14:paraId="3B1DE46C">
            <w:pPr>
              <w:keepNext w:val="0"/>
              <w:keepLines w:val="0"/>
              <w:pageBreakBefore w:val="0"/>
              <w:numPr>
                <w:ilvl w:val="0"/>
                <w:numId w:val="0"/>
              </w:numPr>
              <w:kinsoku/>
              <w:wordWrap/>
              <w:overflowPunct/>
              <w:topLinePunct w:val="0"/>
              <w:bidi w:val="0"/>
              <w:spacing w:line="440" w:lineRule="exact"/>
              <w:ind w:firstLine="482" w:firstLineChars="200"/>
              <w:rPr>
                <w:b/>
                <w:bCs/>
                <w:color w:val="auto"/>
                <w:kern w:val="0"/>
                <w:sz w:val="24"/>
                <w:highlight w:val="none"/>
              </w:rPr>
            </w:pPr>
            <w:r>
              <w:rPr>
                <w:rFonts w:ascii="Times New Roman" w:hAnsi="Times New Roman" w:eastAsia="宋体" w:cs="Times New Roman"/>
                <w:b/>
                <w:bCs/>
                <w:color w:val="auto"/>
                <w:kern w:val="0"/>
                <w:sz w:val="24"/>
                <w:szCs w:val="24"/>
                <w:highlight w:val="none"/>
                <w:lang w:val="en-US" w:eastAsia="zh-CN" w:bidi="ar-SA"/>
              </w:rPr>
              <w:t>2）</w:t>
            </w:r>
            <w:r>
              <w:rPr>
                <w:rFonts w:hint="eastAsia" w:cs="Times New Roman"/>
                <w:b/>
                <w:bCs/>
                <w:color w:val="auto"/>
                <w:kern w:val="0"/>
                <w:sz w:val="24"/>
                <w:szCs w:val="24"/>
                <w:highlight w:val="none"/>
                <w:lang w:val="en-US" w:eastAsia="zh-CN" w:bidi="ar-SA"/>
              </w:rPr>
              <w:t>固体复合微生物</w:t>
            </w:r>
            <w:r>
              <w:rPr>
                <w:rFonts w:hint="eastAsia"/>
                <w:b/>
                <w:bCs/>
                <w:color w:val="auto"/>
                <w:kern w:val="0"/>
                <w:sz w:val="24"/>
                <w:highlight w:val="none"/>
              </w:rPr>
              <w:t>生物肥生产线</w:t>
            </w:r>
          </w:p>
          <w:p w14:paraId="057C8085">
            <w:pPr>
              <w:keepNext w:val="0"/>
              <w:keepLines w:val="0"/>
              <w:pageBreakBefore w:val="0"/>
              <w:kinsoku/>
              <w:wordWrap/>
              <w:overflowPunct/>
              <w:topLinePunct w:val="0"/>
              <w:bidi w:val="0"/>
              <w:spacing w:line="440" w:lineRule="exact"/>
              <w:ind w:firstLine="482" w:firstLineChars="200"/>
              <w:rPr>
                <w:rFonts w:hint="eastAsia" w:eastAsia="宋体"/>
                <w:b/>
                <w:bCs/>
                <w:color w:val="auto"/>
                <w:kern w:val="0"/>
                <w:sz w:val="24"/>
                <w:highlight w:val="none"/>
                <w:lang w:val="en-US" w:eastAsia="zh-CN"/>
              </w:rPr>
            </w:pPr>
            <w:r>
              <w:rPr>
                <w:rFonts w:hint="eastAsia"/>
                <w:b/>
                <w:bCs/>
                <w:color w:val="auto"/>
                <w:kern w:val="0"/>
                <w:sz w:val="24"/>
                <w:highlight w:val="none"/>
              </w:rPr>
              <w:t>①</w:t>
            </w:r>
            <w:r>
              <w:rPr>
                <w:rFonts w:hint="eastAsia"/>
                <w:b/>
                <w:bCs/>
                <w:color w:val="auto"/>
                <w:kern w:val="0"/>
                <w:sz w:val="24"/>
                <w:highlight w:val="none"/>
                <w:lang w:val="en-US" w:eastAsia="zh-CN"/>
              </w:rPr>
              <w:t>颗粒物</w:t>
            </w:r>
          </w:p>
          <w:p w14:paraId="1FA200E1">
            <w:pPr>
              <w:keepNext w:val="0"/>
              <w:keepLines w:val="0"/>
              <w:pageBreakBefore w:val="0"/>
              <w:kinsoku/>
              <w:wordWrap/>
              <w:overflowPunct/>
              <w:topLinePunct w:val="0"/>
              <w:bidi w:val="0"/>
              <w:spacing w:line="440" w:lineRule="exact"/>
              <w:ind w:firstLine="480" w:firstLineChars="200"/>
              <w:rPr>
                <w:rFonts w:hint="default" w:eastAsia="宋体"/>
                <w:color w:val="auto"/>
                <w:kern w:val="0"/>
                <w:sz w:val="24"/>
                <w:highlight w:val="none"/>
                <w:lang w:val="en-US" w:eastAsia="zh-CN"/>
              </w:rPr>
            </w:pPr>
            <w:r>
              <w:rPr>
                <w:rFonts w:hint="eastAsia"/>
                <w:color w:val="auto"/>
                <w:kern w:val="0"/>
                <w:sz w:val="24"/>
                <w:highlight w:val="none"/>
                <w:lang w:val="en-US" w:eastAsia="zh-CN"/>
              </w:rPr>
              <w:t>A、源强</w:t>
            </w:r>
          </w:p>
          <w:p w14:paraId="5905FB5B">
            <w:pPr>
              <w:keepNext w:val="0"/>
              <w:keepLines w:val="0"/>
              <w:pageBreakBefore w:val="0"/>
              <w:kinsoku/>
              <w:wordWrap/>
              <w:overflowPunct/>
              <w:topLinePunct w:val="0"/>
              <w:bidi w:val="0"/>
              <w:spacing w:line="440" w:lineRule="exact"/>
              <w:ind w:firstLine="480" w:firstLineChars="200"/>
              <w:rPr>
                <w:rFonts w:hint="eastAsia" w:ascii="宋体" w:hAnsi="宋体" w:cs="宋体"/>
                <w:color w:val="auto"/>
                <w:sz w:val="24"/>
                <w:highlight w:val="none"/>
              </w:rPr>
            </w:pPr>
            <w:r>
              <w:rPr>
                <w:rFonts w:hint="eastAsia"/>
                <w:color w:val="auto"/>
                <w:kern w:val="0"/>
                <w:sz w:val="24"/>
                <w:highlight w:val="none"/>
              </w:rPr>
              <w:t>依据《排放源统计调查产排污核算方法和系数手册》中“2625有机肥料及微生物肥料制造行业手册”-“2625有机肥及微生物肥制造行业系数表”，有机肥/生物有机肥前后处理过程中颗粒物的产污系数为0.370kg/t-产品。本项目</w:t>
            </w:r>
            <w:r>
              <w:rPr>
                <w:rFonts w:ascii="宋体" w:hAnsi="宋体" w:cs="宋体"/>
                <w:color w:val="auto"/>
                <w:sz w:val="24"/>
                <w:highlight w:val="none"/>
              </w:rPr>
              <w:t>前后处理</w:t>
            </w:r>
            <w:r>
              <w:rPr>
                <w:rFonts w:hint="eastAsia" w:ascii="宋体" w:hAnsi="宋体" w:cs="宋体"/>
                <w:color w:val="auto"/>
                <w:sz w:val="24"/>
                <w:highlight w:val="none"/>
              </w:rPr>
              <w:t>包括：投料、扑粉、</w:t>
            </w:r>
            <w:r>
              <w:rPr>
                <w:rFonts w:ascii="宋体" w:hAnsi="宋体" w:cs="宋体"/>
                <w:color w:val="auto"/>
                <w:sz w:val="24"/>
                <w:highlight w:val="none"/>
              </w:rPr>
              <w:t>破碎</w:t>
            </w:r>
            <w:r>
              <w:rPr>
                <w:rFonts w:hint="eastAsia" w:ascii="宋体" w:hAnsi="宋体" w:cs="宋体"/>
                <w:color w:val="auto"/>
                <w:sz w:val="24"/>
                <w:highlight w:val="none"/>
              </w:rPr>
              <w:t>、</w:t>
            </w:r>
            <w:r>
              <w:rPr>
                <w:rFonts w:ascii="宋体" w:hAnsi="宋体" w:cs="宋体"/>
                <w:color w:val="auto"/>
                <w:sz w:val="24"/>
                <w:highlight w:val="none"/>
              </w:rPr>
              <w:t>筛分</w:t>
            </w:r>
            <w:r>
              <w:rPr>
                <w:rFonts w:hint="eastAsia" w:ascii="宋体" w:hAnsi="宋体" w:cs="宋体"/>
                <w:color w:val="auto"/>
                <w:sz w:val="24"/>
                <w:highlight w:val="none"/>
              </w:rPr>
              <w:t>、</w:t>
            </w:r>
            <w:r>
              <w:rPr>
                <w:rFonts w:ascii="宋体" w:hAnsi="宋体" w:cs="宋体"/>
                <w:color w:val="auto"/>
                <w:sz w:val="24"/>
                <w:highlight w:val="none"/>
              </w:rPr>
              <w:t>包装</w:t>
            </w:r>
            <w:r>
              <w:rPr>
                <w:rFonts w:hint="eastAsia" w:ascii="宋体" w:hAnsi="宋体" w:cs="宋体"/>
                <w:color w:val="auto"/>
                <w:sz w:val="24"/>
                <w:highlight w:val="none"/>
              </w:rPr>
              <w:t>工段</w:t>
            </w:r>
            <w:r>
              <w:rPr>
                <w:rFonts w:ascii="宋体" w:hAnsi="宋体" w:cs="宋体"/>
                <w:color w:val="auto"/>
                <w:sz w:val="24"/>
                <w:highlight w:val="none"/>
              </w:rPr>
              <w:t>颗粒物</w:t>
            </w:r>
            <w:r>
              <w:rPr>
                <w:rFonts w:hint="eastAsia" w:ascii="宋体" w:hAnsi="宋体" w:cs="宋体"/>
                <w:color w:val="auto"/>
                <w:sz w:val="24"/>
                <w:highlight w:val="none"/>
              </w:rPr>
              <w:t>。</w:t>
            </w:r>
          </w:p>
          <w:p w14:paraId="5A930106">
            <w:pPr>
              <w:keepNext w:val="0"/>
              <w:keepLines w:val="0"/>
              <w:pageBreakBefore w:val="0"/>
              <w:kinsoku/>
              <w:wordWrap/>
              <w:overflowPunct/>
              <w:topLinePunct w:val="0"/>
              <w:bidi w:val="0"/>
              <w:spacing w:line="440" w:lineRule="exact"/>
              <w:ind w:firstLine="480" w:firstLineChars="200"/>
              <w:rPr>
                <w:color w:val="auto"/>
                <w:kern w:val="0"/>
                <w:sz w:val="24"/>
                <w:highlight w:val="none"/>
              </w:rPr>
            </w:pPr>
            <w:r>
              <w:rPr>
                <w:rFonts w:hint="eastAsia"/>
                <w:color w:val="auto"/>
                <w:kern w:val="0"/>
                <w:sz w:val="24"/>
                <w:highlight w:val="none"/>
              </w:rPr>
              <w:t>本</w:t>
            </w:r>
            <w:r>
              <w:rPr>
                <w:rFonts w:hint="eastAsia"/>
                <w:color w:val="auto"/>
                <w:kern w:val="0"/>
                <w:sz w:val="24"/>
                <w:highlight w:val="none"/>
                <w:lang w:val="en-US" w:eastAsia="zh-CN"/>
              </w:rPr>
              <w:t>项目</w:t>
            </w:r>
            <w:r>
              <w:rPr>
                <w:rFonts w:hint="eastAsia"/>
                <w:color w:val="auto"/>
                <w:kern w:val="0"/>
                <w:sz w:val="24"/>
                <w:highlight w:val="none"/>
              </w:rPr>
              <w:t>采用</w:t>
            </w:r>
            <w:r>
              <w:rPr>
                <w:rFonts w:ascii="宋体" w:hAnsi="宋体" w:cs="宋体"/>
                <w:color w:val="auto"/>
                <w:sz w:val="24"/>
                <w:highlight w:val="none"/>
              </w:rPr>
              <w:t>非罐式发酵（条垛</w:t>
            </w:r>
            <w:r>
              <w:rPr>
                <w:rFonts w:hint="eastAsia" w:ascii="宋体" w:hAnsi="宋体" w:cs="宋体"/>
                <w:color w:val="auto"/>
                <w:sz w:val="24"/>
                <w:highlight w:val="none"/>
              </w:rPr>
              <w:t>/</w:t>
            </w:r>
            <w:r>
              <w:rPr>
                <w:rFonts w:ascii="宋体" w:hAnsi="宋体" w:cs="宋体"/>
                <w:color w:val="auto"/>
                <w:sz w:val="24"/>
                <w:highlight w:val="none"/>
              </w:rPr>
              <w:t>槽式发酵）</w:t>
            </w:r>
            <w:r>
              <w:rPr>
                <w:rFonts w:hint="eastAsia" w:ascii="宋体" w:hAnsi="宋体" w:cs="宋体"/>
                <w:color w:val="auto"/>
                <w:sz w:val="24"/>
                <w:highlight w:val="none"/>
              </w:rPr>
              <w:t>，固体复合微生物生物肥生产线</w:t>
            </w:r>
            <w:r>
              <w:rPr>
                <w:rFonts w:hint="eastAsia"/>
                <w:color w:val="auto"/>
                <w:kern w:val="0"/>
                <w:sz w:val="24"/>
                <w:highlight w:val="none"/>
              </w:rPr>
              <w:t>生产规模为</w:t>
            </w:r>
            <w:r>
              <w:rPr>
                <w:rFonts w:hint="eastAsia"/>
                <w:color w:val="auto"/>
                <w:kern w:val="0"/>
                <w:sz w:val="24"/>
                <w:highlight w:val="none"/>
                <w:lang w:val="en-US" w:eastAsia="zh-CN"/>
              </w:rPr>
              <w:t>86000</w:t>
            </w:r>
            <w:r>
              <w:rPr>
                <w:rFonts w:hint="eastAsia"/>
                <w:color w:val="auto"/>
                <w:kern w:val="0"/>
                <w:sz w:val="24"/>
                <w:highlight w:val="none"/>
              </w:rPr>
              <w:t>t/a，工作时间为8h/d，年工作时间为2664h/a。</w:t>
            </w:r>
          </w:p>
          <w:p w14:paraId="549B2329">
            <w:pPr>
              <w:pStyle w:val="118"/>
              <w:keepNext w:val="0"/>
              <w:keepLines w:val="0"/>
              <w:pageBreakBefore w:val="0"/>
              <w:kinsoku/>
              <w:wordWrap/>
              <w:overflowPunct/>
              <w:topLinePunct w:val="0"/>
              <w:bidi w:val="0"/>
              <w:spacing w:line="440" w:lineRule="exact"/>
              <w:ind w:firstLine="480"/>
              <w:rPr>
                <w:color w:val="auto"/>
                <w:highlight w:val="none"/>
              </w:rPr>
            </w:pPr>
            <w:r>
              <w:rPr>
                <w:rFonts w:hint="eastAsia"/>
                <w:color w:val="auto"/>
                <w:highlight w:val="none"/>
              </w:rPr>
              <w:t>据此计算，粉剂生物有机肥生产线混配工段工序颗粒物的产生量达</w:t>
            </w:r>
            <w:r>
              <w:rPr>
                <w:rFonts w:hint="eastAsia"/>
                <w:color w:val="auto"/>
                <w:highlight w:val="none"/>
                <w:lang w:val="en-US" w:eastAsia="zh-CN"/>
              </w:rPr>
              <w:t>31.82</w:t>
            </w:r>
            <w:r>
              <w:rPr>
                <w:rFonts w:hint="eastAsia"/>
                <w:color w:val="auto"/>
                <w:highlight w:val="none"/>
              </w:rPr>
              <w:t>t/a，产生速率为</w:t>
            </w:r>
            <w:r>
              <w:rPr>
                <w:rFonts w:hint="eastAsia"/>
                <w:color w:val="auto"/>
                <w:highlight w:val="none"/>
                <w:lang w:val="en-US" w:eastAsia="zh-CN"/>
              </w:rPr>
              <w:t>11.94</w:t>
            </w:r>
            <w:r>
              <w:rPr>
                <w:rFonts w:hint="eastAsia"/>
                <w:color w:val="auto"/>
                <w:highlight w:val="none"/>
              </w:rPr>
              <w:t>kg/h。</w:t>
            </w:r>
          </w:p>
          <w:p w14:paraId="20327704">
            <w:pPr>
              <w:pStyle w:val="118"/>
              <w:keepNext w:val="0"/>
              <w:keepLines w:val="0"/>
              <w:pageBreakBefore w:val="0"/>
              <w:kinsoku/>
              <w:wordWrap/>
              <w:overflowPunct/>
              <w:topLinePunct w:val="0"/>
              <w:bidi w:val="0"/>
              <w:spacing w:line="440" w:lineRule="exact"/>
              <w:ind w:firstLine="480"/>
              <w:rPr>
                <w:rFonts w:hint="default" w:ascii="宋体" w:hAnsi="宋体" w:eastAsia="宋体" w:cs="宋体"/>
                <w:color w:val="auto"/>
                <w:szCs w:val="24"/>
                <w:highlight w:val="none"/>
                <w:lang w:val="en-US" w:eastAsia="zh-CN"/>
              </w:rPr>
            </w:pPr>
            <w:r>
              <w:rPr>
                <w:rFonts w:hint="eastAsia" w:ascii="宋体" w:hAnsi="宋体" w:cs="宋体"/>
                <w:color w:val="auto"/>
                <w:szCs w:val="24"/>
                <w:highlight w:val="none"/>
                <w:lang w:val="en-US" w:eastAsia="zh-CN"/>
              </w:rPr>
              <w:t>B、防治措施</w:t>
            </w:r>
          </w:p>
          <w:p w14:paraId="237D8886">
            <w:pPr>
              <w:pStyle w:val="118"/>
              <w:keepNext w:val="0"/>
              <w:keepLines w:val="0"/>
              <w:pageBreakBefore w:val="0"/>
              <w:kinsoku/>
              <w:wordWrap/>
              <w:overflowPunct/>
              <w:topLinePunct w:val="0"/>
              <w:autoSpaceDE/>
              <w:autoSpaceDN/>
              <w:bidi w:val="0"/>
              <w:spacing w:line="440" w:lineRule="exact"/>
              <w:ind w:firstLine="480"/>
              <w:rPr>
                <w:rFonts w:hint="default" w:ascii="Times New Roman" w:hAnsi="Times New Roman" w:cs="Times New Roman" w:eastAsiaTheme="minorEastAsia"/>
                <w:color w:val="auto"/>
                <w:sz w:val="24"/>
                <w:szCs w:val="24"/>
                <w:highlight w:val="none"/>
                <w:lang w:val="en-US" w:eastAsia="zh-CN"/>
              </w:rPr>
            </w:pPr>
            <w:r>
              <w:rPr>
                <w:rFonts w:hint="eastAsia" w:ascii="宋体" w:hAnsi="宋体" w:cs="宋体"/>
                <w:color w:val="auto"/>
                <w:szCs w:val="24"/>
                <w:highlight w:val="none"/>
                <w:lang w:val="en-US" w:eastAsia="zh-CN"/>
              </w:rPr>
              <w:t>本项目拟在一次扑粉、二次</w:t>
            </w:r>
            <w:r>
              <w:rPr>
                <w:rFonts w:hint="eastAsia" w:ascii="宋体" w:hAnsi="宋体" w:cs="宋体"/>
                <w:color w:val="auto"/>
                <w:szCs w:val="24"/>
                <w:highlight w:val="none"/>
              </w:rPr>
              <w:t>扑粉、</w:t>
            </w:r>
            <w:r>
              <w:rPr>
                <w:rFonts w:ascii="宋体" w:hAnsi="宋体" w:cs="宋体"/>
                <w:color w:val="auto"/>
                <w:szCs w:val="24"/>
                <w:highlight w:val="none"/>
              </w:rPr>
              <w:t>破碎</w:t>
            </w: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二次</w:t>
            </w:r>
            <w:r>
              <w:rPr>
                <w:rFonts w:ascii="宋体" w:hAnsi="宋体" w:cs="宋体"/>
                <w:color w:val="auto"/>
                <w:szCs w:val="24"/>
                <w:highlight w:val="none"/>
              </w:rPr>
              <w:t>筛分</w:t>
            </w:r>
            <w:r>
              <w:rPr>
                <w:rFonts w:hint="default" w:ascii="Times New Roman" w:hAnsi="Times New Roman" w:cs="Times New Roman" w:eastAsiaTheme="minorEastAsia"/>
                <w:color w:val="auto"/>
                <w:sz w:val="24"/>
                <w:szCs w:val="24"/>
                <w:highlight w:val="none"/>
              </w:rPr>
              <w:t>、</w:t>
            </w:r>
            <w:r>
              <w:rPr>
                <w:rFonts w:hint="default" w:ascii="Times New Roman" w:hAnsi="Times New Roman" w:cs="Times New Roman" w:eastAsiaTheme="minorEastAsia"/>
                <w:color w:val="auto"/>
                <w:sz w:val="24"/>
                <w:szCs w:val="24"/>
                <w:highlight w:val="none"/>
                <w:lang w:val="en-US" w:eastAsia="zh-CN"/>
              </w:rPr>
              <w:t>混料</w:t>
            </w:r>
            <w:r>
              <w:rPr>
                <w:rFonts w:hint="eastAsia" w:cs="Times New Roman" w:eastAsiaTheme="minorEastAsia"/>
                <w:color w:val="auto"/>
                <w:sz w:val="24"/>
                <w:szCs w:val="24"/>
                <w:highlight w:val="none"/>
                <w:lang w:val="en-US" w:eastAsia="zh-CN"/>
              </w:rPr>
              <w:t>（投料、搅拌）</w:t>
            </w:r>
            <w:r>
              <w:rPr>
                <w:rFonts w:hint="default" w:ascii="Times New Roman" w:hAnsi="Times New Roman"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rPr>
              <w:t>包装工段废气分别经过</w:t>
            </w:r>
            <w:r>
              <w:rPr>
                <w:rFonts w:hint="eastAsia" w:ascii="Times New Roman" w:hAnsi="Times New Roman" w:cs="Times New Roman" w:eastAsiaTheme="minorEastAsia"/>
                <w:color w:val="auto"/>
                <w:sz w:val="24"/>
                <w:szCs w:val="24"/>
                <w:highlight w:val="none"/>
                <w:lang w:val="en-US" w:eastAsia="zh-CN"/>
              </w:rPr>
              <w:t>6</w:t>
            </w:r>
            <w:r>
              <w:rPr>
                <w:rFonts w:hint="default" w:ascii="Times New Roman" w:hAnsi="Times New Roman" w:cs="Times New Roman" w:eastAsiaTheme="minorEastAsia"/>
                <w:color w:val="auto"/>
                <w:sz w:val="24"/>
                <w:szCs w:val="24"/>
                <w:highlight w:val="none"/>
              </w:rPr>
              <w:t>个</w:t>
            </w:r>
            <w:r>
              <w:rPr>
                <w:rFonts w:hint="default" w:ascii="Times New Roman" w:hAnsi="Times New Roman" w:cs="Times New Roman" w:eastAsiaTheme="minorEastAsia"/>
                <w:color w:val="auto"/>
                <w:sz w:val="24"/>
                <w:szCs w:val="24"/>
                <w:highlight w:val="none"/>
                <w:lang w:val="en-US" w:eastAsia="zh-CN"/>
              </w:rPr>
              <w:t>半密闭</w:t>
            </w:r>
            <w:r>
              <w:rPr>
                <w:rFonts w:hint="default" w:ascii="Times New Roman" w:hAnsi="Times New Roman" w:cs="Times New Roman" w:eastAsiaTheme="minorEastAsia"/>
                <w:color w:val="auto"/>
                <w:sz w:val="24"/>
                <w:szCs w:val="24"/>
                <w:highlight w:val="none"/>
              </w:rPr>
              <w:t>集气罩（收集效率80%）收集后经布袋除尘器处理（处理效率98%）处理后</w:t>
            </w:r>
            <w:r>
              <w:rPr>
                <w:rFonts w:hint="default" w:ascii="Times New Roman" w:hAnsi="Times New Roman" w:cs="Times New Roman" w:eastAsiaTheme="minorEastAsia"/>
                <w:color w:val="auto"/>
                <w:sz w:val="24"/>
                <w:szCs w:val="24"/>
                <w:highlight w:val="none"/>
                <w:lang w:val="en-US" w:eastAsia="zh-CN"/>
              </w:rPr>
              <w:t>由</w:t>
            </w:r>
            <w:r>
              <w:rPr>
                <w:rFonts w:hint="default" w:ascii="Times New Roman" w:hAnsi="Times New Roman" w:cs="Times New Roman" w:eastAsiaTheme="minorEastAsia"/>
                <w:color w:val="auto"/>
                <w:sz w:val="24"/>
                <w:szCs w:val="24"/>
                <w:highlight w:val="none"/>
              </w:rPr>
              <w:t>15m高排气筒（DA00</w:t>
            </w:r>
            <w:r>
              <w:rPr>
                <w:rFonts w:hint="eastAsia" w:cs="Times New Roman" w:eastAsiaTheme="minorEastAsia"/>
                <w:color w:val="auto"/>
                <w:sz w:val="24"/>
                <w:szCs w:val="24"/>
                <w:highlight w:val="none"/>
                <w:lang w:val="en-US" w:eastAsia="zh-CN"/>
              </w:rPr>
              <w:t>4</w:t>
            </w:r>
            <w:r>
              <w:rPr>
                <w:rFonts w:hint="default" w:ascii="Times New Roman" w:hAnsi="Times New Roman" w:cs="Times New Roman" w:eastAsiaTheme="minorEastAsia"/>
                <w:color w:val="auto"/>
                <w:sz w:val="24"/>
                <w:szCs w:val="24"/>
                <w:highlight w:val="none"/>
              </w:rPr>
              <w:t>）有组织排放。</w:t>
            </w:r>
            <w:r>
              <w:rPr>
                <w:rFonts w:hint="default" w:ascii="Times New Roman" w:hAnsi="Times New Roman" w:cs="Times New Roman" w:eastAsiaTheme="minorEastAsia"/>
                <w:color w:val="auto"/>
                <w:sz w:val="24"/>
                <w:szCs w:val="24"/>
                <w:highlight w:val="none"/>
                <w:lang w:val="en-US" w:eastAsia="zh-CN"/>
              </w:rPr>
              <w:t>未能收集废气经封闭式厂房（预留进出口）阻隔后，无组织排放。</w:t>
            </w:r>
          </w:p>
          <w:p w14:paraId="72249038">
            <w:pPr>
              <w:keepNext w:val="0"/>
              <w:keepLines w:val="0"/>
              <w:pageBreakBefore w:val="0"/>
              <w:kinsoku/>
              <w:wordWrap/>
              <w:overflowPunct/>
              <w:topLinePunct w:val="0"/>
              <w:autoSpaceDE/>
              <w:autoSpaceDN/>
              <w:bidi w:val="0"/>
              <w:spacing w:line="440" w:lineRule="exact"/>
              <w:ind w:left="0" w:leftChars="0" w:firstLine="480" w:firstLineChars="200"/>
              <w:textAlignment w:val="auto"/>
              <w:rPr>
                <w:rFonts w:hint="default" w:ascii="Times New Roman" w:hAnsi="Times New Roman" w:cs="Times New Roman" w:eastAsiaTheme="minorEastAsia"/>
                <w:color w:val="auto"/>
                <w:spacing w:val="0"/>
                <w:kern w:val="0"/>
                <w:sz w:val="24"/>
                <w:szCs w:val="24"/>
                <w:highlight w:val="none"/>
              </w:rPr>
            </w:pPr>
            <w:r>
              <w:rPr>
                <w:rFonts w:hint="default" w:ascii="Times New Roman" w:hAnsi="Times New Roman" w:cs="Times New Roman" w:eastAsiaTheme="minorEastAsia"/>
                <w:color w:val="auto"/>
                <w:spacing w:val="0"/>
                <w:kern w:val="0"/>
                <w:sz w:val="24"/>
                <w:szCs w:val="24"/>
                <w:highlight w:val="none"/>
              </w:rPr>
              <w:t>根据《大气污染控制工程》中集气罩设计原则，项目</w:t>
            </w:r>
            <w:r>
              <w:rPr>
                <w:rFonts w:hint="eastAsia" w:ascii="Times New Roman" w:hAnsi="Times New Roman" w:cs="Times New Roman" w:eastAsiaTheme="minorEastAsia"/>
                <w:color w:val="auto"/>
                <w:spacing w:val="0"/>
                <w:kern w:val="0"/>
                <w:sz w:val="24"/>
                <w:szCs w:val="24"/>
                <w:highlight w:val="none"/>
                <w:lang w:val="en-US" w:eastAsia="zh-CN"/>
              </w:rPr>
              <w:t>粉尘</w:t>
            </w:r>
            <w:r>
              <w:rPr>
                <w:rFonts w:hint="default" w:ascii="Times New Roman" w:hAnsi="Times New Roman" w:cs="Times New Roman" w:eastAsiaTheme="minorEastAsia"/>
                <w:color w:val="auto"/>
                <w:spacing w:val="0"/>
                <w:kern w:val="0"/>
                <w:sz w:val="24"/>
                <w:szCs w:val="24"/>
                <w:highlight w:val="none"/>
              </w:rPr>
              <w:t>集气罩风量按下式确定：</w:t>
            </w:r>
          </w:p>
          <w:p w14:paraId="7AC33E3D">
            <w:pPr>
              <w:keepNext w:val="0"/>
              <w:keepLines w:val="0"/>
              <w:pageBreakBefore w:val="0"/>
              <w:widowControl/>
              <w:kinsoku/>
              <w:wordWrap/>
              <w:overflowPunct/>
              <w:topLinePunct w:val="0"/>
              <w:autoSpaceDE/>
              <w:autoSpaceDN/>
              <w:bidi w:val="0"/>
              <w:spacing w:line="440" w:lineRule="exact"/>
              <w:ind w:left="0" w:leftChars="0" w:firstLine="480" w:firstLineChars="200"/>
              <w:jc w:val="center"/>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L=</w:t>
            </w:r>
            <w:r>
              <w:rPr>
                <w:rFonts w:hint="default" w:ascii="Times New Roman" w:hAnsi="Times New Roman" w:cs="Times New Roman" w:eastAsiaTheme="minorEastAsia"/>
                <w:color w:val="auto"/>
                <w:kern w:val="0"/>
                <w:sz w:val="24"/>
                <w:szCs w:val="24"/>
                <w:highlight w:val="none"/>
                <w:lang w:val="en-US" w:eastAsia="zh-CN"/>
              </w:rPr>
              <w:t>3600×0.75×</w:t>
            </w:r>
            <w:r>
              <w:rPr>
                <w:rFonts w:hint="default" w:ascii="Times New Roman" w:hAnsi="Times New Roman" w:cs="Times New Roman" w:eastAsiaTheme="minorEastAsia"/>
                <w:color w:val="auto"/>
                <w:kern w:val="0"/>
                <w:sz w:val="24"/>
                <w:szCs w:val="24"/>
                <w:highlight w:val="none"/>
              </w:rPr>
              <w:t>（10X</w:t>
            </w:r>
            <w:r>
              <w:rPr>
                <w:rFonts w:hint="default" w:ascii="Times New Roman" w:hAnsi="Times New Roman" w:cs="Times New Roman" w:eastAsiaTheme="minorEastAsia"/>
                <w:color w:val="auto"/>
                <w:kern w:val="0"/>
                <w:sz w:val="24"/>
                <w:szCs w:val="24"/>
                <w:highlight w:val="none"/>
                <w:vertAlign w:val="superscript"/>
              </w:rPr>
              <w:t>2</w:t>
            </w:r>
            <w:r>
              <w:rPr>
                <w:rFonts w:hint="default" w:ascii="Times New Roman" w:hAnsi="Times New Roman" w:cs="Times New Roman" w:eastAsiaTheme="minorEastAsia"/>
                <w:color w:val="auto"/>
                <w:kern w:val="0"/>
                <w:sz w:val="24"/>
                <w:szCs w:val="24"/>
                <w:highlight w:val="none"/>
              </w:rPr>
              <w:t>+F）</w:t>
            </w:r>
            <w:r>
              <w:rPr>
                <w:rFonts w:hint="default" w:ascii="Times New Roman" w:hAnsi="Times New Roman" w:cs="Times New Roman" w:eastAsiaTheme="minorEastAsia"/>
                <w:color w:val="auto"/>
                <w:kern w:val="0"/>
                <w:sz w:val="24"/>
                <w:szCs w:val="24"/>
                <w:highlight w:val="none"/>
                <w:lang w:val="en-US" w:eastAsia="zh-CN"/>
              </w:rPr>
              <w:t>×</w:t>
            </w:r>
            <w:r>
              <w:rPr>
                <w:rFonts w:hint="default" w:ascii="Times New Roman" w:hAnsi="Times New Roman" w:cs="Times New Roman" w:eastAsiaTheme="minorEastAsia"/>
                <w:color w:val="auto"/>
                <w:kern w:val="0"/>
                <w:sz w:val="24"/>
                <w:szCs w:val="24"/>
                <w:highlight w:val="none"/>
              </w:rPr>
              <w:t>Vx</w:t>
            </w:r>
          </w:p>
          <w:p w14:paraId="6A8AE0D3">
            <w:pPr>
              <w:keepNext w:val="0"/>
              <w:keepLines w:val="0"/>
              <w:pageBreakBefore w:val="0"/>
              <w:widowControl/>
              <w:kinsoku/>
              <w:wordWrap/>
              <w:overflowPunct/>
              <w:topLinePunct w:val="0"/>
              <w:autoSpaceDE/>
              <w:autoSpaceDN/>
              <w:bidi w:val="0"/>
              <w:adjustRightInd/>
              <w:snapToGrid/>
              <w:spacing w:line="440" w:lineRule="exact"/>
              <w:ind w:left="0" w:leftChars="0" w:firstLine="480" w:firstLineChars="200"/>
              <w:jc w:val="left"/>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式中：</w:t>
            </w:r>
          </w:p>
          <w:p w14:paraId="28E2D764">
            <w:pPr>
              <w:keepNext w:val="0"/>
              <w:keepLines w:val="0"/>
              <w:pageBreakBefore w:val="0"/>
              <w:widowControl/>
              <w:kinsoku/>
              <w:wordWrap/>
              <w:overflowPunct/>
              <w:topLinePunct w:val="0"/>
              <w:autoSpaceDE/>
              <w:autoSpaceDN/>
              <w:bidi w:val="0"/>
              <w:adjustRightInd/>
              <w:snapToGrid/>
              <w:spacing w:line="440" w:lineRule="exact"/>
              <w:ind w:left="0" w:leftChars="0" w:firstLine="480" w:firstLineChars="200"/>
              <w:jc w:val="left"/>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L—集气罩风量，m</w:t>
            </w:r>
            <w:r>
              <w:rPr>
                <w:rFonts w:hint="default" w:ascii="Times New Roman" w:hAnsi="Times New Roman" w:eastAsia="宋体" w:cs="Times New Roman"/>
                <w:color w:val="auto"/>
                <w:kern w:val="0"/>
                <w:sz w:val="24"/>
                <w:szCs w:val="24"/>
                <w:highlight w:val="none"/>
                <w:vertAlign w:val="superscript"/>
              </w:rPr>
              <w:t>3</w:t>
            </w:r>
            <w:r>
              <w:rPr>
                <w:rFonts w:hint="default" w:ascii="Times New Roman" w:hAnsi="Times New Roman" w:eastAsia="宋体" w:cs="Times New Roman"/>
                <w:color w:val="auto"/>
                <w:kern w:val="0"/>
                <w:sz w:val="24"/>
                <w:szCs w:val="24"/>
                <w:highlight w:val="none"/>
              </w:rPr>
              <w:t>/s；</w:t>
            </w:r>
          </w:p>
          <w:p w14:paraId="7E3485C6">
            <w:pPr>
              <w:keepNext w:val="0"/>
              <w:keepLines w:val="0"/>
              <w:pageBreakBefore w:val="0"/>
              <w:widowControl/>
              <w:kinsoku/>
              <w:wordWrap/>
              <w:overflowPunct/>
              <w:topLinePunct w:val="0"/>
              <w:autoSpaceDE/>
              <w:autoSpaceDN/>
              <w:bidi w:val="0"/>
              <w:adjustRightInd/>
              <w:snapToGrid/>
              <w:spacing w:line="440" w:lineRule="exact"/>
              <w:ind w:left="0" w:leftChars="0" w:firstLine="480" w:firstLineChars="200"/>
              <w:jc w:val="left"/>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Vx—控制点的吸入风速，m/s；根据《局部排风设施控制风速检测与评估技术规范》（AQ/T4274-2016），粉尘上吸式控制风速要求为</w:t>
            </w:r>
            <w:r>
              <w:rPr>
                <w:rFonts w:hint="eastAsia" w:ascii="Times New Roman" w:hAnsi="Times New Roman" w:eastAsia="宋体" w:cs="Times New Roman"/>
                <w:color w:val="auto"/>
                <w:kern w:val="0"/>
                <w:sz w:val="24"/>
                <w:szCs w:val="24"/>
                <w:highlight w:val="none"/>
                <w:lang w:val="en-US" w:eastAsia="zh-CN"/>
              </w:rPr>
              <w:t>1-</w:t>
            </w:r>
            <w:r>
              <w:rPr>
                <w:rFonts w:hint="default" w:ascii="Times New Roman" w:hAnsi="Times New Roman" w:eastAsia="宋体" w:cs="Times New Roman"/>
                <w:color w:val="auto"/>
                <w:kern w:val="0"/>
                <w:sz w:val="24"/>
                <w:szCs w:val="24"/>
                <w:highlight w:val="none"/>
              </w:rPr>
              <w:t>1.2m/s，拟建项目Vx取</w:t>
            </w:r>
            <w:r>
              <w:rPr>
                <w:rFonts w:hint="eastAsia" w:ascii="Times New Roman" w:hAnsi="Times New Roman" w:eastAsia="宋体" w:cs="Times New Roman"/>
                <w:color w:val="auto"/>
                <w:kern w:val="0"/>
                <w:sz w:val="24"/>
                <w:szCs w:val="24"/>
                <w:highlight w:val="none"/>
                <w:lang w:val="en-US" w:eastAsia="zh-CN"/>
              </w:rPr>
              <w:t>平均值1.1</w:t>
            </w:r>
            <w:r>
              <w:rPr>
                <w:rFonts w:hint="default" w:ascii="Times New Roman" w:hAnsi="Times New Roman" w:eastAsia="宋体" w:cs="Times New Roman"/>
                <w:color w:val="auto"/>
                <w:kern w:val="0"/>
                <w:sz w:val="24"/>
                <w:szCs w:val="24"/>
                <w:highlight w:val="none"/>
              </w:rPr>
              <w:t>m/s。</w:t>
            </w:r>
          </w:p>
          <w:p w14:paraId="11D439C9">
            <w:pPr>
              <w:keepNext w:val="0"/>
              <w:keepLines w:val="0"/>
              <w:pageBreakBefore w:val="0"/>
              <w:widowControl/>
              <w:kinsoku/>
              <w:wordWrap/>
              <w:overflowPunct/>
              <w:topLinePunct w:val="0"/>
              <w:autoSpaceDE/>
              <w:autoSpaceDN/>
              <w:bidi w:val="0"/>
              <w:adjustRightInd/>
              <w:snapToGrid/>
              <w:spacing w:line="440" w:lineRule="exact"/>
              <w:ind w:left="0" w:leftChars="0" w:firstLine="480" w:firstLineChars="200"/>
              <w:jc w:val="left"/>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F—集气罩面积，m</w:t>
            </w:r>
            <w:r>
              <w:rPr>
                <w:rFonts w:hint="default" w:ascii="Times New Roman" w:hAnsi="Times New Roman" w:eastAsia="宋体" w:cs="Times New Roman"/>
                <w:color w:val="auto"/>
                <w:kern w:val="0"/>
                <w:sz w:val="24"/>
                <w:szCs w:val="24"/>
                <w:highlight w:val="none"/>
                <w:vertAlign w:val="superscript"/>
              </w:rPr>
              <w:t>2</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sz w:val="24"/>
                <w:szCs w:val="24"/>
                <w:highlight w:val="none"/>
              </w:rPr>
              <w:t>集气罩</w:t>
            </w:r>
            <w:r>
              <w:rPr>
                <w:rFonts w:hint="default" w:ascii="Times New Roman" w:hAnsi="Times New Roman" w:eastAsia="宋体" w:cs="Times New Roman"/>
                <w:color w:val="auto"/>
                <w:kern w:val="0"/>
                <w:sz w:val="24"/>
                <w:szCs w:val="24"/>
                <w:highlight w:val="none"/>
              </w:rPr>
              <w:t>（F）</w:t>
            </w:r>
            <w:r>
              <w:rPr>
                <w:rFonts w:hint="eastAsia" w:ascii="Times New Roman" w:hAnsi="Times New Roman" w:eastAsia="宋体" w:cs="Times New Roman"/>
                <w:color w:val="auto"/>
                <w:kern w:val="0"/>
                <w:sz w:val="24"/>
                <w:szCs w:val="24"/>
                <w:highlight w:val="none"/>
                <w:lang w:val="en-US" w:eastAsia="zh-CN"/>
              </w:rPr>
              <w:t>集气面积</w:t>
            </w:r>
            <w:r>
              <w:rPr>
                <w:rFonts w:hint="default" w:ascii="Times New Roman" w:hAnsi="Times New Roman" w:eastAsia="宋体" w:cs="Times New Roman"/>
                <w:color w:val="auto"/>
                <w:kern w:val="0"/>
                <w:sz w:val="24"/>
                <w:szCs w:val="24"/>
                <w:highlight w:val="none"/>
              </w:rPr>
              <w:t>取</w:t>
            </w:r>
            <w:r>
              <w:rPr>
                <w:rFonts w:hint="eastAsia" w:ascii="Times New Roman" w:hAnsi="Times New Roman" w:eastAsia="宋体" w:cs="Times New Roman"/>
                <w:color w:val="auto"/>
                <w:kern w:val="0"/>
                <w:sz w:val="24"/>
                <w:szCs w:val="24"/>
                <w:highlight w:val="none"/>
                <w:lang w:val="en-US" w:eastAsia="zh-CN"/>
              </w:rPr>
              <w:t>0.3</w:t>
            </w:r>
            <w:r>
              <w:rPr>
                <w:rFonts w:hint="default" w:ascii="Times New Roman" w:hAnsi="Times New Roman" w:eastAsia="宋体" w:cs="Times New Roman"/>
                <w:color w:val="auto"/>
                <w:kern w:val="0"/>
                <w:sz w:val="24"/>
                <w:szCs w:val="24"/>
                <w:highlight w:val="none"/>
              </w:rPr>
              <w:t>m</w:t>
            </w:r>
            <w:r>
              <w:rPr>
                <w:rFonts w:hint="default" w:ascii="Times New Roman" w:hAnsi="Times New Roman" w:eastAsia="宋体" w:cs="Times New Roman"/>
                <w:color w:val="auto"/>
                <w:kern w:val="0"/>
                <w:sz w:val="24"/>
                <w:szCs w:val="24"/>
                <w:highlight w:val="none"/>
                <w:vertAlign w:val="superscript"/>
              </w:rPr>
              <w:t>2</w:t>
            </w:r>
            <w:r>
              <w:rPr>
                <w:rFonts w:hint="eastAsia" w:ascii="Times New Roman" w:hAnsi="Times New Roman" w:eastAsia="宋体" w:cs="Times New Roman"/>
                <w:color w:val="auto"/>
                <w:kern w:val="0"/>
                <w:sz w:val="24"/>
                <w:szCs w:val="24"/>
                <w:highlight w:val="none"/>
                <w:vertAlign w:val="baseline"/>
                <w:lang w:eastAsia="zh-CN"/>
              </w:rPr>
              <w:t>。</w:t>
            </w:r>
          </w:p>
          <w:p w14:paraId="7A0AC9DF">
            <w:pPr>
              <w:keepNext w:val="0"/>
              <w:keepLines w:val="0"/>
              <w:pageBreakBefore w:val="0"/>
              <w:kinsoku/>
              <w:wordWrap/>
              <w:overflowPunct/>
              <w:topLinePunct w:val="0"/>
              <w:autoSpaceDE/>
              <w:autoSpaceDN/>
              <w:bidi w:val="0"/>
              <w:adjustRightInd/>
              <w:snapToGrid/>
              <w:spacing w:line="440" w:lineRule="exact"/>
              <w:ind w:left="0" w:leftChars="0" w:firstLine="480" w:firstLineChars="200"/>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0"/>
                <w:sz w:val="24"/>
                <w:szCs w:val="24"/>
                <w:highlight w:val="none"/>
              </w:rPr>
              <w:t>X—控制点到吸气口的距离，m</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颗粒物控制点到吸气口的距离取0.</w:t>
            </w:r>
            <w:r>
              <w:rPr>
                <w:rFonts w:hint="eastAsia"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rPr>
              <w:t>m</w:t>
            </w:r>
            <w:r>
              <w:rPr>
                <w:rFonts w:hint="eastAsia" w:ascii="Times New Roman" w:hAnsi="Times New Roman" w:eastAsia="宋体" w:cs="Times New Roman"/>
                <w:color w:val="auto"/>
                <w:kern w:val="0"/>
                <w:sz w:val="24"/>
                <w:szCs w:val="24"/>
                <w:highlight w:val="none"/>
                <w:lang w:eastAsia="zh-CN"/>
              </w:rPr>
              <w:t>。</w:t>
            </w:r>
          </w:p>
          <w:p w14:paraId="34E515F6">
            <w:pPr>
              <w:keepNext w:val="0"/>
              <w:keepLines w:val="0"/>
              <w:pageBreakBefore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0"/>
                <w:sz w:val="24"/>
                <w:szCs w:val="24"/>
                <w:highlight w:val="none"/>
              </w:rPr>
              <w:t>根据计算，</w:t>
            </w:r>
            <w:r>
              <w:rPr>
                <w:rFonts w:hint="eastAsia" w:cs="Times New Roman"/>
                <w:color w:val="auto"/>
                <w:kern w:val="0"/>
                <w:sz w:val="24"/>
                <w:szCs w:val="24"/>
                <w:highlight w:val="none"/>
                <w:lang w:val="en-US" w:eastAsia="zh-CN"/>
              </w:rPr>
              <w:t>本项目</w:t>
            </w:r>
            <w:r>
              <w:rPr>
                <w:rFonts w:hint="eastAsia" w:ascii="Times New Roman" w:hAnsi="Times New Roman" w:eastAsia="宋体" w:cs="Times New Roman"/>
                <w:color w:val="auto"/>
                <w:kern w:val="0"/>
                <w:sz w:val="24"/>
                <w:szCs w:val="24"/>
                <w:highlight w:val="none"/>
                <w:lang w:val="en-US" w:eastAsia="zh-CN"/>
              </w:rPr>
              <w:t>集气罩风量为3564</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eastAsia" w:ascii="Times New Roman" w:hAnsi="Times New Roman" w:eastAsia="宋体" w:cs="Times New Roman"/>
                <w:color w:val="auto"/>
                <w:sz w:val="24"/>
                <w:szCs w:val="24"/>
                <w:highlight w:val="none"/>
                <w:vertAlign w:val="baseline"/>
                <w:lang w:val="en-US" w:eastAsia="zh-CN"/>
              </w:rPr>
              <w:t>/h</w:t>
            </w:r>
            <w:r>
              <w:rPr>
                <w:rFonts w:hint="eastAsia" w:ascii="Times New Roman" w:hAnsi="Times New Roman" w:eastAsia="宋体" w:cs="Times New Roman"/>
                <w:color w:val="auto"/>
                <w:kern w:val="0"/>
                <w:sz w:val="24"/>
                <w:szCs w:val="24"/>
                <w:highlight w:val="none"/>
                <w:lang w:val="en-US" w:eastAsia="zh-CN"/>
              </w:rPr>
              <w:t>，</w:t>
            </w:r>
            <w:r>
              <w:rPr>
                <w:rFonts w:hint="eastAsia" w:ascii="Times New Roman" w:hAnsi="Times New Roman" w:eastAsia="宋体" w:cs="Times New Roman"/>
                <w:color w:val="auto"/>
                <w:sz w:val="24"/>
                <w:szCs w:val="24"/>
                <w:highlight w:val="none"/>
                <w:vertAlign w:val="baseline"/>
                <w:lang w:val="en-US" w:eastAsia="zh-CN"/>
              </w:rPr>
              <w:t>本项目设置6个集气罩，则合计风量为21384</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eastAsia" w:ascii="Times New Roman" w:hAnsi="Times New Roman" w:eastAsia="宋体" w:cs="Times New Roman"/>
                <w:color w:val="auto"/>
                <w:sz w:val="24"/>
                <w:szCs w:val="24"/>
                <w:highlight w:val="none"/>
                <w:vertAlign w:val="baseline"/>
                <w:lang w:val="en-US" w:eastAsia="zh-CN"/>
              </w:rPr>
              <w:t>/h</w:t>
            </w:r>
            <w:r>
              <w:rPr>
                <w:rFonts w:hint="default" w:ascii="Times New Roman" w:hAnsi="Times New Roman" w:eastAsia="宋体" w:cs="Times New Roman"/>
                <w:color w:val="auto"/>
                <w:sz w:val="24"/>
                <w:szCs w:val="24"/>
                <w:highlight w:val="none"/>
                <w:lang w:eastAsia="zh-CN"/>
              </w:rPr>
              <w:t>。</w:t>
            </w:r>
          </w:p>
          <w:p w14:paraId="38A64918">
            <w:pPr>
              <w:pStyle w:val="118"/>
              <w:keepNext w:val="0"/>
              <w:keepLines w:val="0"/>
              <w:pageBreakBefore w:val="0"/>
              <w:kinsoku/>
              <w:wordWrap/>
              <w:overflowPunct/>
              <w:topLinePunct w:val="0"/>
              <w:bidi w:val="0"/>
              <w:spacing w:line="440" w:lineRule="exact"/>
              <w:ind w:firstLine="480"/>
              <w:rPr>
                <w:rFonts w:hint="default" w:eastAsia="宋体"/>
                <w:color w:val="auto"/>
                <w:highlight w:val="none"/>
                <w:lang w:val="en-US" w:eastAsia="zh-CN"/>
              </w:rPr>
            </w:pPr>
            <w:r>
              <w:rPr>
                <w:rFonts w:hint="eastAsia"/>
                <w:color w:val="auto"/>
                <w:highlight w:val="none"/>
                <w:lang w:val="en-US" w:eastAsia="zh-CN"/>
              </w:rPr>
              <w:t>C、排放情况</w:t>
            </w:r>
          </w:p>
          <w:p w14:paraId="10C1A88F">
            <w:pPr>
              <w:pStyle w:val="118"/>
              <w:keepNext w:val="0"/>
              <w:keepLines w:val="0"/>
              <w:pageBreakBefore w:val="0"/>
              <w:kinsoku/>
              <w:wordWrap/>
              <w:overflowPunct/>
              <w:topLinePunct w:val="0"/>
              <w:bidi w:val="0"/>
              <w:spacing w:line="440" w:lineRule="exact"/>
              <w:ind w:firstLine="480"/>
              <w:rPr>
                <w:rFonts w:hint="default" w:eastAsia="宋体"/>
                <w:color w:val="auto"/>
                <w:highlight w:val="none"/>
                <w:lang w:val="en-US" w:eastAsia="zh-CN"/>
              </w:rPr>
            </w:pPr>
            <w:r>
              <w:rPr>
                <w:rFonts w:hint="eastAsia"/>
                <w:color w:val="auto"/>
                <w:highlight w:val="none"/>
                <w:lang w:val="en-US" w:eastAsia="zh-CN"/>
              </w:rPr>
              <w:t>本项目</w:t>
            </w:r>
            <w:r>
              <w:rPr>
                <w:rFonts w:hint="eastAsia"/>
                <w:color w:val="auto"/>
                <w:highlight w:val="none"/>
              </w:rPr>
              <w:t>布袋除尘器效率参考《排放源统计调查产排污核算方法和系数手册》中“2625有机肥料及微生物肥料制造行业手册”-“2625有机肥及微生物肥制造行业系数表”中对于有机肥/生物有机肥前后处理过程中颗粒物布袋除尘效率为98%</w:t>
            </w:r>
            <w:r>
              <w:rPr>
                <w:rFonts w:hint="eastAsia"/>
                <w:color w:val="auto"/>
                <w:highlight w:val="none"/>
                <w:lang w:eastAsia="zh-CN"/>
              </w:rPr>
              <w:t>；参照《排放源统计调查产排污核算方法和系数手册》（生态环境部公告2021年第24号）中“工业源固体物料堆场颗粒物核算系数手册”中附录，封闭式厂房控制效率为99%，鉴于本项目进出口未封闭，封闭效果一般，控制效率取80%；</w:t>
            </w:r>
            <w:r>
              <w:rPr>
                <w:rFonts w:hint="eastAsia"/>
                <w:color w:val="auto"/>
                <w:highlight w:val="none"/>
                <w:lang w:val="en-US" w:eastAsia="zh-CN"/>
              </w:rPr>
              <w:t>则有组织废气排放量为0.509t/a；无组织废气排放量为1.272t/a。</w:t>
            </w:r>
          </w:p>
          <w:p w14:paraId="61716553">
            <w:pPr>
              <w:keepNext w:val="0"/>
              <w:keepLines w:val="0"/>
              <w:pageBreakBefore w:val="0"/>
              <w:kinsoku/>
              <w:wordWrap/>
              <w:overflowPunct/>
              <w:topLinePunct w:val="0"/>
              <w:bidi w:val="0"/>
              <w:spacing w:line="440" w:lineRule="exact"/>
              <w:ind w:firstLine="482" w:firstLineChars="200"/>
              <w:rPr>
                <w:b/>
                <w:bCs/>
                <w:color w:val="auto"/>
                <w:kern w:val="0"/>
                <w:sz w:val="24"/>
                <w:highlight w:val="none"/>
              </w:rPr>
            </w:pPr>
            <w:r>
              <w:rPr>
                <w:rFonts w:hint="eastAsia"/>
                <w:b/>
                <w:bCs/>
                <w:color w:val="auto"/>
                <w:kern w:val="0"/>
                <w:sz w:val="24"/>
                <w:highlight w:val="none"/>
              </w:rPr>
              <w:t>②硫化氢、氨气、臭气浓度</w:t>
            </w:r>
          </w:p>
          <w:p w14:paraId="27802BC5">
            <w:pPr>
              <w:keepNext w:val="0"/>
              <w:keepLines w:val="0"/>
              <w:pageBreakBefore w:val="0"/>
              <w:kinsoku/>
              <w:wordWrap/>
              <w:overflowPunct/>
              <w:topLinePunct w:val="0"/>
              <w:bidi w:val="0"/>
              <w:spacing w:line="440" w:lineRule="exact"/>
              <w:ind w:firstLine="480" w:firstLineChars="200"/>
              <w:rPr>
                <w:rFonts w:hint="default" w:eastAsia="宋体"/>
                <w:color w:val="auto"/>
                <w:kern w:val="0"/>
                <w:sz w:val="24"/>
                <w:highlight w:val="none"/>
                <w:lang w:val="en-US" w:eastAsia="zh-CN"/>
              </w:rPr>
            </w:pPr>
            <w:r>
              <w:rPr>
                <w:rFonts w:hint="eastAsia"/>
                <w:color w:val="auto"/>
                <w:kern w:val="0"/>
                <w:sz w:val="24"/>
                <w:highlight w:val="none"/>
                <w:lang w:val="en-US" w:eastAsia="zh-CN"/>
              </w:rPr>
              <w:t>A、源强</w:t>
            </w:r>
          </w:p>
          <w:p w14:paraId="0215FD63">
            <w:pPr>
              <w:keepNext w:val="0"/>
              <w:keepLines w:val="0"/>
              <w:pageBreakBefore w:val="0"/>
              <w:kinsoku/>
              <w:wordWrap/>
              <w:overflowPunct/>
              <w:topLinePunct w:val="0"/>
              <w:bidi w:val="0"/>
              <w:spacing w:line="440" w:lineRule="exact"/>
              <w:ind w:firstLine="480" w:firstLineChars="200"/>
              <w:rPr>
                <w:rFonts w:hint="eastAsia"/>
                <w:color w:val="auto"/>
                <w:kern w:val="0"/>
                <w:sz w:val="24"/>
                <w:highlight w:val="none"/>
                <w:lang w:eastAsia="zh-CN"/>
              </w:rPr>
            </w:pPr>
            <w:r>
              <w:rPr>
                <w:rFonts w:hint="eastAsia"/>
                <w:color w:val="auto"/>
                <w:kern w:val="0"/>
                <w:sz w:val="24"/>
                <w:highlight w:val="none"/>
              </w:rPr>
              <w:t>固</w:t>
            </w:r>
            <w:r>
              <w:rPr>
                <w:rFonts w:hint="eastAsia"/>
                <w:color w:val="auto"/>
                <w:kern w:val="0"/>
                <w:sz w:val="24"/>
                <w:highlight w:val="none"/>
                <w:lang w:val="en-US" w:eastAsia="zh-CN"/>
              </w:rPr>
              <w:t>体复合微生物肥</w:t>
            </w:r>
            <w:r>
              <w:rPr>
                <w:rFonts w:hint="eastAsia"/>
                <w:color w:val="auto"/>
                <w:kern w:val="0"/>
                <w:sz w:val="24"/>
                <w:highlight w:val="none"/>
              </w:rPr>
              <w:t>发酵将产生硫化氢、氨气、臭气浓度。目前国家及地方暂未发布发酵行业废气产排污系数资料</w:t>
            </w:r>
            <w:r>
              <w:rPr>
                <w:rFonts w:hint="eastAsia"/>
                <w:color w:val="auto"/>
                <w:kern w:val="0"/>
                <w:sz w:val="24"/>
                <w:highlight w:val="none"/>
                <w:lang w:eastAsia="zh-CN"/>
              </w:rPr>
              <w:t>。</w:t>
            </w:r>
          </w:p>
          <w:p w14:paraId="61B55DEB">
            <w:pPr>
              <w:keepNext w:val="0"/>
              <w:keepLines w:val="0"/>
              <w:pageBreakBefore w:val="0"/>
              <w:kinsoku/>
              <w:wordWrap/>
              <w:overflowPunct/>
              <w:topLinePunct w:val="0"/>
              <w:bidi w:val="0"/>
              <w:spacing w:line="440" w:lineRule="exact"/>
              <w:ind w:firstLine="480" w:firstLineChars="200"/>
              <w:rPr>
                <w:rFonts w:hint="eastAsia"/>
                <w:color w:val="auto"/>
                <w:kern w:val="0"/>
                <w:sz w:val="24"/>
                <w:highlight w:val="none"/>
                <w:lang w:eastAsia="zh-CN"/>
              </w:rPr>
            </w:pPr>
            <w:r>
              <w:rPr>
                <w:rFonts w:hint="eastAsia"/>
                <w:color w:val="auto"/>
                <w:kern w:val="0"/>
                <w:sz w:val="24"/>
                <w:highlight w:val="none"/>
              </w:rPr>
              <w:t>氨产污系数参照《第二次全国污染源普查产排量核算系数手册》（2019年）“2625有机肥料及微生物肥料制造行业产污系数”中“罐式发酵”氨的产物序数为0.0</w:t>
            </w:r>
            <w:r>
              <w:rPr>
                <w:rFonts w:hint="eastAsia"/>
                <w:color w:val="auto"/>
                <w:kern w:val="0"/>
                <w:sz w:val="24"/>
                <w:highlight w:val="none"/>
                <w:lang w:val="en-US" w:eastAsia="zh-CN"/>
              </w:rPr>
              <w:t>73</w:t>
            </w:r>
            <w:r>
              <w:rPr>
                <w:rFonts w:hint="eastAsia"/>
                <w:color w:val="auto"/>
                <w:kern w:val="0"/>
                <w:sz w:val="24"/>
                <w:highlight w:val="none"/>
              </w:rPr>
              <w:t>kg/t产品</w:t>
            </w:r>
            <w:r>
              <w:rPr>
                <w:rFonts w:hint="eastAsia"/>
                <w:color w:val="auto"/>
                <w:kern w:val="0"/>
                <w:sz w:val="24"/>
                <w:highlight w:val="none"/>
                <w:lang w:eastAsia="zh-CN"/>
              </w:rPr>
              <w:t>。</w:t>
            </w:r>
          </w:p>
          <w:p w14:paraId="52D64ECC">
            <w:pPr>
              <w:keepNext w:val="0"/>
              <w:keepLines w:val="0"/>
              <w:pageBreakBefore w:val="0"/>
              <w:kinsoku/>
              <w:wordWrap/>
              <w:overflowPunct/>
              <w:topLinePunct w:val="0"/>
              <w:bidi w:val="0"/>
              <w:spacing w:line="440" w:lineRule="exact"/>
              <w:ind w:firstLine="480" w:firstLineChars="200"/>
              <w:rPr>
                <w:rFonts w:hint="eastAsia"/>
                <w:color w:val="auto"/>
                <w:kern w:val="0"/>
                <w:sz w:val="24"/>
                <w:highlight w:val="none"/>
                <w:lang w:val="en-US" w:eastAsia="zh-CN"/>
              </w:rPr>
            </w:pPr>
            <w:r>
              <w:rPr>
                <w:rFonts w:hint="eastAsia"/>
                <w:b w:val="0"/>
                <w:bCs w:val="0"/>
                <w:color w:val="auto"/>
                <w:sz w:val="24"/>
                <w:highlight w:val="none"/>
                <w:lang w:val="en-US" w:eastAsia="zh-CN"/>
              </w:rPr>
              <w:t>H</w:t>
            </w:r>
            <w:r>
              <w:rPr>
                <w:rFonts w:hint="eastAsia"/>
                <w:b w:val="0"/>
                <w:bCs w:val="0"/>
                <w:color w:val="auto"/>
                <w:sz w:val="24"/>
                <w:highlight w:val="none"/>
                <w:vertAlign w:val="subscript"/>
                <w:lang w:val="en-US" w:eastAsia="zh-CN"/>
              </w:rPr>
              <w:t>2</w:t>
            </w:r>
            <w:r>
              <w:rPr>
                <w:rFonts w:hint="eastAsia"/>
                <w:b w:val="0"/>
                <w:bCs w:val="0"/>
                <w:color w:val="auto"/>
                <w:sz w:val="24"/>
                <w:highlight w:val="none"/>
                <w:lang w:val="en-US" w:eastAsia="zh-CN"/>
              </w:rPr>
              <w:t>S</w:t>
            </w:r>
            <w:r>
              <w:rPr>
                <w:rFonts w:hint="eastAsia"/>
                <w:b w:val="0"/>
                <w:bCs w:val="0"/>
                <w:color w:val="auto"/>
                <w:sz w:val="24"/>
                <w:highlight w:val="none"/>
                <w:lang w:eastAsia="zh-CN"/>
              </w:rPr>
              <w:t>主要源于微生物在厌氧条件下对含硫有机物的分解；原料中蛋白质/含硫氨基酸越丰富，</w:t>
            </w:r>
            <w:r>
              <w:rPr>
                <w:rFonts w:hint="eastAsia"/>
                <w:b w:val="0"/>
                <w:bCs w:val="0"/>
                <w:color w:val="auto"/>
                <w:sz w:val="24"/>
                <w:highlight w:val="none"/>
                <w:lang w:val="en-US" w:eastAsia="zh-CN"/>
              </w:rPr>
              <w:t>H</w:t>
            </w:r>
            <w:r>
              <w:rPr>
                <w:rFonts w:hint="eastAsia"/>
                <w:b w:val="0"/>
                <w:bCs w:val="0"/>
                <w:color w:val="auto"/>
                <w:sz w:val="24"/>
                <w:highlight w:val="none"/>
                <w:vertAlign w:val="subscript"/>
                <w:lang w:val="en-US" w:eastAsia="zh-CN"/>
              </w:rPr>
              <w:t>2</w:t>
            </w:r>
            <w:r>
              <w:rPr>
                <w:rFonts w:hint="eastAsia"/>
                <w:b w:val="0"/>
                <w:bCs w:val="0"/>
                <w:color w:val="auto"/>
                <w:sz w:val="24"/>
                <w:highlight w:val="none"/>
                <w:lang w:val="en-US" w:eastAsia="zh-CN"/>
              </w:rPr>
              <w:t>S</w:t>
            </w:r>
            <w:r>
              <w:rPr>
                <w:rFonts w:hint="eastAsia"/>
                <w:b w:val="0"/>
                <w:bCs w:val="0"/>
                <w:color w:val="auto"/>
                <w:sz w:val="24"/>
                <w:highlight w:val="none"/>
                <w:lang w:eastAsia="zh-CN"/>
              </w:rPr>
              <w:t>生成量越大，鸡粪</w:t>
            </w:r>
            <w:r>
              <w:rPr>
                <w:rFonts w:hint="eastAsia"/>
                <w:b w:val="0"/>
                <w:bCs w:val="0"/>
                <w:color w:val="auto"/>
                <w:sz w:val="24"/>
                <w:highlight w:val="none"/>
                <w:lang w:val="en-US" w:eastAsia="zh-CN"/>
              </w:rPr>
              <w:t>和猪粪</w:t>
            </w:r>
            <w:r>
              <w:rPr>
                <w:rFonts w:hint="eastAsia"/>
                <w:b w:val="0"/>
                <w:bCs w:val="0"/>
                <w:color w:val="auto"/>
                <w:sz w:val="24"/>
                <w:highlight w:val="none"/>
                <w:lang w:eastAsia="zh-CN"/>
              </w:rPr>
              <w:t>因蛋白质及含硫氨基酸（如半胱氨酸、蛋氨酸）含量显著高于</w:t>
            </w:r>
            <w:r>
              <w:rPr>
                <w:rFonts w:hint="eastAsia"/>
                <w:b w:val="0"/>
                <w:bCs w:val="0"/>
                <w:color w:val="auto"/>
                <w:sz w:val="24"/>
                <w:highlight w:val="none"/>
                <w:lang w:val="en-US" w:eastAsia="zh-CN"/>
              </w:rPr>
              <w:t>本项目使用的果蔬废物</w:t>
            </w:r>
            <w:r>
              <w:rPr>
                <w:rFonts w:hint="eastAsia"/>
                <w:b w:val="0"/>
                <w:bCs w:val="0"/>
                <w:color w:val="auto"/>
                <w:sz w:val="24"/>
                <w:highlight w:val="none"/>
                <w:lang w:eastAsia="zh-CN"/>
              </w:rPr>
              <w:t>，厌氧发酵时含硫有机物分解更充分，导致所产沼气中硫化氢浓度最高，</w:t>
            </w:r>
            <w:r>
              <w:rPr>
                <w:rFonts w:hint="eastAsia"/>
                <w:b w:val="0"/>
                <w:bCs w:val="0"/>
                <w:color w:val="auto"/>
                <w:sz w:val="24"/>
                <w:highlight w:val="none"/>
                <w:lang w:val="en-US" w:eastAsia="zh-CN"/>
              </w:rPr>
              <w:t>即畜禽发酵废气产生的硫化氢＞果蔬废物产生的硫化氢，</w:t>
            </w:r>
            <w:r>
              <w:rPr>
                <w:rFonts w:hint="eastAsia"/>
                <w:color w:val="auto"/>
                <w:kern w:val="0"/>
                <w:sz w:val="24"/>
                <w:highlight w:val="none"/>
                <w:lang w:val="en-US" w:eastAsia="zh-CN"/>
              </w:rPr>
              <w:t>类比安徽省立腾同创生物有机肥有限公司年产10万吨有机肥生产项目、福建农基农业生物科技有限公司年产20000吨有机肥项目、纳若夏有机肥料生产项目等项目（其与本项目使用原辅料、生产工艺相近，原料主要为农业固体废弃物，不使用畜禽粪便）及</w:t>
            </w:r>
            <w:r>
              <w:rPr>
                <w:rFonts w:hint="eastAsia"/>
                <w:b w:val="0"/>
                <w:bCs w:val="0"/>
                <w:color w:val="auto"/>
                <w:sz w:val="24"/>
                <w:highlight w:val="none"/>
                <w:lang w:val="en-US" w:eastAsia="zh-CN"/>
              </w:rPr>
              <w:t>参考</w:t>
            </w:r>
            <w:r>
              <w:rPr>
                <w:rFonts w:hint="eastAsia"/>
                <w:color w:val="auto"/>
                <w:kern w:val="0"/>
                <w:sz w:val="24"/>
                <w:highlight w:val="none"/>
                <w:lang w:val="en-US" w:eastAsia="zh-CN"/>
              </w:rPr>
              <w:t>《畜禽场环境评价》（刘成国主编，中国标准出版社）“粪便中氮的挥发量约占氨氮总量的10%，其中NH</w:t>
            </w:r>
            <w:r>
              <w:rPr>
                <w:rFonts w:hint="eastAsia"/>
                <w:color w:val="auto"/>
                <w:kern w:val="0"/>
                <w:sz w:val="24"/>
                <w:highlight w:val="none"/>
                <w:vertAlign w:val="subscript"/>
                <w:lang w:val="en-US" w:eastAsia="zh-CN"/>
              </w:rPr>
              <w:t>3</w:t>
            </w:r>
            <w:r>
              <w:rPr>
                <w:rFonts w:hint="eastAsia"/>
                <w:color w:val="auto"/>
                <w:kern w:val="0"/>
                <w:sz w:val="24"/>
                <w:highlight w:val="none"/>
                <w:lang w:val="en-US" w:eastAsia="zh-CN"/>
              </w:rPr>
              <w:t>占挥发总量的25%，H</w:t>
            </w:r>
            <w:r>
              <w:rPr>
                <w:rFonts w:hint="eastAsia"/>
                <w:color w:val="auto"/>
                <w:kern w:val="0"/>
                <w:sz w:val="24"/>
                <w:highlight w:val="none"/>
                <w:vertAlign w:val="subscript"/>
                <w:lang w:val="en-US" w:eastAsia="zh-CN"/>
              </w:rPr>
              <w:t>2</w:t>
            </w:r>
            <w:r>
              <w:rPr>
                <w:rFonts w:hint="eastAsia"/>
                <w:color w:val="auto"/>
                <w:kern w:val="0"/>
                <w:sz w:val="24"/>
                <w:highlight w:val="none"/>
                <w:lang w:val="en-US" w:eastAsia="zh-CN"/>
              </w:rPr>
              <w:t>S为NH</w:t>
            </w:r>
            <w:r>
              <w:rPr>
                <w:rFonts w:hint="eastAsia"/>
                <w:color w:val="auto"/>
                <w:kern w:val="0"/>
                <w:sz w:val="24"/>
                <w:highlight w:val="none"/>
                <w:vertAlign w:val="subscript"/>
                <w:lang w:val="en-US" w:eastAsia="zh-CN"/>
              </w:rPr>
              <w:t>3</w:t>
            </w:r>
            <w:r>
              <w:rPr>
                <w:rFonts w:hint="eastAsia"/>
                <w:color w:val="auto"/>
                <w:kern w:val="0"/>
                <w:sz w:val="24"/>
                <w:highlight w:val="none"/>
                <w:lang w:val="en-US" w:eastAsia="zh-CN"/>
              </w:rPr>
              <w:t>的10%”，考虑不利原则，本项目H</w:t>
            </w:r>
            <w:r>
              <w:rPr>
                <w:rFonts w:hint="eastAsia"/>
                <w:color w:val="auto"/>
                <w:kern w:val="0"/>
                <w:sz w:val="24"/>
                <w:highlight w:val="none"/>
                <w:vertAlign w:val="subscript"/>
                <w:lang w:val="en-US" w:eastAsia="zh-CN"/>
              </w:rPr>
              <w:t>2</w:t>
            </w:r>
            <w:r>
              <w:rPr>
                <w:rFonts w:hint="eastAsia"/>
                <w:color w:val="auto"/>
                <w:kern w:val="0"/>
                <w:sz w:val="24"/>
                <w:highlight w:val="none"/>
                <w:lang w:val="en-US" w:eastAsia="zh-CN"/>
              </w:rPr>
              <w:t>S产污系数取氨的10%，即0.0073kg/t-产品。</w:t>
            </w:r>
          </w:p>
          <w:p w14:paraId="3224C6A7">
            <w:pPr>
              <w:keepNext w:val="0"/>
              <w:keepLines w:val="0"/>
              <w:pageBreakBefore w:val="0"/>
              <w:kinsoku/>
              <w:wordWrap/>
              <w:overflowPunct/>
              <w:topLinePunct w:val="0"/>
              <w:bidi w:val="0"/>
              <w:spacing w:line="440" w:lineRule="exact"/>
              <w:ind w:firstLine="480" w:firstLineChars="200"/>
              <w:rPr>
                <w:rFonts w:hint="eastAsia"/>
                <w:color w:val="auto"/>
                <w:kern w:val="0"/>
                <w:sz w:val="24"/>
                <w:highlight w:val="none"/>
              </w:rPr>
            </w:pPr>
            <w:r>
              <w:rPr>
                <w:rFonts w:hint="eastAsia"/>
                <w:color w:val="auto"/>
                <w:kern w:val="0"/>
                <w:sz w:val="24"/>
                <w:highlight w:val="none"/>
                <w:lang w:val="en-US" w:eastAsia="zh-CN"/>
              </w:rPr>
              <w:t>则</w:t>
            </w:r>
            <w:r>
              <w:rPr>
                <w:rFonts w:hint="eastAsia"/>
                <w:color w:val="auto"/>
                <w:kern w:val="0"/>
                <w:sz w:val="24"/>
                <w:highlight w:val="none"/>
              </w:rPr>
              <w:t>项目</w:t>
            </w:r>
            <w:r>
              <w:rPr>
                <w:rFonts w:hint="eastAsia"/>
                <w:color w:val="auto"/>
                <w:kern w:val="0"/>
                <w:sz w:val="24"/>
                <w:highlight w:val="none"/>
                <w:lang w:val="en-US" w:eastAsia="zh-CN"/>
              </w:rPr>
              <w:t>固体复合微生物肥</w:t>
            </w:r>
            <w:r>
              <w:rPr>
                <w:rFonts w:hint="eastAsia"/>
                <w:color w:val="auto"/>
                <w:kern w:val="0"/>
                <w:sz w:val="24"/>
                <w:highlight w:val="none"/>
              </w:rPr>
              <w:t>产品量为</w:t>
            </w:r>
            <w:r>
              <w:rPr>
                <w:rFonts w:hint="eastAsia"/>
                <w:color w:val="auto"/>
                <w:kern w:val="0"/>
                <w:sz w:val="24"/>
                <w:highlight w:val="none"/>
                <w:lang w:val="en-US" w:eastAsia="zh-CN"/>
              </w:rPr>
              <w:t>86000</w:t>
            </w:r>
            <w:r>
              <w:rPr>
                <w:rFonts w:hint="eastAsia"/>
                <w:color w:val="auto"/>
                <w:kern w:val="0"/>
                <w:sz w:val="24"/>
                <w:highlight w:val="none"/>
              </w:rPr>
              <w:t>吨，则氨的产生量</w:t>
            </w:r>
            <w:r>
              <w:rPr>
                <w:rFonts w:hint="eastAsia"/>
                <w:color w:val="auto"/>
                <w:kern w:val="0"/>
                <w:sz w:val="24"/>
                <w:highlight w:val="none"/>
                <w:lang w:val="en-US" w:eastAsia="zh-CN"/>
              </w:rPr>
              <w:t>6.278</w:t>
            </w:r>
            <w:r>
              <w:rPr>
                <w:rFonts w:hint="eastAsia"/>
                <w:color w:val="auto"/>
                <w:kern w:val="0"/>
                <w:sz w:val="24"/>
                <w:highlight w:val="none"/>
              </w:rPr>
              <w:t>t/a，硫化氢产生量为</w:t>
            </w:r>
            <w:r>
              <w:rPr>
                <w:rFonts w:hint="eastAsia"/>
                <w:color w:val="auto"/>
                <w:kern w:val="0"/>
                <w:sz w:val="24"/>
                <w:highlight w:val="none"/>
                <w:lang w:val="en-US" w:eastAsia="zh-CN"/>
              </w:rPr>
              <w:t>0.628</w:t>
            </w:r>
            <w:r>
              <w:rPr>
                <w:rFonts w:hint="eastAsia"/>
                <w:color w:val="auto"/>
                <w:kern w:val="0"/>
                <w:sz w:val="24"/>
                <w:highlight w:val="none"/>
              </w:rPr>
              <w:t>t/a。</w:t>
            </w:r>
          </w:p>
          <w:p w14:paraId="62C9536E">
            <w:pPr>
              <w:keepNext w:val="0"/>
              <w:keepLines w:val="0"/>
              <w:pageBreakBefore w:val="0"/>
              <w:widowControl w:val="0"/>
              <w:kinsoku/>
              <w:wordWrap/>
              <w:overflowPunct/>
              <w:topLinePunct w:val="0"/>
              <w:bidi w:val="0"/>
              <w:adjustRightInd/>
              <w:snapToGrid/>
              <w:spacing w:line="440" w:lineRule="exact"/>
              <w:ind w:firstLine="480" w:firstLineChars="200"/>
              <w:textAlignment w:val="auto"/>
              <w:rPr>
                <w:rFonts w:hint="default" w:eastAsia="宋体"/>
                <w:color w:val="auto"/>
                <w:kern w:val="0"/>
                <w:sz w:val="24"/>
                <w:highlight w:val="none"/>
                <w:lang w:val="en-US" w:eastAsia="zh-CN"/>
              </w:rPr>
            </w:pPr>
            <w:r>
              <w:rPr>
                <w:rFonts w:hint="eastAsia"/>
                <w:color w:val="auto"/>
                <w:kern w:val="0"/>
                <w:sz w:val="24"/>
                <w:highlight w:val="none"/>
                <w:lang w:val="en-US" w:eastAsia="zh-CN"/>
              </w:rPr>
              <w:t>B、防治措施</w:t>
            </w:r>
          </w:p>
          <w:p w14:paraId="1FBA9D0C">
            <w:pPr>
              <w:keepNext w:val="0"/>
              <w:keepLines w:val="0"/>
              <w:pageBreakBefore w:val="0"/>
              <w:widowControl w:val="0"/>
              <w:kinsoku/>
              <w:wordWrap/>
              <w:overflowPunct/>
              <w:topLinePunct w:val="0"/>
              <w:bidi w:val="0"/>
              <w:adjustRightInd/>
              <w:snapToGrid/>
              <w:spacing w:line="440" w:lineRule="exact"/>
              <w:ind w:firstLine="480" w:firstLineChars="200"/>
              <w:textAlignment w:val="auto"/>
              <w:rPr>
                <w:rFonts w:ascii="Times New Roman" w:hAnsi="Times New Roman" w:eastAsia="宋体" w:cs="Times New Roman"/>
                <w:b w:val="0"/>
                <w:bCs w:val="0"/>
                <w:color w:val="auto"/>
                <w:kern w:val="0"/>
                <w:sz w:val="24"/>
                <w:szCs w:val="24"/>
                <w:highlight w:val="none"/>
                <w:lang w:val="en-US" w:eastAsia="zh-CN" w:bidi="ar-SA"/>
              </w:rPr>
            </w:pPr>
            <w:r>
              <w:rPr>
                <w:rFonts w:hint="eastAsia"/>
                <w:color w:val="auto"/>
                <w:kern w:val="0"/>
                <w:sz w:val="24"/>
                <w:highlight w:val="none"/>
              </w:rPr>
              <w:t>本项目</w:t>
            </w:r>
            <w:r>
              <w:rPr>
                <w:rFonts w:hint="eastAsia"/>
                <w:color w:val="auto"/>
                <w:kern w:val="0"/>
                <w:sz w:val="24"/>
                <w:highlight w:val="none"/>
                <w:lang w:val="en-US" w:eastAsia="zh-CN"/>
              </w:rPr>
              <w:t>拟建</w:t>
            </w:r>
            <w:r>
              <w:rPr>
                <w:rFonts w:hint="eastAsia"/>
                <w:color w:val="auto"/>
                <w:kern w:val="0"/>
                <w:sz w:val="24"/>
                <w:highlight w:val="none"/>
              </w:rPr>
              <w:t>发酵车间</w:t>
            </w:r>
            <w:r>
              <w:rPr>
                <w:rFonts w:hint="eastAsia"/>
                <w:color w:val="auto"/>
                <w:kern w:val="0"/>
                <w:sz w:val="24"/>
                <w:highlight w:val="none"/>
                <w:lang w:val="en-US" w:eastAsia="zh-CN"/>
              </w:rPr>
              <w:t>全密闭和</w:t>
            </w:r>
            <w:r>
              <w:rPr>
                <w:rFonts w:hint="eastAsia"/>
                <w:color w:val="auto"/>
                <w:kern w:val="0"/>
                <w:sz w:val="24"/>
                <w:highlight w:val="none"/>
              </w:rPr>
              <w:t>采用负压抽风系统收集恶臭，收集后经一套生物过滤除臭系统处理，处理后由15m高排气筒排放（DA00</w:t>
            </w:r>
            <w:r>
              <w:rPr>
                <w:rFonts w:hint="eastAsia"/>
                <w:color w:val="auto"/>
                <w:kern w:val="0"/>
                <w:sz w:val="24"/>
                <w:highlight w:val="none"/>
                <w:lang w:val="en-US" w:eastAsia="zh-CN"/>
              </w:rPr>
              <w:t>3</w:t>
            </w:r>
            <w:r>
              <w:rPr>
                <w:rFonts w:hint="eastAsia"/>
                <w:color w:val="auto"/>
                <w:kern w:val="0"/>
                <w:sz w:val="24"/>
                <w:highlight w:val="none"/>
              </w:rPr>
              <w:t>）</w:t>
            </w:r>
            <w:r>
              <w:rPr>
                <w:rFonts w:hint="eastAsia"/>
                <w:color w:val="auto"/>
                <w:kern w:val="0"/>
                <w:sz w:val="24"/>
                <w:highlight w:val="none"/>
                <w:lang w:val="en-US" w:eastAsia="zh-CN"/>
              </w:rPr>
              <w:t>排放。</w:t>
            </w:r>
            <w:r>
              <w:rPr>
                <w:rFonts w:hint="eastAsia" w:cs="Times New Roman"/>
                <w:b w:val="0"/>
                <w:bCs w:val="0"/>
                <w:color w:val="auto"/>
                <w:kern w:val="0"/>
                <w:sz w:val="24"/>
                <w:szCs w:val="24"/>
                <w:highlight w:val="none"/>
                <w:lang w:val="en-US" w:eastAsia="zh-CN" w:bidi="ar-SA"/>
              </w:rPr>
              <w:t>本</w:t>
            </w:r>
            <w:r>
              <w:rPr>
                <w:rFonts w:hint="eastAsia" w:ascii="Times New Roman" w:hAnsi="Times New Roman" w:eastAsia="宋体" w:cs="Times New Roman"/>
                <w:b w:val="0"/>
                <w:bCs w:val="0"/>
                <w:color w:val="auto"/>
                <w:kern w:val="0"/>
                <w:sz w:val="24"/>
                <w:szCs w:val="24"/>
                <w:highlight w:val="none"/>
                <w:lang w:val="en-US" w:eastAsia="zh-CN" w:bidi="ar-SA"/>
              </w:rPr>
              <w:t>项目发酵车间建筑面积</w:t>
            </w:r>
            <w:r>
              <w:rPr>
                <w:rFonts w:hint="eastAsia" w:cs="Times New Roman"/>
                <w:b w:val="0"/>
                <w:bCs w:val="0"/>
                <w:color w:val="auto"/>
                <w:kern w:val="0"/>
                <w:sz w:val="24"/>
                <w:szCs w:val="24"/>
                <w:highlight w:val="none"/>
                <w:lang w:val="en-US" w:eastAsia="zh-CN" w:bidi="ar-SA"/>
              </w:rPr>
              <w:t>5</w:t>
            </w:r>
            <w:r>
              <w:rPr>
                <w:rFonts w:hint="eastAsia" w:ascii="Times New Roman" w:hAnsi="Times New Roman" w:eastAsia="宋体" w:cs="Times New Roman"/>
                <w:b w:val="0"/>
                <w:bCs w:val="0"/>
                <w:color w:val="auto"/>
                <w:kern w:val="0"/>
                <w:sz w:val="24"/>
                <w:szCs w:val="24"/>
                <w:highlight w:val="none"/>
                <w:lang w:val="en-US" w:eastAsia="zh-CN" w:bidi="ar-SA"/>
              </w:rPr>
              <w:t>00m</w:t>
            </w:r>
            <w:r>
              <w:rPr>
                <w:rFonts w:hint="eastAsia" w:ascii="Times New Roman" w:hAnsi="Times New Roman" w:eastAsia="宋体" w:cs="Times New Roman"/>
                <w:b w:val="0"/>
                <w:bCs w:val="0"/>
                <w:color w:val="auto"/>
                <w:kern w:val="0"/>
                <w:sz w:val="24"/>
                <w:szCs w:val="24"/>
                <w:highlight w:val="none"/>
                <w:vertAlign w:val="superscript"/>
                <w:lang w:val="en-US" w:eastAsia="zh-CN" w:bidi="ar-SA"/>
              </w:rPr>
              <w:t>2</w:t>
            </w:r>
            <w:r>
              <w:rPr>
                <w:rFonts w:hint="eastAsia" w:ascii="Times New Roman" w:hAnsi="Times New Roman" w:eastAsia="宋体" w:cs="Times New Roman"/>
                <w:b w:val="0"/>
                <w:bCs w:val="0"/>
                <w:color w:val="auto"/>
                <w:kern w:val="0"/>
                <w:sz w:val="24"/>
                <w:szCs w:val="24"/>
                <w:highlight w:val="none"/>
                <w:lang w:val="en-US" w:eastAsia="zh-CN" w:bidi="ar-SA"/>
              </w:rPr>
              <w:t>，高度为</w:t>
            </w:r>
            <w:r>
              <w:rPr>
                <w:rFonts w:hint="eastAsia" w:cs="Times New Roman"/>
                <w:b w:val="0"/>
                <w:bCs w:val="0"/>
                <w:color w:val="auto"/>
                <w:kern w:val="0"/>
                <w:sz w:val="24"/>
                <w:szCs w:val="24"/>
                <w:highlight w:val="none"/>
                <w:lang w:val="en-US" w:eastAsia="zh-CN" w:bidi="ar-SA"/>
              </w:rPr>
              <w:t>8</w:t>
            </w:r>
            <w:r>
              <w:rPr>
                <w:rFonts w:hint="eastAsia" w:ascii="Times New Roman" w:hAnsi="Times New Roman" w:eastAsia="宋体" w:cs="Times New Roman"/>
                <w:b w:val="0"/>
                <w:bCs w:val="0"/>
                <w:color w:val="auto"/>
                <w:kern w:val="0"/>
                <w:sz w:val="24"/>
                <w:szCs w:val="24"/>
                <w:highlight w:val="none"/>
                <w:lang w:val="en-US" w:eastAsia="zh-CN" w:bidi="ar-SA"/>
              </w:rPr>
              <w:t>m，采用全密闭车间，对恶臭气体的负压抽风收集效率以</w:t>
            </w:r>
            <w:r>
              <w:rPr>
                <w:rFonts w:hint="eastAsia" w:cs="Times New Roman"/>
                <w:b w:val="0"/>
                <w:bCs w:val="0"/>
                <w:color w:val="auto"/>
                <w:kern w:val="0"/>
                <w:sz w:val="24"/>
                <w:szCs w:val="24"/>
                <w:highlight w:val="none"/>
                <w:lang w:val="en-US" w:eastAsia="zh-CN" w:bidi="ar-SA"/>
              </w:rPr>
              <w:t>90</w:t>
            </w:r>
            <w:r>
              <w:rPr>
                <w:rFonts w:hint="eastAsia" w:ascii="Times New Roman" w:hAnsi="Times New Roman" w:eastAsia="宋体" w:cs="Times New Roman"/>
                <w:b w:val="0"/>
                <w:bCs w:val="0"/>
                <w:color w:val="auto"/>
                <w:kern w:val="0"/>
                <w:sz w:val="24"/>
                <w:szCs w:val="24"/>
                <w:highlight w:val="none"/>
                <w:lang w:val="en-US" w:eastAsia="zh-CN" w:bidi="ar-SA"/>
              </w:rPr>
              <w:t>%计算，换气次数以</w:t>
            </w:r>
            <w:r>
              <w:rPr>
                <w:rFonts w:hint="eastAsia" w:cs="Times New Roman"/>
                <w:b w:val="0"/>
                <w:bCs w:val="0"/>
                <w:color w:val="auto"/>
                <w:kern w:val="0"/>
                <w:sz w:val="24"/>
                <w:szCs w:val="24"/>
                <w:highlight w:val="none"/>
                <w:lang w:val="en-US" w:eastAsia="zh-CN" w:bidi="ar-SA"/>
              </w:rPr>
              <w:t>1</w:t>
            </w:r>
            <w:r>
              <w:rPr>
                <w:rFonts w:hint="eastAsia" w:ascii="Times New Roman" w:hAnsi="Times New Roman" w:eastAsia="宋体" w:cs="Times New Roman"/>
                <w:b w:val="0"/>
                <w:bCs w:val="0"/>
                <w:color w:val="auto"/>
                <w:kern w:val="0"/>
                <w:sz w:val="24"/>
                <w:szCs w:val="24"/>
                <w:highlight w:val="none"/>
                <w:lang w:val="en-US" w:eastAsia="zh-CN" w:bidi="ar-SA"/>
              </w:rPr>
              <w:t>次/h计算，则风机风量约为</w:t>
            </w:r>
            <w:r>
              <w:rPr>
                <w:rFonts w:hint="eastAsia" w:cs="Times New Roman"/>
                <w:b w:val="0"/>
                <w:bCs w:val="0"/>
                <w:color w:val="auto"/>
                <w:kern w:val="0"/>
                <w:sz w:val="24"/>
                <w:szCs w:val="24"/>
                <w:highlight w:val="none"/>
                <w:lang w:val="en-US" w:eastAsia="zh-CN" w:bidi="ar-SA"/>
              </w:rPr>
              <w:t>4</w:t>
            </w:r>
            <w:r>
              <w:rPr>
                <w:rFonts w:hint="eastAsia" w:ascii="Times New Roman" w:hAnsi="Times New Roman" w:eastAsia="宋体" w:cs="Times New Roman"/>
                <w:b w:val="0"/>
                <w:bCs w:val="0"/>
                <w:color w:val="auto"/>
                <w:kern w:val="0"/>
                <w:sz w:val="24"/>
                <w:szCs w:val="24"/>
                <w:highlight w:val="none"/>
                <w:lang w:val="en-US" w:eastAsia="zh-CN" w:bidi="ar-SA"/>
              </w:rPr>
              <w:t>000m</w:t>
            </w:r>
            <w:r>
              <w:rPr>
                <w:rFonts w:hint="eastAsia" w:ascii="Times New Roman" w:hAnsi="Times New Roman" w:eastAsia="宋体" w:cs="Times New Roman"/>
                <w:b w:val="0"/>
                <w:bCs w:val="0"/>
                <w:color w:val="auto"/>
                <w:kern w:val="0"/>
                <w:sz w:val="24"/>
                <w:szCs w:val="24"/>
                <w:highlight w:val="none"/>
                <w:vertAlign w:val="superscript"/>
                <w:lang w:val="en-US" w:eastAsia="zh-CN" w:bidi="ar-SA"/>
              </w:rPr>
              <w:t>3</w:t>
            </w:r>
            <w:r>
              <w:rPr>
                <w:rFonts w:hint="eastAsia" w:ascii="Times New Roman" w:hAnsi="Times New Roman" w:eastAsia="宋体" w:cs="Times New Roman"/>
                <w:b w:val="0"/>
                <w:bCs w:val="0"/>
                <w:color w:val="auto"/>
                <w:kern w:val="0"/>
                <w:sz w:val="24"/>
                <w:szCs w:val="24"/>
                <w:highlight w:val="none"/>
                <w:lang w:val="en-US" w:eastAsia="zh-CN" w:bidi="ar-SA"/>
              </w:rPr>
              <w:t>/h；另外好氧发酵需强制通风，根据项目生产规模估算发酵槽同时工作时，鼓风量为</w:t>
            </w:r>
            <w:r>
              <w:rPr>
                <w:rFonts w:hint="eastAsia" w:cs="Times New Roman"/>
                <w:b w:val="0"/>
                <w:bCs w:val="0"/>
                <w:color w:val="auto"/>
                <w:kern w:val="0"/>
                <w:sz w:val="24"/>
                <w:szCs w:val="24"/>
                <w:highlight w:val="none"/>
                <w:lang w:val="en-US" w:eastAsia="zh-CN" w:bidi="ar-SA"/>
              </w:rPr>
              <w:t>1</w:t>
            </w:r>
            <w:r>
              <w:rPr>
                <w:rFonts w:hint="eastAsia" w:ascii="Times New Roman" w:hAnsi="Times New Roman" w:eastAsia="宋体" w:cs="Times New Roman"/>
                <w:b w:val="0"/>
                <w:bCs w:val="0"/>
                <w:color w:val="auto"/>
                <w:kern w:val="0"/>
                <w:sz w:val="24"/>
                <w:szCs w:val="24"/>
                <w:highlight w:val="none"/>
                <w:lang w:val="en-US" w:eastAsia="zh-CN" w:bidi="ar-SA"/>
              </w:rPr>
              <w:t>2000m</w:t>
            </w:r>
            <w:r>
              <w:rPr>
                <w:rFonts w:hint="eastAsia" w:ascii="Times New Roman" w:hAnsi="Times New Roman" w:eastAsia="宋体" w:cs="Times New Roman"/>
                <w:b w:val="0"/>
                <w:bCs w:val="0"/>
                <w:color w:val="auto"/>
                <w:kern w:val="0"/>
                <w:sz w:val="24"/>
                <w:szCs w:val="24"/>
                <w:highlight w:val="none"/>
                <w:vertAlign w:val="superscript"/>
                <w:lang w:val="en-US" w:eastAsia="zh-CN" w:bidi="ar-SA"/>
              </w:rPr>
              <w:t>3</w:t>
            </w:r>
            <w:r>
              <w:rPr>
                <w:rFonts w:hint="eastAsia" w:ascii="Times New Roman" w:hAnsi="Times New Roman" w:eastAsia="宋体" w:cs="Times New Roman"/>
                <w:b w:val="0"/>
                <w:bCs w:val="0"/>
                <w:color w:val="auto"/>
                <w:kern w:val="0"/>
                <w:sz w:val="24"/>
                <w:szCs w:val="24"/>
                <w:highlight w:val="none"/>
                <w:lang w:val="en-US" w:eastAsia="zh-CN" w:bidi="ar-SA"/>
              </w:rPr>
              <w:t>/h。因此，为保持负压状态，引风量为</w:t>
            </w:r>
            <w:r>
              <w:rPr>
                <w:rFonts w:hint="eastAsia" w:cs="Times New Roman"/>
                <w:b w:val="0"/>
                <w:bCs w:val="0"/>
                <w:color w:val="auto"/>
                <w:kern w:val="0"/>
                <w:sz w:val="24"/>
                <w:szCs w:val="24"/>
                <w:highlight w:val="none"/>
                <w:lang w:val="en-US" w:eastAsia="zh-CN" w:bidi="ar-SA"/>
              </w:rPr>
              <w:t>16</w:t>
            </w:r>
            <w:r>
              <w:rPr>
                <w:rFonts w:hint="eastAsia" w:ascii="Times New Roman" w:hAnsi="Times New Roman" w:eastAsia="宋体" w:cs="Times New Roman"/>
                <w:b w:val="0"/>
                <w:bCs w:val="0"/>
                <w:color w:val="auto"/>
                <w:kern w:val="0"/>
                <w:sz w:val="24"/>
                <w:szCs w:val="24"/>
                <w:highlight w:val="none"/>
                <w:lang w:val="en-US" w:eastAsia="zh-CN" w:bidi="ar-SA"/>
              </w:rPr>
              <w:t>000m</w:t>
            </w:r>
            <w:r>
              <w:rPr>
                <w:rFonts w:hint="eastAsia" w:ascii="Times New Roman" w:hAnsi="Times New Roman" w:eastAsia="宋体" w:cs="Times New Roman"/>
                <w:b w:val="0"/>
                <w:bCs w:val="0"/>
                <w:color w:val="auto"/>
                <w:kern w:val="0"/>
                <w:sz w:val="24"/>
                <w:szCs w:val="24"/>
                <w:highlight w:val="none"/>
                <w:vertAlign w:val="superscript"/>
                <w:lang w:val="en-US" w:eastAsia="zh-CN" w:bidi="ar-SA"/>
              </w:rPr>
              <w:t>3</w:t>
            </w:r>
            <w:r>
              <w:rPr>
                <w:rFonts w:hint="eastAsia" w:ascii="Times New Roman" w:hAnsi="Times New Roman" w:eastAsia="宋体" w:cs="Times New Roman"/>
                <w:b w:val="0"/>
                <w:bCs w:val="0"/>
                <w:color w:val="auto"/>
                <w:kern w:val="0"/>
                <w:sz w:val="24"/>
                <w:szCs w:val="24"/>
                <w:highlight w:val="none"/>
                <w:lang w:val="en-US" w:eastAsia="zh-CN" w:bidi="ar-SA"/>
              </w:rPr>
              <w:t>/h。</w:t>
            </w:r>
          </w:p>
          <w:p w14:paraId="76363BF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2" w:firstLineChars="200"/>
              <w:textAlignment w:val="auto"/>
              <w:rPr>
                <w:rFonts w:hint="eastAsia" w:cs="Times New Roman"/>
                <w:b/>
                <w:bCs/>
                <w:color w:val="auto"/>
                <w:kern w:val="0"/>
                <w:sz w:val="24"/>
                <w:szCs w:val="24"/>
                <w:highlight w:val="none"/>
                <w:lang w:val="en-US" w:eastAsia="zh-CN" w:bidi="ar-SA"/>
              </w:rPr>
            </w:pPr>
            <w:r>
              <w:rPr>
                <w:rFonts w:hint="eastAsia" w:cs="Times New Roman"/>
                <w:b/>
                <w:bCs/>
                <w:color w:val="auto"/>
                <w:kern w:val="0"/>
                <w:sz w:val="24"/>
                <w:szCs w:val="24"/>
                <w:highlight w:val="none"/>
                <w:lang w:val="en-US" w:eastAsia="zh-CN" w:bidi="ar-SA"/>
              </w:rPr>
              <w:t>生物除臭系统的基本原理：</w:t>
            </w:r>
          </w:p>
          <w:p w14:paraId="32EB0F12">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textAlignment w:val="auto"/>
              <w:rPr>
                <w:rFonts w:hint="eastAsia" w:cs="Times New Roman"/>
                <w:b w:val="0"/>
                <w:bCs w:val="0"/>
                <w:color w:val="auto"/>
                <w:kern w:val="0"/>
                <w:sz w:val="24"/>
                <w:szCs w:val="24"/>
                <w:highlight w:val="none"/>
                <w:lang w:val="en-US" w:eastAsia="zh-CN" w:bidi="ar-SA"/>
              </w:rPr>
            </w:pPr>
            <w:r>
              <w:rPr>
                <w:rFonts w:hint="eastAsia" w:cs="Times New Roman"/>
                <w:b w:val="0"/>
                <w:bCs w:val="0"/>
                <w:color w:val="auto"/>
                <w:kern w:val="0"/>
                <w:sz w:val="24"/>
                <w:szCs w:val="24"/>
                <w:highlight w:val="none"/>
                <w:lang w:val="en-US" w:eastAsia="zh-CN" w:bidi="ar-SA"/>
              </w:rPr>
              <w:t>生物除臭工艺的原理是利用微生物的生物降解作用对臭气物质进行吸收和降解从而达到除臭的目的。生物过滤工艺采用了液体吸收和生物处理的组合作用。臭气首先被液体（吸收剂）有选择地吸收形成混合污水，再通过微生物的作用将其中的污染物降解。</w:t>
            </w:r>
          </w:p>
          <w:p w14:paraId="3540D84C">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textAlignment w:val="auto"/>
              <w:rPr>
                <w:rFonts w:hint="eastAsia" w:cs="Times New Roman"/>
                <w:b w:val="0"/>
                <w:bCs w:val="0"/>
                <w:color w:val="auto"/>
                <w:kern w:val="0"/>
                <w:sz w:val="24"/>
                <w:szCs w:val="24"/>
                <w:highlight w:val="none"/>
                <w:lang w:val="en-US" w:eastAsia="zh-CN" w:bidi="ar-SA"/>
              </w:rPr>
            </w:pPr>
            <w:r>
              <w:rPr>
                <w:rFonts w:hint="eastAsia" w:cs="Times New Roman"/>
                <w:b w:val="0"/>
                <w:bCs w:val="0"/>
                <w:color w:val="auto"/>
                <w:kern w:val="0"/>
                <w:sz w:val="24"/>
                <w:szCs w:val="24"/>
                <w:highlight w:val="none"/>
                <w:lang w:val="en-US" w:eastAsia="zh-CN" w:bidi="ar-SA"/>
              </w:rPr>
              <w:t>具体过程是：先将人工筛选的特种微生物菌群固定于填料上，当污染气体经过填料表面初期，可从污染气体中获得营养源的那些微生物菌群，在适宜的温度、湿度、pH值等条件下，将会得到快速生长、繁殖，并在填料表面形成生物膜，当臭气通过其间，有机物被生物膜表面的水层吸收后被微生物吸附和降解，得到净化再生的水被重复使用。</w:t>
            </w:r>
          </w:p>
          <w:p w14:paraId="271D3CFA">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textAlignment w:val="auto"/>
              <w:rPr>
                <w:rFonts w:hint="eastAsia" w:cs="Times New Roman"/>
                <w:b w:val="0"/>
                <w:bCs w:val="0"/>
                <w:color w:val="auto"/>
                <w:kern w:val="0"/>
                <w:sz w:val="24"/>
                <w:szCs w:val="24"/>
                <w:highlight w:val="none"/>
                <w:lang w:val="en-US" w:eastAsia="zh-CN" w:bidi="ar-SA"/>
              </w:rPr>
            </w:pPr>
            <w:r>
              <w:rPr>
                <w:rFonts w:hint="eastAsia" w:cs="Times New Roman"/>
                <w:b w:val="0"/>
                <w:bCs w:val="0"/>
                <w:color w:val="auto"/>
                <w:kern w:val="0"/>
                <w:sz w:val="24"/>
                <w:szCs w:val="24"/>
                <w:highlight w:val="none"/>
                <w:lang w:val="en-US" w:eastAsia="zh-CN" w:bidi="ar-SA"/>
              </w:rPr>
              <w:t>污染物去除的实质是以臭气作为营养物质被微生物吸收、代谢及利用。这一过程是微生物的相互协调的过程，比较复杂，它由物理、化学、物理化学以及生物化学反应所组成。</w:t>
            </w:r>
          </w:p>
          <w:p w14:paraId="58EC8D32">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textAlignment w:val="auto"/>
              <w:rPr>
                <w:rFonts w:hint="eastAsia" w:cs="Times New Roman"/>
                <w:b w:val="0"/>
                <w:bCs w:val="0"/>
                <w:color w:val="auto"/>
                <w:kern w:val="0"/>
                <w:sz w:val="24"/>
                <w:szCs w:val="24"/>
                <w:highlight w:val="none"/>
                <w:lang w:val="en-US" w:eastAsia="zh-CN" w:bidi="ar-SA"/>
              </w:rPr>
            </w:pPr>
            <w:r>
              <w:rPr>
                <w:rFonts w:hint="eastAsia" w:cs="Times New Roman"/>
                <w:b w:val="0"/>
                <w:bCs w:val="0"/>
                <w:color w:val="auto"/>
                <w:kern w:val="0"/>
                <w:sz w:val="24"/>
                <w:szCs w:val="24"/>
                <w:highlight w:val="none"/>
                <w:lang w:val="en-US" w:eastAsia="zh-CN" w:bidi="ar-SA"/>
              </w:rPr>
              <w:t>生物除臭可以表达为：污染物+O</w:t>
            </w:r>
            <w:r>
              <w:rPr>
                <w:rFonts w:hint="eastAsia" w:cs="Times New Roman"/>
                <w:b w:val="0"/>
                <w:bCs w:val="0"/>
                <w:color w:val="auto"/>
                <w:kern w:val="0"/>
                <w:sz w:val="24"/>
                <w:szCs w:val="24"/>
                <w:highlight w:val="none"/>
                <w:vertAlign w:val="subscript"/>
                <w:lang w:val="en-US" w:eastAsia="zh-CN" w:bidi="ar-SA"/>
              </w:rPr>
              <w:t>2</w:t>
            </w:r>
            <w:r>
              <w:rPr>
                <w:rFonts w:hint="eastAsia" w:cs="Times New Roman"/>
                <w:b w:val="0"/>
                <w:bCs w:val="0"/>
                <w:color w:val="auto"/>
                <w:kern w:val="0"/>
                <w:sz w:val="24"/>
                <w:szCs w:val="24"/>
                <w:highlight w:val="none"/>
                <w:lang w:val="en-US" w:eastAsia="zh-CN" w:bidi="ar-SA"/>
              </w:rPr>
              <w:t>→细胞代谢物+CO</w:t>
            </w:r>
            <w:r>
              <w:rPr>
                <w:rFonts w:hint="eastAsia" w:cs="Times New Roman"/>
                <w:b w:val="0"/>
                <w:bCs w:val="0"/>
                <w:color w:val="auto"/>
                <w:kern w:val="0"/>
                <w:sz w:val="24"/>
                <w:szCs w:val="24"/>
                <w:highlight w:val="none"/>
                <w:vertAlign w:val="subscript"/>
                <w:lang w:val="en-US" w:eastAsia="zh-CN" w:bidi="ar-SA"/>
              </w:rPr>
              <w:t>2</w:t>
            </w:r>
            <w:r>
              <w:rPr>
                <w:rFonts w:hint="eastAsia" w:cs="Times New Roman"/>
                <w:b w:val="0"/>
                <w:bCs w:val="0"/>
                <w:color w:val="auto"/>
                <w:kern w:val="0"/>
                <w:sz w:val="24"/>
                <w:szCs w:val="24"/>
                <w:highlight w:val="none"/>
                <w:lang w:val="en-US" w:eastAsia="zh-CN" w:bidi="ar-SA"/>
              </w:rPr>
              <w:t>+H</w:t>
            </w:r>
            <w:r>
              <w:rPr>
                <w:rFonts w:hint="eastAsia" w:cs="Times New Roman"/>
                <w:b w:val="0"/>
                <w:bCs w:val="0"/>
                <w:color w:val="auto"/>
                <w:kern w:val="0"/>
                <w:sz w:val="24"/>
                <w:szCs w:val="24"/>
                <w:highlight w:val="none"/>
                <w:vertAlign w:val="subscript"/>
                <w:lang w:val="en-US" w:eastAsia="zh-CN" w:bidi="ar-SA"/>
              </w:rPr>
              <w:t>2</w:t>
            </w:r>
            <w:r>
              <w:rPr>
                <w:rFonts w:hint="eastAsia" w:cs="Times New Roman"/>
                <w:b w:val="0"/>
                <w:bCs w:val="0"/>
                <w:color w:val="auto"/>
                <w:kern w:val="0"/>
                <w:sz w:val="24"/>
                <w:szCs w:val="24"/>
                <w:highlight w:val="none"/>
                <w:lang w:val="en-US" w:eastAsia="zh-CN" w:bidi="ar-SA"/>
              </w:rPr>
              <w:t>O</w:t>
            </w:r>
            <w:r>
              <w:rPr>
                <w:rFonts w:hint="eastAsia" w:cs="Times New Roman"/>
                <w:b w:val="0"/>
                <w:bCs w:val="0"/>
                <w:color w:val="auto"/>
                <w:kern w:val="0"/>
                <w:sz w:val="24"/>
                <w:szCs w:val="24"/>
                <w:highlight w:val="none"/>
                <w:vertAlign w:val="subscript"/>
                <w:lang w:val="en-US" w:eastAsia="zh-CN" w:bidi="ar-SA"/>
              </w:rPr>
              <w:t>3</w:t>
            </w:r>
          </w:p>
          <w:p w14:paraId="011331F2">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textAlignment w:val="auto"/>
              <w:rPr>
                <w:rFonts w:hint="eastAsia" w:cs="Times New Roman"/>
                <w:b w:val="0"/>
                <w:bCs w:val="0"/>
                <w:color w:val="auto"/>
                <w:kern w:val="0"/>
                <w:sz w:val="24"/>
                <w:szCs w:val="24"/>
                <w:highlight w:val="none"/>
                <w:lang w:val="en-US" w:eastAsia="zh-CN" w:bidi="ar-SA"/>
              </w:rPr>
            </w:pPr>
            <w:r>
              <w:rPr>
                <w:rFonts w:hint="eastAsia" w:cs="Times New Roman"/>
                <w:b w:val="0"/>
                <w:bCs w:val="0"/>
                <w:color w:val="auto"/>
                <w:kern w:val="0"/>
                <w:sz w:val="24"/>
                <w:szCs w:val="24"/>
                <w:highlight w:val="none"/>
                <w:lang w:val="en-US" w:eastAsia="zh-CN" w:bidi="ar-SA"/>
              </w:rPr>
              <w:t>②生物除臭系统工艺流程</w:t>
            </w:r>
          </w:p>
          <w:p w14:paraId="04A6BC2D">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textAlignment w:val="auto"/>
              <w:rPr>
                <w:rFonts w:hint="eastAsia" w:cs="Times New Roman"/>
                <w:b w:val="0"/>
                <w:bCs w:val="0"/>
                <w:color w:val="auto"/>
                <w:kern w:val="0"/>
                <w:sz w:val="24"/>
                <w:szCs w:val="24"/>
                <w:highlight w:val="none"/>
                <w:lang w:val="en-US" w:eastAsia="zh-CN" w:bidi="ar-SA"/>
              </w:rPr>
            </w:pPr>
            <w:r>
              <w:rPr>
                <w:rFonts w:hint="eastAsia" w:cs="Times New Roman"/>
                <w:b w:val="0"/>
                <w:bCs w:val="0"/>
                <w:color w:val="auto"/>
                <w:kern w:val="0"/>
                <w:sz w:val="24"/>
                <w:szCs w:val="24"/>
                <w:highlight w:val="none"/>
                <w:lang w:val="en-US" w:eastAsia="zh-CN" w:bidi="ar-SA"/>
              </w:rPr>
              <w:t>整个生物过滤除臭系统主要由管道输送系统、生物滤池、排放系统和辅助整个除臭系统的控制系统组成。</w:t>
            </w:r>
          </w:p>
          <w:p w14:paraId="5C62532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textAlignment w:val="auto"/>
              <w:rPr>
                <w:rFonts w:hint="eastAsia" w:cs="Times New Roman"/>
                <w:b w:val="0"/>
                <w:bCs w:val="0"/>
                <w:color w:val="auto"/>
                <w:kern w:val="0"/>
                <w:sz w:val="24"/>
                <w:szCs w:val="24"/>
                <w:highlight w:val="none"/>
                <w:lang w:val="en-US" w:eastAsia="zh-CN" w:bidi="ar-SA"/>
              </w:rPr>
            </w:pPr>
            <w:r>
              <w:rPr>
                <w:rFonts w:hint="eastAsia" w:cs="Times New Roman"/>
                <w:b w:val="0"/>
                <w:bCs w:val="0"/>
                <w:color w:val="auto"/>
                <w:kern w:val="0"/>
                <w:sz w:val="24"/>
                <w:szCs w:val="24"/>
                <w:highlight w:val="none"/>
                <w:lang w:val="en-US" w:eastAsia="zh-CN" w:bidi="ar-SA"/>
              </w:rPr>
              <w:t>气体经过收集管道进入预洗池，经过预洗调节温度湿度后进入生物滤池，处理后达标的气体集中排放。同时在渗滤液调节池一段用轴流风机给池里不断送新风，保证池内空气流通置换。</w:t>
            </w:r>
          </w:p>
          <w:p w14:paraId="289979B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textAlignment w:val="auto"/>
              <w:rPr>
                <w:rFonts w:hint="eastAsia" w:cs="Times New Roman"/>
                <w:b w:val="0"/>
                <w:bCs w:val="0"/>
                <w:color w:val="auto"/>
                <w:kern w:val="0"/>
                <w:sz w:val="24"/>
                <w:szCs w:val="24"/>
                <w:highlight w:val="none"/>
                <w:lang w:val="en-US" w:eastAsia="zh-CN" w:bidi="ar-SA"/>
              </w:rPr>
            </w:pPr>
            <w:r>
              <w:rPr>
                <w:rFonts w:hint="eastAsia" w:cs="Times New Roman"/>
                <w:b w:val="0"/>
                <w:bCs w:val="0"/>
                <w:color w:val="auto"/>
                <w:kern w:val="0"/>
                <w:sz w:val="24"/>
                <w:szCs w:val="24"/>
                <w:highlight w:val="none"/>
                <w:lang w:val="en-US" w:eastAsia="zh-CN" w:bidi="ar-SA"/>
              </w:rPr>
              <w:t>预洗池由进气分配室、洗涤池体、鲍尔环填料、喷淋系统、循环水池、尾气收集室、循环水泵等部分组成。抽吸过来的臭气先进入分配室，经配气后进入洗涤池体，臭气从池底送入，经气体分布器分布后，在填料表面与喷淋液在逆流连续、充分接触条件下进行传质，池内填料层作为气液两相间接触的传质介质，底部装有填料支承板，填料以无序方式堆置在支承板上。喷淋液从池顶经液体分布器喷淋到填料上，并沿填料表面流下。臭气先进行水洗喷淋，去除臭气中的粉尘、NH</w:t>
            </w:r>
            <w:r>
              <w:rPr>
                <w:rFonts w:hint="eastAsia" w:cs="Times New Roman"/>
                <w:b w:val="0"/>
                <w:bCs w:val="0"/>
                <w:color w:val="auto"/>
                <w:kern w:val="0"/>
                <w:sz w:val="24"/>
                <w:szCs w:val="24"/>
                <w:highlight w:val="none"/>
                <w:vertAlign w:val="subscript"/>
                <w:lang w:val="en-US" w:eastAsia="zh-CN" w:bidi="ar-SA"/>
              </w:rPr>
              <w:t>3</w:t>
            </w:r>
            <w:r>
              <w:rPr>
                <w:rFonts w:hint="eastAsia" w:cs="Times New Roman"/>
                <w:b w:val="0"/>
                <w:bCs w:val="0"/>
                <w:color w:val="auto"/>
                <w:kern w:val="0"/>
                <w:sz w:val="24"/>
                <w:szCs w:val="24"/>
                <w:highlight w:val="none"/>
                <w:lang w:val="en-US" w:eastAsia="zh-CN" w:bidi="ar-SA"/>
              </w:rPr>
              <w:t>以及少量H</w:t>
            </w:r>
            <w:r>
              <w:rPr>
                <w:rFonts w:hint="eastAsia" w:cs="Times New Roman"/>
                <w:b w:val="0"/>
                <w:bCs w:val="0"/>
                <w:color w:val="auto"/>
                <w:kern w:val="0"/>
                <w:sz w:val="24"/>
                <w:szCs w:val="24"/>
                <w:highlight w:val="none"/>
                <w:vertAlign w:val="subscript"/>
                <w:lang w:val="en-US" w:eastAsia="zh-CN" w:bidi="ar-SA"/>
              </w:rPr>
              <w:t>2</w:t>
            </w:r>
            <w:r>
              <w:rPr>
                <w:rFonts w:hint="eastAsia" w:cs="Times New Roman"/>
                <w:b w:val="0"/>
                <w:bCs w:val="0"/>
                <w:color w:val="auto"/>
                <w:kern w:val="0"/>
                <w:sz w:val="24"/>
                <w:szCs w:val="24"/>
                <w:highlight w:val="none"/>
                <w:lang w:val="en-US" w:eastAsia="zh-CN" w:bidi="ar-SA"/>
              </w:rPr>
              <w:t>S、CH</w:t>
            </w:r>
            <w:r>
              <w:rPr>
                <w:rFonts w:hint="eastAsia" w:cs="Times New Roman"/>
                <w:b w:val="0"/>
                <w:bCs w:val="0"/>
                <w:color w:val="auto"/>
                <w:kern w:val="0"/>
                <w:sz w:val="24"/>
                <w:szCs w:val="24"/>
                <w:highlight w:val="none"/>
                <w:vertAlign w:val="subscript"/>
                <w:lang w:val="en-US" w:eastAsia="zh-CN" w:bidi="ar-SA"/>
              </w:rPr>
              <w:t>3</w:t>
            </w:r>
            <w:r>
              <w:rPr>
                <w:rFonts w:hint="eastAsia" w:cs="Times New Roman"/>
                <w:b w:val="0"/>
                <w:bCs w:val="0"/>
                <w:color w:val="auto"/>
                <w:kern w:val="0"/>
                <w:sz w:val="24"/>
                <w:szCs w:val="24"/>
                <w:highlight w:val="none"/>
                <w:lang w:val="en-US" w:eastAsia="zh-CN" w:bidi="ar-SA"/>
              </w:rPr>
              <w:t>SH等气体，氨气溶于水形成碱性溶液，循环喷淋可去除臭气中的H</w:t>
            </w:r>
            <w:r>
              <w:rPr>
                <w:rFonts w:hint="eastAsia" w:cs="Times New Roman"/>
                <w:b w:val="0"/>
                <w:bCs w:val="0"/>
                <w:color w:val="auto"/>
                <w:kern w:val="0"/>
                <w:sz w:val="24"/>
                <w:szCs w:val="24"/>
                <w:highlight w:val="none"/>
                <w:vertAlign w:val="subscript"/>
                <w:lang w:val="en-US" w:eastAsia="zh-CN" w:bidi="ar-SA"/>
              </w:rPr>
              <w:t>2</w:t>
            </w:r>
            <w:r>
              <w:rPr>
                <w:rFonts w:hint="eastAsia" w:cs="Times New Roman"/>
                <w:b w:val="0"/>
                <w:bCs w:val="0"/>
                <w:color w:val="auto"/>
                <w:kern w:val="0"/>
                <w:sz w:val="24"/>
                <w:szCs w:val="24"/>
                <w:highlight w:val="none"/>
                <w:lang w:val="en-US" w:eastAsia="zh-CN" w:bidi="ar-SA"/>
              </w:rPr>
              <w:t>S，同时吸收少量有机臭气污染物。喷淋洗涤池上设置了监视窗和检修。</w:t>
            </w:r>
          </w:p>
          <w:p w14:paraId="2DA69777">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textAlignment w:val="auto"/>
              <w:rPr>
                <w:rFonts w:hint="eastAsia" w:cs="Times New Roman"/>
                <w:b w:val="0"/>
                <w:bCs w:val="0"/>
                <w:color w:val="auto"/>
                <w:kern w:val="0"/>
                <w:sz w:val="24"/>
                <w:szCs w:val="24"/>
                <w:highlight w:val="none"/>
                <w:lang w:val="en-US" w:eastAsia="zh-CN" w:bidi="ar-SA"/>
              </w:rPr>
            </w:pPr>
            <w:r>
              <w:rPr>
                <w:rFonts w:hint="eastAsia" w:cs="Times New Roman"/>
                <w:b w:val="0"/>
                <w:bCs w:val="0"/>
                <w:color w:val="auto"/>
                <w:kern w:val="0"/>
                <w:sz w:val="24"/>
                <w:szCs w:val="24"/>
                <w:highlight w:val="none"/>
                <w:lang w:val="en-US" w:eastAsia="zh-CN" w:bidi="ar-SA"/>
              </w:rPr>
              <w:t>人孔以便于人员进行监视洗涤塔的工作状况是否正常以及及时更换老化的填料。为了避免尾气排放夹带液滴，在净化装置顶部设置气水分离器。池内喷淋液循环使用，在使用过程中会有部分损失和消耗，需要定期更换喷淋液。喷淋池也可根据实际工况灵活添加或更换化学吸收剂，但是一定要注意化学废水带来二次污染。微生物除臭过程分为三步：</w:t>
            </w:r>
          </w:p>
          <w:p w14:paraId="3332F968">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textAlignment w:val="auto"/>
              <w:rPr>
                <w:rFonts w:hint="eastAsia" w:cs="Times New Roman"/>
                <w:b w:val="0"/>
                <w:bCs w:val="0"/>
                <w:color w:val="auto"/>
                <w:kern w:val="0"/>
                <w:sz w:val="24"/>
                <w:szCs w:val="24"/>
                <w:highlight w:val="none"/>
                <w:lang w:val="en-US" w:eastAsia="zh-CN" w:bidi="ar-SA"/>
              </w:rPr>
            </w:pPr>
            <w:r>
              <w:rPr>
                <w:rFonts w:hint="eastAsia" w:cs="Times New Roman"/>
                <w:b w:val="0"/>
                <w:bCs w:val="0"/>
                <w:color w:val="auto"/>
                <w:kern w:val="0"/>
                <w:sz w:val="24"/>
                <w:szCs w:val="24"/>
                <w:highlight w:val="none"/>
                <w:lang w:val="en-US" w:eastAsia="zh-CN" w:bidi="ar-SA"/>
              </w:rPr>
              <w:t>a.臭气同水接触并溶解到水中；</w:t>
            </w:r>
          </w:p>
          <w:p w14:paraId="3D0AB29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textAlignment w:val="auto"/>
              <w:rPr>
                <w:rFonts w:hint="eastAsia" w:cs="Times New Roman"/>
                <w:b w:val="0"/>
                <w:bCs w:val="0"/>
                <w:color w:val="auto"/>
                <w:kern w:val="0"/>
                <w:sz w:val="24"/>
                <w:szCs w:val="24"/>
                <w:highlight w:val="none"/>
                <w:lang w:val="en-US" w:eastAsia="zh-CN" w:bidi="ar-SA"/>
              </w:rPr>
            </w:pPr>
            <w:r>
              <w:rPr>
                <w:rFonts w:hint="eastAsia" w:cs="Times New Roman"/>
                <w:b w:val="0"/>
                <w:bCs w:val="0"/>
                <w:color w:val="auto"/>
                <w:kern w:val="0"/>
                <w:sz w:val="24"/>
                <w:szCs w:val="24"/>
                <w:highlight w:val="none"/>
                <w:lang w:val="en-US" w:eastAsia="zh-CN" w:bidi="ar-SA"/>
              </w:rPr>
              <w:t>b.水溶液中的恶臭成分被微生物吸附、吸收，恶臭成分从水中转移至微生物体内；</w:t>
            </w:r>
          </w:p>
          <w:p w14:paraId="7F1938F8">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textAlignment w:val="auto"/>
              <w:rPr>
                <w:rFonts w:hint="eastAsia" w:cs="Times New Roman"/>
                <w:b w:val="0"/>
                <w:bCs w:val="0"/>
                <w:color w:val="auto"/>
                <w:kern w:val="0"/>
                <w:sz w:val="24"/>
                <w:szCs w:val="24"/>
                <w:highlight w:val="none"/>
                <w:lang w:val="en-US" w:eastAsia="zh-CN" w:bidi="ar-SA"/>
              </w:rPr>
            </w:pPr>
            <w:r>
              <w:rPr>
                <w:rFonts w:hint="eastAsia" w:cs="Times New Roman"/>
                <w:b w:val="0"/>
                <w:bCs w:val="0"/>
                <w:color w:val="auto"/>
                <w:kern w:val="0"/>
                <w:sz w:val="24"/>
                <w:szCs w:val="24"/>
                <w:highlight w:val="none"/>
                <w:lang w:val="en-US" w:eastAsia="zh-CN" w:bidi="ar-SA"/>
              </w:rPr>
              <w:t>c.进入微生物细胞的恶臭成分作为营养物质为微生物所分解、利用，从而使污染物得以去除。</w:t>
            </w:r>
          </w:p>
          <w:p w14:paraId="0CEB56BA">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textAlignment w:val="auto"/>
              <w:rPr>
                <w:rFonts w:hint="eastAsia" w:cs="Times New Roman"/>
                <w:b/>
                <w:bCs/>
                <w:color w:val="auto"/>
                <w:kern w:val="0"/>
                <w:sz w:val="24"/>
                <w:szCs w:val="24"/>
                <w:highlight w:val="none"/>
                <w:lang w:val="en-US" w:eastAsia="zh-CN" w:bidi="ar-SA"/>
              </w:rPr>
            </w:pPr>
            <w:r>
              <w:rPr>
                <w:rFonts w:hint="eastAsia" w:cs="Times New Roman"/>
                <w:b w:val="0"/>
                <w:bCs w:val="0"/>
                <w:color w:val="auto"/>
                <w:kern w:val="0"/>
                <w:sz w:val="24"/>
                <w:szCs w:val="24"/>
                <w:highlight w:val="none"/>
                <w:lang w:val="en-US" w:eastAsia="zh-CN" w:bidi="ar-SA"/>
              </w:rPr>
              <w:t>综上，本项目发酵废气设置的生物过滤除臭系统可行。</w:t>
            </w:r>
          </w:p>
          <w:p w14:paraId="29CBF34E">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2" w:firstLineChars="200"/>
              <w:textAlignment w:val="auto"/>
              <w:rPr>
                <w:rFonts w:hint="default" w:ascii="Times New Roman" w:hAnsi="Times New Roman" w:eastAsia="宋体" w:cs="Times New Roman"/>
                <w:b/>
                <w:bCs/>
                <w:color w:val="auto"/>
                <w:kern w:val="0"/>
                <w:sz w:val="24"/>
                <w:szCs w:val="24"/>
                <w:highlight w:val="none"/>
                <w:lang w:val="en-US" w:eastAsia="zh-CN" w:bidi="ar-SA"/>
              </w:rPr>
            </w:pPr>
            <w:r>
              <w:rPr>
                <w:rFonts w:hint="eastAsia" w:cs="Times New Roman"/>
                <w:b/>
                <w:bCs/>
                <w:color w:val="auto"/>
                <w:kern w:val="0"/>
                <w:sz w:val="24"/>
                <w:szCs w:val="24"/>
                <w:highlight w:val="none"/>
                <w:lang w:val="en-US" w:eastAsia="zh-CN" w:bidi="ar-SA"/>
              </w:rPr>
              <w:t>C、排放情况</w:t>
            </w:r>
          </w:p>
          <w:p w14:paraId="2F4A3174">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参照《第二次全国污染源普查产排量核算系数手册》（2019年），生物除臭装置处理效率约为</w:t>
            </w:r>
            <w:r>
              <w:rPr>
                <w:rFonts w:hint="eastAsia" w:cs="Times New Roman"/>
                <w:b w:val="0"/>
                <w:bCs w:val="0"/>
                <w:color w:val="auto"/>
                <w:kern w:val="0"/>
                <w:sz w:val="24"/>
                <w:szCs w:val="24"/>
                <w:highlight w:val="none"/>
                <w:lang w:val="en-US" w:eastAsia="zh-CN" w:bidi="ar-SA"/>
              </w:rPr>
              <w:t>8</w:t>
            </w:r>
            <w:r>
              <w:rPr>
                <w:rFonts w:hint="eastAsia" w:ascii="Times New Roman" w:hAnsi="Times New Roman" w:eastAsia="宋体" w:cs="Times New Roman"/>
                <w:b w:val="0"/>
                <w:bCs w:val="0"/>
                <w:color w:val="auto"/>
                <w:kern w:val="0"/>
                <w:sz w:val="24"/>
                <w:szCs w:val="24"/>
                <w:highlight w:val="none"/>
                <w:lang w:val="en-US" w:eastAsia="zh-CN" w:bidi="ar-SA"/>
              </w:rPr>
              <w:t>8%</w:t>
            </w:r>
            <w:r>
              <w:rPr>
                <w:rFonts w:hint="eastAsia"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全密闭车间负压抽风收集效率以</w:t>
            </w:r>
            <w:r>
              <w:rPr>
                <w:rFonts w:hint="eastAsia" w:cs="Times New Roman"/>
                <w:b w:val="0"/>
                <w:bCs w:val="0"/>
                <w:color w:val="auto"/>
                <w:kern w:val="0"/>
                <w:sz w:val="24"/>
                <w:szCs w:val="24"/>
                <w:highlight w:val="none"/>
                <w:lang w:val="en-US" w:eastAsia="zh-CN" w:bidi="ar-SA"/>
              </w:rPr>
              <w:t>90</w:t>
            </w:r>
            <w:r>
              <w:rPr>
                <w:rFonts w:hint="eastAsia" w:ascii="Times New Roman" w:hAnsi="Times New Roman" w:eastAsia="宋体" w:cs="Times New Roman"/>
                <w:b w:val="0"/>
                <w:bCs w:val="0"/>
                <w:color w:val="auto"/>
                <w:kern w:val="0"/>
                <w:sz w:val="24"/>
                <w:szCs w:val="24"/>
                <w:highlight w:val="none"/>
                <w:lang w:val="en-US" w:eastAsia="zh-CN" w:bidi="ar-SA"/>
              </w:rPr>
              <w:t>%计算，则氨有组织排放量为0.678t/a；硫化氢有组织排放量为</w:t>
            </w:r>
            <w:r>
              <w:rPr>
                <w:rFonts w:hint="eastAsia" w:cs="Times New Roman"/>
                <w:b w:val="0"/>
                <w:bCs w:val="0"/>
                <w:color w:val="auto"/>
                <w:kern w:val="0"/>
                <w:sz w:val="24"/>
                <w:szCs w:val="24"/>
                <w:highlight w:val="none"/>
                <w:lang w:val="en-US" w:eastAsia="zh-CN" w:bidi="ar-SA"/>
              </w:rPr>
              <w:t>0.068</w:t>
            </w:r>
            <w:r>
              <w:rPr>
                <w:rFonts w:hint="eastAsia" w:ascii="Times New Roman" w:hAnsi="Times New Roman" w:eastAsia="宋体" w:cs="Times New Roman"/>
                <w:b w:val="0"/>
                <w:bCs w:val="0"/>
                <w:color w:val="auto"/>
                <w:kern w:val="0"/>
                <w:sz w:val="24"/>
                <w:szCs w:val="24"/>
                <w:highlight w:val="none"/>
                <w:lang w:val="en-US" w:eastAsia="zh-CN" w:bidi="ar-SA"/>
              </w:rPr>
              <w:t>t/a；</w:t>
            </w:r>
          </w:p>
          <w:p w14:paraId="0543CCC8">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考虑到各种综合因素，本环评对NH</w:t>
            </w:r>
            <w:r>
              <w:rPr>
                <w:rFonts w:hint="eastAsia" w:ascii="Times New Roman" w:hAnsi="Times New Roman" w:eastAsia="宋体" w:cs="Times New Roman"/>
                <w:b w:val="0"/>
                <w:bCs w:val="0"/>
                <w:color w:val="auto"/>
                <w:kern w:val="0"/>
                <w:sz w:val="24"/>
                <w:szCs w:val="24"/>
                <w:highlight w:val="none"/>
                <w:vertAlign w:val="subscript"/>
                <w:lang w:val="en-US" w:eastAsia="zh-CN" w:bidi="ar-SA"/>
              </w:rPr>
              <w:t>3</w:t>
            </w:r>
            <w:r>
              <w:rPr>
                <w:rFonts w:hint="eastAsia" w:ascii="Times New Roman" w:hAnsi="Times New Roman" w:eastAsia="宋体" w:cs="Times New Roman"/>
                <w:b w:val="0"/>
                <w:bCs w:val="0"/>
                <w:color w:val="auto"/>
                <w:kern w:val="0"/>
                <w:sz w:val="24"/>
                <w:szCs w:val="24"/>
                <w:highlight w:val="none"/>
                <w:lang w:val="en-US" w:eastAsia="zh-CN" w:bidi="ar-SA"/>
              </w:rPr>
              <w:t>和H</w:t>
            </w:r>
            <w:r>
              <w:rPr>
                <w:rFonts w:hint="eastAsia" w:ascii="Times New Roman" w:hAnsi="Times New Roman" w:eastAsia="宋体" w:cs="Times New Roman"/>
                <w:b w:val="0"/>
                <w:bCs w:val="0"/>
                <w:color w:val="auto"/>
                <w:kern w:val="0"/>
                <w:sz w:val="24"/>
                <w:szCs w:val="24"/>
                <w:highlight w:val="none"/>
                <w:vertAlign w:val="subscript"/>
                <w:lang w:val="en-US" w:eastAsia="zh-CN" w:bidi="ar-SA"/>
              </w:rPr>
              <w:t>2</w:t>
            </w:r>
            <w:r>
              <w:rPr>
                <w:rFonts w:hint="eastAsia" w:ascii="Times New Roman" w:hAnsi="Times New Roman" w:eastAsia="宋体" w:cs="Times New Roman"/>
                <w:b w:val="0"/>
                <w:bCs w:val="0"/>
                <w:color w:val="auto"/>
                <w:kern w:val="0"/>
                <w:sz w:val="24"/>
                <w:szCs w:val="24"/>
                <w:highlight w:val="none"/>
                <w:lang w:val="en-US" w:eastAsia="zh-CN" w:bidi="ar-SA"/>
              </w:rPr>
              <w:t>S的去除效率取</w:t>
            </w:r>
            <w:r>
              <w:rPr>
                <w:rFonts w:hint="eastAsia" w:cs="Times New Roman"/>
                <w:b w:val="0"/>
                <w:bCs w:val="0"/>
                <w:color w:val="auto"/>
                <w:kern w:val="0"/>
                <w:sz w:val="24"/>
                <w:szCs w:val="24"/>
                <w:highlight w:val="none"/>
                <w:lang w:val="en-US" w:eastAsia="zh-CN" w:bidi="ar-SA"/>
              </w:rPr>
              <w:t>7</w:t>
            </w:r>
            <w:r>
              <w:rPr>
                <w:rFonts w:hint="eastAsia" w:ascii="Times New Roman" w:hAnsi="Times New Roman" w:eastAsia="宋体" w:cs="Times New Roman"/>
                <w:b w:val="0"/>
                <w:bCs w:val="0"/>
                <w:color w:val="auto"/>
                <w:kern w:val="0"/>
                <w:sz w:val="24"/>
                <w:szCs w:val="24"/>
                <w:highlight w:val="none"/>
                <w:lang w:val="en-US" w:eastAsia="zh-CN" w:bidi="ar-SA"/>
              </w:rPr>
              <w:t>0%，则项目恶臭气体中NH</w:t>
            </w:r>
            <w:r>
              <w:rPr>
                <w:rFonts w:hint="eastAsia" w:ascii="Times New Roman" w:hAnsi="Times New Roman" w:eastAsia="宋体" w:cs="Times New Roman"/>
                <w:b w:val="0"/>
                <w:bCs w:val="0"/>
                <w:color w:val="auto"/>
                <w:kern w:val="0"/>
                <w:sz w:val="24"/>
                <w:szCs w:val="24"/>
                <w:highlight w:val="none"/>
                <w:vertAlign w:val="subscript"/>
                <w:lang w:val="en-US" w:eastAsia="zh-CN" w:bidi="ar-SA"/>
              </w:rPr>
              <w:t>3</w:t>
            </w:r>
            <w:r>
              <w:rPr>
                <w:rFonts w:hint="eastAsia" w:ascii="Times New Roman" w:hAnsi="Times New Roman" w:eastAsia="宋体" w:cs="Times New Roman"/>
                <w:b w:val="0"/>
                <w:bCs w:val="0"/>
                <w:color w:val="auto"/>
                <w:kern w:val="0"/>
                <w:sz w:val="24"/>
                <w:szCs w:val="24"/>
                <w:highlight w:val="none"/>
                <w:lang w:val="en-US" w:eastAsia="zh-CN" w:bidi="ar-SA"/>
              </w:rPr>
              <w:t>的排放量为0.</w:t>
            </w:r>
            <w:r>
              <w:rPr>
                <w:rFonts w:hint="eastAsia" w:cs="Times New Roman"/>
                <w:b w:val="0"/>
                <w:bCs w:val="0"/>
                <w:color w:val="auto"/>
                <w:kern w:val="0"/>
                <w:sz w:val="24"/>
                <w:szCs w:val="24"/>
                <w:highlight w:val="none"/>
                <w:lang w:val="en-US" w:eastAsia="zh-CN" w:bidi="ar-SA"/>
              </w:rPr>
              <w:t>188</w:t>
            </w:r>
            <w:r>
              <w:rPr>
                <w:rFonts w:hint="eastAsia" w:ascii="Times New Roman" w:hAnsi="Times New Roman" w:eastAsia="宋体" w:cs="Times New Roman"/>
                <w:b w:val="0"/>
                <w:bCs w:val="0"/>
                <w:color w:val="auto"/>
                <w:kern w:val="0"/>
                <w:sz w:val="24"/>
                <w:szCs w:val="24"/>
                <w:highlight w:val="none"/>
                <w:lang w:val="en-US" w:eastAsia="zh-CN" w:bidi="ar-SA"/>
              </w:rPr>
              <w:t>t/a，H</w:t>
            </w:r>
            <w:r>
              <w:rPr>
                <w:rFonts w:hint="eastAsia" w:ascii="Times New Roman" w:hAnsi="Times New Roman" w:eastAsia="宋体" w:cs="Times New Roman"/>
                <w:b w:val="0"/>
                <w:bCs w:val="0"/>
                <w:color w:val="auto"/>
                <w:kern w:val="0"/>
                <w:sz w:val="24"/>
                <w:szCs w:val="24"/>
                <w:highlight w:val="none"/>
                <w:vertAlign w:val="subscript"/>
                <w:lang w:val="en-US" w:eastAsia="zh-CN" w:bidi="ar-SA"/>
              </w:rPr>
              <w:t>2</w:t>
            </w:r>
            <w:r>
              <w:rPr>
                <w:rFonts w:hint="eastAsia" w:ascii="Times New Roman" w:hAnsi="Times New Roman" w:eastAsia="宋体" w:cs="Times New Roman"/>
                <w:b w:val="0"/>
                <w:bCs w:val="0"/>
                <w:color w:val="auto"/>
                <w:kern w:val="0"/>
                <w:sz w:val="24"/>
                <w:szCs w:val="24"/>
                <w:highlight w:val="none"/>
                <w:lang w:val="en-US" w:eastAsia="zh-CN" w:bidi="ar-SA"/>
              </w:rPr>
              <w:t>S的排放量0.</w:t>
            </w:r>
            <w:r>
              <w:rPr>
                <w:rFonts w:hint="eastAsia" w:cs="Times New Roman"/>
                <w:b w:val="0"/>
                <w:bCs w:val="0"/>
                <w:color w:val="auto"/>
                <w:kern w:val="0"/>
                <w:sz w:val="24"/>
                <w:szCs w:val="24"/>
                <w:highlight w:val="none"/>
                <w:lang w:val="en-US" w:eastAsia="zh-CN" w:bidi="ar-SA"/>
              </w:rPr>
              <w:t>019</w:t>
            </w:r>
            <w:r>
              <w:rPr>
                <w:rFonts w:hint="eastAsia" w:ascii="Times New Roman" w:hAnsi="Times New Roman" w:eastAsia="宋体" w:cs="Times New Roman"/>
                <w:b w:val="0"/>
                <w:bCs w:val="0"/>
                <w:color w:val="auto"/>
                <w:kern w:val="0"/>
                <w:sz w:val="24"/>
                <w:szCs w:val="24"/>
                <w:highlight w:val="none"/>
                <w:lang w:val="en-US" w:eastAsia="zh-CN" w:bidi="ar-SA"/>
              </w:rPr>
              <w:t>t/a，经大气扩散及绿化吸收后对周围环境影响较小。</w:t>
            </w:r>
          </w:p>
          <w:p w14:paraId="3CF9E0E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2" w:firstLineChars="200"/>
              <w:textAlignment w:val="auto"/>
              <w:rPr>
                <w:b/>
                <w:bCs/>
                <w:color w:val="auto"/>
                <w:kern w:val="0"/>
                <w:sz w:val="24"/>
                <w:highlight w:val="none"/>
              </w:rPr>
            </w:pPr>
            <w:r>
              <w:rPr>
                <w:rFonts w:ascii="Times New Roman" w:hAnsi="Times New Roman" w:eastAsia="宋体" w:cs="Times New Roman"/>
                <w:b/>
                <w:bCs/>
                <w:color w:val="auto"/>
                <w:kern w:val="0"/>
                <w:sz w:val="24"/>
                <w:szCs w:val="24"/>
                <w:highlight w:val="none"/>
                <w:lang w:val="en-US" w:eastAsia="zh-CN" w:bidi="ar-SA"/>
              </w:rPr>
              <w:t>3）</w:t>
            </w:r>
            <w:r>
              <w:rPr>
                <w:rFonts w:hint="eastAsia"/>
                <w:b/>
                <w:bCs/>
                <w:color w:val="auto"/>
                <w:sz w:val="24"/>
                <w:highlight w:val="none"/>
              </w:rPr>
              <w:t>改扩建</w:t>
            </w:r>
            <w:r>
              <w:rPr>
                <w:rFonts w:hint="eastAsia"/>
                <w:b/>
                <w:bCs/>
                <w:color w:val="auto"/>
                <w:sz w:val="24"/>
                <w:highlight w:val="none"/>
                <w:lang w:val="en-US" w:eastAsia="zh-CN"/>
              </w:rPr>
              <w:t>对现有污染物的消减</w:t>
            </w:r>
            <w:r>
              <w:rPr>
                <w:rFonts w:hint="eastAsia"/>
                <w:b/>
                <w:bCs/>
                <w:color w:val="auto"/>
                <w:sz w:val="24"/>
                <w:highlight w:val="none"/>
              </w:rPr>
              <w:t>情况</w:t>
            </w:r>
          </w:p>
          <w:p w14:paraId="70FC44D9">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textAlignment w:val="auto"/>
              <w:rPr>
                <w:rFonts w:hint="eastAsia"/>
                <w:b w:val="0"/>
                <w:bCs w:val="0"/>
                <w:color w:val="auto"/>
                <w:kern w:val="0"/>
                <w:sz w:val="24"/>
                <w:highlight w:val="none"/>
                <w:lang w:val="en-US" w:eastAsia="zh-CN"/>
              </w:rPr>
            </w:pPr>
            <w:r>
              <w:rPr>
                <w:rFonts w:hint="eastAsia"/>
                <w:b w:val="0"/>
                <w:bCs w:val="0"/>
                <w:color w:val="auto"/>
                <w:kern w:val="0"/>
                <w:sz w:val="24"/>
                <w:highlight w:val="none"/>
                <w:lang w:val="en-US" w:eastAsia="zh-CN"/>
              </w:rPr>
              <w:t>本项目不新增劳动定员，扩建生产线原料使用现有项目压榨脱水产生的部分废水和中间产物果蔬渣，搭配辅料采取发酵的方式生产复合微生物肥，本项目建设完成后，现有项目热风炉燃料燃烧废气、尿素喷淋脱硝逃逸氨、粉碎机粉尘、生产异味等均有所消减。</w:t>
            </w:r>
          </w:p>
          <w:p w14:paraId="7AC4815E">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textAlignment w:val="auto"/>
              <w:rPr>
                <w:rFonts w:hint="default"/>
                <w:b w:val="0"/>
                <w:bCs w:val="0"/>
                <w:color w:val="auto"/>
                <w:kern w:val="0"/>
                <w:sz w:val="24"/>
                <w:highlight w:val="none"/>
                <w:lang w:val="en-US" w:eastAsia="zh-CN"/>
              </w:rPr>
            </w:pPr>
            <w:r>
              <w:rPr>
                <w:rFonts w:hint="eastAsia"/>
                <w:b w:val="0"/>
                <w:bCs w:val="0"/>
                <w:color w:val="auto"/>
                <w:kern w:val="0"/>
                <w:sz w:val="24"/>
                <w:highlight w:val="none"/>
                <w:lang w:val="en-US" w:eastAsia="zh-CN"/>
              </w:rPr>
              <w:t>其消减核算情况如下:</w:t>
            </w:r>
          </w:p>
          <w:p w14:paraId="34F4831C">
            <w:pPr>
              <w:keepNext w:val="0"/>
              <w:keepLines w:val="0"/>
              <w:pageBreakBefore w:val="0"/>
              <w:widowControl w:val="0"/>
              <w:kinsoku/>
              <w:wordWrap/>
              <w:overflowPunct/>
              <w:topLinePunct w:val="0"/>
              <w:autoSpaceDE w:val="0"/>
              <w:autoSpaceDN w:val="0"/>
              <w:bidi w:val="0"/>
              <w:adjustRightInd/>
              <w:snapToGrid/>
              <w:spacing w:line="440" w:lineRule="exact"/>
              <w:ind w:left="420" w:leftChars="200"/>
              <w:textAlignment w:val="auto"/>
              <w:rPr>
                <w:rFonts w:hint="eastAsia"/>
                <w:b/>
                <w:bCs/>
                <w:color w:val="auto"/>
                <w:sz w:val="24"/>
                <w:highlight w:val="none"/>
              </w:rPr>
            </w:pPr>
          </w:p>
          <w:p w14:paraId="6AD8923C">
            <w:pPr>
              <w:keepNext w:val="0"/>
              <w:keepLines w:val="0"/>
              <w:pageBreakBefore w:val="0"/>
              <w:widowControl w:val="0"/>
              <w:kinsoku/>
              <w:wordWrap/>
              <w:overflowPunct/>
              <w:topLinePunct w:val="0"/>
              <w:autoSpaceDE w:val="0"/>
              <w:autoSpaceDN w:val="0"/>
              <w:bidi w:val="0"/>
              <w:adjustRightInd/>
              <w:snapToGrid/>
              <w:spacing w:line="440" w:lineRule="exact"/>
              <w:ind w:left="420" w:leftChars="200"/>
              <w:textAlignment w:val="auto"/>
              <w:rPr>
                <w:b/>
                <w:bCs/>
                <w:color w:val="auto"/>
                <w:sz w:val="24"/>
                <w:highlight w:val="none"/>
              </w:rPr>
            </w:pPr>
            <w:r>
              <w:rPr>
                <w:rFonts w:hint="eastAsia"/>
                <w:b/>
                <w:bCs/>
                <w:color w:val="auto"/>
                <w:sz w:val="24"/>
                <w:highlight w:val="none"/>
              </w:rPr>
              <w:t>①热风炉燃料燃烧废气</w:t>
            </w:r>
          </w:p>
          <w:p w14:paraId="4CEB9E6A">
            <w:pPr>
              <w:keepNext w:val="0"/>
              <w:keepLines w:val="0"/>
              <w:pageBreakBefore w:val="0"/>
              <w:widowControl w:val="0"/>
              <w:kinsoku/>
              <w:wordWrap/>
              <w:overflowPunct/>
              <w:topLinePunct w:val="0"/>
              <w:bidi w:val="0"/>
              <w:adjustRightInd/>
              <w:snapToGrid/>
              <w:spacing w:line="440" w:lineRule="exact"/>
              <w:ind w:firstLine="480" w:firstLineChars="200"/>
              <w:textAlignment w:val="auto"/>
              <w:rPr>
                <w:rFonts w:hint="eastAsia"/>
                <w:color w:val="auto"/>
                <w:sz w:val="24"/>
                <w:highlight w:val="none"/>
              </w:rPr>
            </w:pPr>
            <w:r>
              <w:rPr>
                <w:rFonts w:hint="eastAsia"/>
                <w:color w:val="auto"/>
                <w:sz w:val="24"/>
                <w:highlight w:val="none"/>
              </w:rPr>
              <w:t>根据现有工程验收报告结论：项目有2台热风炉为烘干物料果蔬渣提供热量，其中一级烘干热风炉燃料为生物质颗粒</w:t>
            </w:r>
            <w:r>
              <w:rPr>
                <w:rFonts w:hint="eastAsia"/>
                <w:color w:val="auto"/>
                <w:sz w:val="24"/>
                <w:highlight w:val="none"/>
                <w:lang w:eastAsia="zh-CN"/>
              </w:rPr>
              <w:t>（</w:t>
            </w:r>
            <w:r>
              <w:rPr>
                <w:rFonts w:hint="eastAsia"/>
                <w:color w:val="auto"/>
                <w:sz w:val="24"/>
                <w:highlight w:val="none"/>
                <w:lang w:val="en-US" w:eastAsia="zh-CN"/>
              </w:rPr>
              <w:t>5743t/a</w:t>
            </w:r>
            <w:r>
              <w:rPr>
                <w:rFonts w:hint="eastAsia"/>
                <w:color w:val="auto"/>
                <w:sz w:val="24"/>
                <w:highlight w:val="none"/>
                <w:lang w:eastAsia="zh-CN"/>
              </w:rPr>
              <w:t>）</w:t>
            </w:r>
            <w:r>
              <w:rPr>
                <w:rFonts w:hint="eastAsia"/>
                <w:color w:val="auto"/>
                <w:sz w:val="24"/>
                <w:highlight w:val="none"/>
              </w:rPr>
              <w:t>，燃料燃烧废气经低氮燃烧+尿素喷淋+降尘室+旋风除尘+水膜喷淋除尘+15m高排气筒（DA001）排放</w:t>
            </w:r>
            <w:r>
              <w:rPr>
                <w:rFonts w:hint="eastAsia"/>
                <w:color w:val="auto"/>
                <w:sz w:val="24"/>
                <w:highlight w:val="none"/>
                <w:lang w:eastAsia="zh-CN"/>
              </w:rPr>
              <w:t>；</w:t>
            </w:r>
            <w:r>
              <w:rPr>
                <w:rFonts w:hint="eastAsia"/>
                <w:color w:val="auto"/>
                <w:sz w:val="24"/>
                <w:highlight w:val="none"/>
              </w:rPr>
              <w:t>二级烘干热风炉燃料为生物质颗粒</w:t>
            </w:r>
            <w:r>
              <w:rPr>
                <w:rFonts w:hint="eastAsia"/>
                <w:color w:val="auto"/>
                <w:sz w:val="24"/>
                <w:highlight w:val="none"/>
                <w:lang w:eastAsia="zh-CN"/>
              </w:rPr>
              <w:t>（</w:t>
            </w:r>
            <w:r>
              <w:rPr>
                <w:rFonts w:hint="eastAsia"/>
                <w:color w:val="auto"/>
                <w:sz w:val="24"/>
                <w:highlight w:val="none"/>
                <w:lang w:val="en-US" w:eastAsia="zh-CN"/>
              </w:rPr>
              <w:t>5289t/a</w:t>
            </w:r>
            <w:r>
              <w:rPr>
                <w:rFonts w:hint="eastAsia"/>
                <w:color w:val="auto"/>
                <w:sz w:val="24"/>
                <w:highlight w:val="none"/>
                <w:lang w:eastAsia="zh-CN"/>
              </w:rPr>
              <w:t>）</w:t>
            </w:r>
            <w:r>
              <w:rPr>
                <w:rFonts w:hint="eastAsia"/>
                <w:color w:val="auto"/>
                <w:sz w:val="24"/>
                <w:highlight w:val="none"/>
              </w:rPr>
              <w:t>及生产废水处理系统的沼气</w:t>
            </w:r>
            <w:r>
              <w:rPr>
                <w:rFonts w:hint="eastAsia"/>
                <w:color w:val="auto"/>
                <w:sz w:val="24"/>
                <w:highlight w:val="none"/>
                <w:lang w:eastAsia="zh-CN"/>
              </w:rPr>
              <w:t>（</w:t>
            </w:r>
            <w:r>
              <w:rPr>
                <w:rFonts w:hint="eastAsia"/>
                <w:color w:val="auto"/>
                <w:sz w:val="24"/>
                <w:highlight w:val="none"/>
                <w:lang w:val="en-US" w:eastAsia="zh-CN"/>
              </w:rPr>
              <w:t>110.97万m</w:t>
            </w:r>
            <w:r>
              <w:rPr>
                <w:rFonts w:hint="eastAsia"/>
                <w:color w:val="auto"/>
                <w:sz w:val="24"/>
                <w:highlight w:val="none"/>
                <w:vertAlign w:val="superscript"/>
                <w:lang w:val="en-US" w:eastAsia="zh-CN"/>
              </w:rPr>
              <w:t>3</w:t>
            </w:r>
            <w:r>
              <w:rPr>
                <w:rFonts w:hint="eastAsia"/>
                <w:color w:val="auto"/>
                <w:sz w:val="24"/>
                <w:highlight w:val="none"/>
                <w:lang w:val="en-US" w:eastAsia="zh-CN"/>
              </w:rPr>
              <w:t>/a</w:t>
            </w:r>
            <w:r>
              <w:rPr>
                <w:rFonts w:hint="eastAsia"/>
                <w:color w:val="auto"/>
                <w:sz w:val="24"/>
                <w:highlight w:val="none"/>
                <w:lang w:eastAsia="zh-CN"/>
              </w:rPr>
              <w:t>）</w:t>
            </w:r>
            <w:r>
              <w:rPr>
                <w:rFonts w:hint="eastAsia"/>
                <w:color w:val="auto"/>
                <w:sz w:val="24"/>
                <w:highlight w:val="none"/>
              </w:rPr>
              <w:t>，二级烘干热风炉燃料燃烧废气经低氮燃烧+尿素喷淋+水膜喷淋除尘+钠碱法脱硫+15m高排气筒（DA002）排放。</w:t>
            </w:r>
          </w:p>
          <w:p w14:paraId="644F481A">
            <w:pPr>
              <w:keepNext w:val="0"/>
              <w:keepLines w:val="0"/>
              <w:pageBreakBefore w:val="0"/>
              <w:widowControl w:val="0"/>
              <w:kinsoku/>
              <w:wordWrap/>
              <w:overflowPunct/>
              <w:topLinePunct w:val="0"/>
              <w:bidi w:val="0"/>
              <w:adjustRightInd/>
              <w:snapToGrid/>
              <w:spacing w:line="440" w:lineRule="exact"/>
              <w:ind w:firstLine="480" w:firstLineChars="200"/>
              <w:textAlignment w:val="auto"/>
              <w:rPr>
                <w:color w:val="auto"/>
                <w:sz w:val="24"/>
                <w:highlight w:val="none"/>
              </w:rPr>
            </w:pPr>
            <w:r>
              <w:rPr>
                <w:rFonts w:hint="eastAsia"/>
                <w:color w:val="auto"/>
                <w:sz w:val="24"/>
                <w:highlight w:val="none"/>
                <w:lang w:val="en-US" w:eastAsia="zh-CN"/>
              </w:rPr>
              <w:t>本项目扩建完成后全厂</w:t>
            </w:r>
            <w:r>
              <w:rPr>
                <w:rFonts w:hint="eastAsia"/>
                <w:color w:val="auto"/>
                <w:sz w:val="24"/>
                <w:highlight w:val="none"/>
              </w:rPr>
              <w:t>改扩建后果蔬线90%物料不再进入烘干程序，因此生物质燃料及沼气使用量都相应减少</w:t>
            </w:r>
            <w:r>
              <w:rPr>
                <w:rFonts w:hint="eastAsia"/>
                <w:color w:val="auto"/>
                <w:sz w:val="24"/>
                <w:highlight w:val="none"/>
                <w:lang w:eastAsia="zh-CN"/>
              </w:rPr>
              <w:t>，</w:t>
            </w:r>
            <w:r>
              <w:rPr>
                <w:rFonts w:hint="eastAsia"/>
                <w:color w:val="auto"/>
                <w:sz w:val="24"/>
                <w:highlight w:val="none"/>
                <w:lang w:val="en-US" w:eastAsia="zh-CN"/>
              </w:rPr>
              <w:t>其用量如下</w:t>
            </w:r>
            <w:r>
              <w:rPr>
                <w:rFonts w:hint="eastAsia"/>
                <w:color w:val="auto"/>
                <w:sz w:val="24"/>
                <w:highlight w:val="none"/>
              </w:rPr>
              <w:t>。</w:t>
            </w:r>
          </w:p>
          <w:p w14:paraId="473A85C3">
            <w:pPr>
              <w:jc w:val="center"/>
              <w:rPr>
                <w:b/>
                <w:bCs/>
                <w:color w:val="auto"/>
                <w:highlight w:val="none"/>
              </w:rPr>
            </w:pPr>
          </w:p>
          <w:p w14:paraId="16F250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highlight w:val="none"/>
              </w:rPr>
            </w:pPr>
            <w:r>
              <w:rPr>
                <w:b/>
                <w:bCs/>
                <w:color w:val="auto"/>
                <w:highlight w:val="none"/>
              </w:rPr>
              <w:t>表4-</w:t>
            </w:r>
            <w:r>
              <w:rPr>
                <w:rFonts w:hint="eastAsia"/>
                <w:b/>
                <w:bCs/>
                <w:color w:val="auto"/>
                <w:highlight w:val="none"/>
                <w:lang w:val="en-US" w:eastAsia="zh-CN"/>
              </w:rPr>
              <w:t xml:space="preserve">2 </w:t>
            </w:r>
            <w:r>
              <w:rPr>
                <w:rFonts w:hint="eastAsia"/>
                <w:b/>
                <w:bCs/>
                <w:color w:val="auto"/>
                <w:highlight w:val="none"/>
              </w:rPr>
              <w:t xml:space="preserve"> 项目热风炉燃料使用</w:t>
            </w:r>
            <w:r>
              <w:rPr>
                <w:b/>
                <w:bCs/>
                <w:color w:val="auto"/>
                <w:highlight w:val="none"/>
              </w:rPr>
              <w:t>情况一览表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342"/>
              <w:gridCol w:w="1034"/>
              <w:gridCol w:w="1463"/>
              <w:gridCol w:w="1034"/>
              <w:gridCol w:w="1572"/>
              <w:gridCol w:w="1159"/>
            </w:tblGrid>
            <w:tr w14:paraId="48B2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2" w:type="pct"/>
                  <w:vMerge w:val="restart"/>
                  <w:vAlign w:val="center"/>
                </w:tcPr>
                <w:p w14:paraId="68F4F0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i w:val="0"/>
                      <w:iCs w:val="0"/>
                      <w:color w:val="auto"/>
                      <w:szCs w:val="21"/>
                      <w:highlight w:val="none"/>
                    </w:rPr>
                  </w:pPr>
                  <w:r>
                    <w:rPr>
                      <w:rFonts w:hint="eastAsia"/>
                      <w:b/>
                      <w:bCs/>
                      <w:i w:val="0"/>
                      <w:iCs w:val="0"/>
                      <w:color w:val="auto"/>
                      <w:szCs w:val="21"/>
                      <w:highlight w:val="none"/>
                    </w:rPr>
                    <w:t>项目</w:t>
                  </w:r>
                </w:p>
              </w:tc>
              <w:tc>
                <w:tcPr>
                  <w:tcW w:w="1368" w:type="pct"/>
                  <w:gridSpan w:val="2"/>
                  <w:vAlign w:val="center"/>
                </w:tcPr>
                <w:p w14:paraId="5605E4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i w:val="0"/>
                      <w:iCs w:val="0"/>
                      <w:color w:val="auto"/>
                      <w:szCs w:val="21"/>
                      <w:highlight w:val="none"/>
                    </w:rPr>
                  </w:pPr>
                  <w:r>
                    <w:rPr>
                      <w:rFonts w:hint="eastAsia"/>
                      <w:b/>
                      <w:bCs/>
                      <w:i w:val="0"/>
                      <w:iCs w:val="0"/>
                      <w:color w:val="auto"/>
                      <w:szCs w:val="21"/>
                      <w:highlight w:val="none"/>
                    </w:rPr>
                    <w:t>验收</w:t>
                  </w:r>
                  <w:r>
                    <w:rPr>
                      <w:rFonts w:hint="eastAsia"/>
                      <w:b/>
                      <w:bCs/>
                      <w:i w:val="0"/>
                      <w:iCs w:val="0"/>
                      <w:color w:val="auto"/>
                      <w:szCs w:val="21"/>
                      <w:highlight w:val="none"/>
                      <w:lang w:val="en-US" w:eastAsia="zh-CN"/>
                    </w:rPr>
                    <w:t>阶段</w:t>
                  </w:r>
                </w:p>
              </w:tc>
              <w:tc>
                <w:tcPr>
                  <w:tcW w:w="1437" w:type="pct"/>
                  <w:gridSpan w:val="2"/>
                  <w:vAlign w:val="center"/>
                </w:tcPr>
                <w:p w14:paraId="368904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b/>
                      <w:bCs/>
                      <w:i w:val="0"/>
                      <w:iCs w:val="0"/>
                      <w:color w:val="auto"/>
                      <w:szCs w:val="21"/>
                      <w:highlight w:val="none"/>
                      <w:lang w:val="en-US" w:eastAsia="zh-CN"/>
                    </w:rPr>
                  </w:pPr>
                  <w:r>
                    <w:rPr>
                      <w:rFonts w:hint="eastAsia"/>
                      <w:b/>
                      <w:bCs/>
                      <w:i w:val="0"/>
                      <w:iCs w:val="0"/>
                      <w:color w:val="auto"/>
                      <w:szCs w:val="21"/>
                      <w:highlight w:val="none"/>
                      <w:lang w:val="en-US" w:eastAsia="zh-CN"/>
                    </w:rPr>
                    <w:t>本次扩建完成后</w:t>
                  </w:r>
                </w:p>
              </w:tc>
              <w:tc>
                <w:tcPr>
                  <w:tcW w:w="1572" w:type="pct"/>
                  <w:gridSpan w:val="2"/>
                  <w:vAlign w:val="center"/>
                </w:tcPr>
                <w:p w14:paraId="03F567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b/>
                      <w:bCs/>
                      <w:i w:val="0"/>
                      <w:iCs w:val="0"/>
                      <w:color w:val="auto"/>
                      <w:szCs w:val="21"/>
                      <w:highlight w:val="none"/>
                      <w:lang w:val="en-US" w:eastAsia="zh-CN"/>
                    </w:rPr>
                  </w:pPr>
                  <w:r>
                    <w:rPr>
                      <w:rFonts w:hint="eastAsia"/>
                      <w:b/>
                      <w:bCs/>
                      <w:i w:val="0"/>
                      <w:iCs w:val="0"/>
                      <w:color w:val="auto"/>
                      <w:szCs w:val="21"/>
                      <w:highlight w:val="none"/>
                      <w:lang w:val="en-US" w:eastAsia="zh-CN"/>
                    </w:rPr>
                    <w:t>变化量</w:t>
                  </w:r>
                </w:p>
              </w:tc>
            </w:tr>
            <w:tr w14:paraId="047AB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2" w:type="pct"/>
                  <w:vMerge w:val="continue"/>
                  <w:vAlign w:val="center"/>
                </w:tcPr>
                <w:p w14:paraId="4A9195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i w:val="0"/>
                      <w:iCs w:val="0"/>
                      <w:color w:val="auto"/>
                      <w:highlight w:val="none"/>
                    </w:rPr>
                  </w:pPr>
                </w:p>
              </w:tc>
              <w:tc>
                <w:tcPr>
                  <w:tcW w:w="773" w:type="pct"/>
                  <w:vAlign w:val="center"/>
                </w:tcPr>
                <w:p w14:paraId="03F7EE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b/>
                      <w:bCs/>
                      <w:i w:val="0"/>
                      <w:iCs w:val="0"/>
                      <w:color w:val="auto"/>
                      <w:highlight w:val="none"/>
                      <w:lang w:val="en-US" w:eastAsia="zh-CN"/>
                    </w:rPr>
                  </w:pPr>
                  <w:r>
                    <w:rPr>
                      <w:rFonts w:hint="eastAsia"/>
                      <w:b/>
                      <w:bCs/>
                      <w:i w:val="0"/>
                      <w:iCs w:val="0"/>
                      <w:color w:val="auto"/>
                      <w:highlight w:val="none"/>
                      <w:lang w:val="en-US" w:eastAsia="zh-CN"/>
                    </w:rPr>
                    <w:t>生物质颗粒</w:t>
                  </w:r>
                </w:p>
              </w:tc>
              <w:tc>
                <w:tcPr>
                  <w:tcW w:w="594" w:type="pct"/>
                  <w:vAlign w:val="center"/>
                </w:tcPr>
                <w:p w14:paraId="4AC9CE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b/>
                      <w:bCs/>
                      <w:i w:val="0"/>
                      <w:iCs w:val="0"/>
                      <w:color w:val="auto"/>
                      <w:szCs w:val="21"/>
                      <w:highlight w:val="none"/>
                      <w:lang w:val="en-US" w:eastAsia="zh-CN"/>
                    </w:rPr>
                  </w:pPr>
                  <w:r>
                    <w:rPr>
                      <w:rFonts w:hint="eastAsia"/>
                      <w:b/>
                      <w:bCs/>
                      <w:i w:val="0"/>
                      <w:iCs w:val="0"/>
                      <w:color w:val="auto"/>
                      <w:szCs w:val="21"/>
                      <w:highlight w:val="none"/>
                      <w:lang w:val="en-US" w:eastAsia="zh-CN"/>
                    </w:rPr>
                    <w:t>沼气</w:t>
                  </w:r>
                </w:p>
              </w:tc>
              <w:tc>
                <w:tcPr>
                  <w:tcW w:w="842" w:type="pct"/>
                  <w:vAlign w:val="center"/>
                </w:tcPr>
                <w:p w14:paraId="4103D8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i w:val="0"/>
                      <w:iCs w:val="0"/>
                      <w:color w:val="auto"/>
                      <w:szCs w:val="21"/>
                      <w:highlight w:val="none"/>
                    </w:rPr>
                  </w:pPr>
                  <w:r>
                    <w:rPr>
                      <w:rFonts w:hint="eastAsia"/>
                      <w:b/>
                      <w:bCs/>
                      <w:i w:val="0"/>
                      <w:iCs w:val="0"/>
                      <w:color w:val="auto"/>
                      <w:highlight w:val="none"/>
                      <w:lang w:val="en-US" w:eastAsia="zh-CN"/>
                    </w:rPr>
                    <w:t>生物质颗粒</w:t>
                  </w:r>
                </w:p>
              </w:tc>
              <w:tc>
                <w:tcPr>
                  <w:tcW w:w="594" w:type="pct"/>
                  <w:vAlign w:val="center"/>
                </w:tcPr>
                <w:p w14:paraId="25A226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i w:val="0"/>
                      <w:iCs w:val="0"/>
                      <w:color w:val="auto"/>
                      <w:szCs w:val="21"/>
                      <w:highlight w:val="none"/>
                    </w:rPr>
                  </w:pPr>
                  <w:r>
                    <w:rPr>
                      <w:rFonts w:hint="eastAsia"/>
                      <w:b/>
                      <w:bCs/>
                      <w:i w:val="0"/>
                      <w:iCs w:val="0"/>
                      <w:color w:val="auto"/>
                      <w:szCs w:val="21"/>
                      <w:highlight w:val="none"/>
                      <w:lang w:val="en-US" w:eastAsia="zh-CN"/>
                    </w:rPr>
                    <w:t>沼气</w:t>
                  </w:r>
                </w:p>
              </w:tc>
              <w:tc>
                <w:tcPr>
                  <w:tcW w:w="905" w:type="pct"/>
                  <w:vAlign w:val="center"/>
                </w:tcPr>
                <w:p w14:paraId="1F4CD7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i w:val="0"/>
                      <w:iCs w:val="0"/>
                      <w:color w:val="auto"/>
                      <w:szCs w:val="21"/>
                      <w:highlight w:val="none"/>
                    </w:rPr>
                  </w:pPr>
                  <w:r>
                    <w:rPr>
                      <w:rFonts w:hint="eastAsia"/>
                      <w:b/>
                      <w:bCs/>
                      <w:i w:val="0"/>
                      <w:iCs w:val="0"/>
                      <w:color w:val="auto"/>
                      <w:highlight w:val="none"/>
                      <w:lang w:val="en-US" w:eastAsia="zh-CN"/>
                    </w:rPr>
                    <w:t>生物质颗粒</w:t>
                  </w:r>
                </w:p>
              </w:tc>
              <w:tc>
                <w:tcPr>
                  <w:tcW w:w="667" w:type="pct"/>
                  <w:vAlign w:val="center"/>
                </w:tcPr>
                <w:p w14:paraId="0CB20A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i w:val="0"/>
                      <w:iCs w:val="0"/>
                      <w:color w:val="auto"/>
                      <w:szCs w:val="21"/>
                      <w:highlight w:val="none"/>
                    </w:rPr>
                  </w:pPr>
                  <w:r>
                    <w:rPr>
                      <w:rFonts w:hint="eastAsia"/>
                      <w:b/>
                      <w:bCs/>
                      <w:i w:val="0"/>
                      <w:iCs w:val="0"/>
                      <w:color w:val="auto"/>
                      <w:szCs w:val="21"/>
                      <w:highlight w:val="none"/>
                      <w:lang w:val="en-US" w:eastAsia="zh-CN"/>
                    </w:rPr>
                    <w:t>沼气</w:t>
                  </w:r>
                </w:p>
              </w:tc>
            </w:tr>
            <w:tr w14:paraId="28656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2" w:type="pct"/>
                  <w:vAlign w:val="center"/>
                </w:tcPr>
                <w:p w14:paraId="3367AF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val="0"/>
                      <w:bCs w:val="0"/>
                      <w:color w:val="auto"/>
                      <w:szCs w:val="21"/>
                      <w:highlight w:val="none"/>
                    </w:rPr>
                  </w:pPr>
                  <w:r>
                    <w:rPr>
                      <w:rFonts w:hint="eastAsia"/>
                      <w:b w:val="0"/>
                      <w:bCs w:val="0"/>
                      <w:color w:val="auto"/>
                      <w:szCs w:val="21"/>
                      <w:highlight w:val="none"/>
                    </w:rPr>
                    <w:t>一级烘干热风炉</w:t>
                  </w:r>
                </w:p>
              </w:tc>
              <w:tc>
                <w:tcPr>
                  <w:tcW w:w="773" w:type="pct"/>
                  <w:vAlign w:val="center"/>
                </w:tcPr>
                <w:p w14:paraId="2BC1F9F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5743t/a</w:t>
                  </w:r>
                </w:p>
              </w:tc>
              <w:tc>
                <w:tcPr>
                  <w:tcW w:w="594" w:type="pct"/>
                  <w:vAlign w:val="center"/>
                </w:tcPr>
                <w:p w14:paraId="6DB910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0</w:t>
                  </w:r>
                </w:p>
              </w:tc>
              <w:tc>
                <w:tcPr>
                  <w:tcW w:w="842" w:type="pct"/>
                  <w:vAlign w:val="center"/>
                </w:tcPr>
                <w:p w14:paraId="7A6311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666t/a</w:t>
                  </w:r>
                </w:p>
              </w:tc>
              <w:tc>
                <w:tcPr>
                  <w:tcW w:w="594" w:type="pct"/>
                  <w:vAlign w:val="center"/>
                </w:tcPr>
                <w:p w14:paraId="30E367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0</w:t>
                  </w:r>
                </w:p>
              </w:tc>
              <w:tc>
                <w:tcPr>
                  <w:tcW w:w="905" w:type="pct"/>
                  <w:vAlign w:val="center"/>
                </w:tcPr>
                <w:p w14:paraId="1F11AE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-5077</w:t>
                  </w:r>
                </w:p>
              </w:tc>
              <w:tc>
                <w:tcPr>
                  <w:tcW w:w="667" w:type="pct"/>
                  <w:vAlign w:val="center"/>
                </w:tcPr>
                <w:p w14:paraId="7D6263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0</w:t>
                  </w:r>
                </w:p>
              </w:tc>
            </w:tr>
            <w:tr w14:paraId="33C22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2" w:type="pct"/>
                  <w:vAlign w:val="center"/>
                </w:tcPr>
                <w:p w14:paraId="52A6E0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val="0"/>
                      <w:bCs w:val="0"/>
                      <w:color w:val="auto"/>
                      <w:szCs w:val="21"/>
                      <w:highlight w:val="none"/>
                    </w:rPr>
                  </w:pPr>
                  <w:r>
                    <w:rPr>
                      <w:rFonts w:hint="eastAsia"/>
                      <w:b w:val="0"/>
                      <w:bCs w:val="0"/>
                      <w:color w:val="auto"/>
                      <w:szCs w:val="21"/>
                      <w:highlight w:val="none"/>
                    </w:rPr>
                    <w:t>二级烘干热风炉</w:t>
                  </w:r>
                </w:p>
              </w:tc>
              <w:tc>
                <w:tcPr>
                  <w:tcW w:w="773" w:type="pct"/>
                  <w:vAlign w:val="center"/>
                </w:tcPr>
                <w:p w14:paraId="66FA37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528</w:t>
                  </w:r>
                  <w:r>
                    <w:rPr>
                      <w:rFonts w:hint="eastAsia"/>
                      <w:color w:val="auto"/>
                      <w:szCs w:val="21"/>
                      <w:highlight w:val="none"/>
                      <w:lang w:val="en-US" w:eastAsia="zh-CN"/>
                    </w:rPr>
                    <w:t>7</w:t>
                  </w:r>
                  <w:r>
                    <w:rPr>
                      <w:rFonts w:hint="eastAsia"/>
                      <w:color w:val="auto"/>
                      <w:szCs w:val="21"/>
                      <w:highlight w:val="none"/>
                    </w:rPr>
                    <w:t>t/a</w:t>
                  </w:r>
                </w:p>
              </w:tc>
              <w:tc>
                <w:tcPr>
                  <w:tcW w:w="594" w:type="pct"/>
                  <w:vAlign w:val="center"/>
                </w:tcPr>
                <w:p w14:paraId="3520AE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lang w:val="en-US" w:eastAsia="zh-CN"/>
                    </w:rPr>
                  </w:pPr>
                  <w:r>
                    <w:rPr>
                      <w:rFonts w:hint="eastAsia"/>
                      <w:color w:val="auto"/>
                      <w:szCs w:val="21"/>
                      <w:highlight w:val="none"/>
                      <w:lang w:val="en-US" w:eastAsia="zh-CN"/>
                    </w:rPr>
                    <w:t>110.97</w:t>
                  </w:r>
                </w:p>
                <w:p w14:paraId="1B8C2C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万m</w:t>
                  </w:r>
                  <w:r>
                    <w:rPr>
                      <w:rFonts w:hint="eastAsia"/>
                      <w:color w:val="auto"/>
                      <w:szCs w:val="21"/>
                      <w:highlight w:val="none"/>
                      <w:vertAlign w:val="superscript"/>
                      <w:lang w:val="en-US" w:eastAsia="zh-CN"/>
                    </w:rPr>
                    <w:t>3</w:t>
                  </w:r>
                  <w:r>
                    <w:rPr>
                      <w:rFonts w:hint="eastAsia"/>
                      <w:color w:val="auto"/>
                      <w:szCs w:val="21"/>
                      <w:highlight w:val="none"/>
                      <w:lang w:val="en-US" w:eastAsia="zh-CN"/>
                    </w:rPr>
                    <w:t>/a</w:t>
                  </w:r>
                </w:p>
              </w:tc>
              <w:tc>
                <w:tcPr>
                  <w:tcW w:w="842" w:type="pct"/>
                  <w:vAlign w:val="center"/>
                </w:tcPr>
                <w:p w14:paraId="5076E8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613t/a</w:t>
                  </w:r>
                </w:p>
              </w:tc>
              <w:tc>
                <w:tcPr>
                  <w:tcW w:w="594" w:type="pct"/>
                  <w:vAlign w:val="center"/>
                </w:tcPr>
                <w:p w14:paraId="25BE14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lang w:val="en-US" w:eastAsia="zh-CN"/>
                    </w:rPr>
                  </w:pPr>
                  <w:r>
                    <w:rPr>
                      <w:rFonts w:hint="eastAsia"/>
                      <w:color w:val="auto"/>
                      <w:szCs w:val="21"/>
                      <w:highlight w:val="none"/>
                      <w:lang w:val="en-US" w:eastAsia="zh-CN"/>
                    </w:rPr>
                    <w:t>91.51</w:t>
                  </w:r>
                </w:p>
                <w:p w14:paraId="1CC9B5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万m</w:t>
                  </w:r>
                  <w:r>
                    <w:rPr>
                      <w:rFonts w:hint="eastAsia"/>
                      <w:color w:val="auto"/>
                      <w:szCs w:val="21"/>
                      <w:highlight w:val="none"/>
                      <w:vertAlign w:val="superscript"/>
                      <w:lang w:val="en-US" w:eastAsia="zh-CN"/>
                    </w:rPr>
                    <w:t>3</w:t>
                  </w:r>
                  <w:r>
                    <w:rPr>
                      <w:rFonts w:hint="eastAsia"/>
                      <w:color w:val="auto"/>
                      <w:szCs w:val="21"/>
                      <w:highlight w:val="none"/>
                      <w:lang w:val="en-US" w:eastAsia="zh-CN"/>
                    </w:rPr>
                    <w:t>/a</w:t>
                  </w:r>
                </w:p>
              </w:tc>
              <w:tc>
                <w:tcPr>
                  <w:tcW w:w="905" w:type="pct"/>
                  <w:vAlign w:val="center"/>
                </w:tcPr>
                <w:p w14:paraId="0133A1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-4674</w:t>
                  </w:r>
                </w:p>
              </w:tc>
              <w:tc>
                <w:tcPr>
                  <w:tcW w:w="667" w:type="pct"/>
                  <w:vAlign w:val="center"/>
                </w:tcPr>
                <w:p w14:paraId="6A8671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-19.46</w:t>
                  </w:r>
                </w:p>
                <w:p w14:paraId="4333A8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万m</w:t>
                  </w:r>
                  <w:r>
                    <w:rPr>
                      <w:rFonts w:hint="eastAsia"/>
                      <w:color w:val="auto"/>
                      <w:szCs w:val="21"/>
                      <w:highlight w:val="none"/>
                      <w:vertAlign w:val="superscript"/>
                      <w:lang w:val="en-US" w:eastAsia="zh-CN"/>
                    </w:rPr>
                    <w:t>3</w:t>
                  </w:r>
                  <w:r>
                    <w:rPr>
                      <w:rFonts w:hint="eastAsia"/>
                      <w:color w:val="auto"/>
                      <w:szCs w:val="21"/>
                      <w:highlight w:val="none"/>
                      <w:lang w:val="en-US" w:eastAsia="zh-CN"/>
                    </w:rPr>
                    <w:t>/a</w:t>
                  </w:r>
                </w:p>
              </w:tc>
            </w:tr>
          </w:tbl>
          <w:p w14:paraId="1337015B">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本项目改扩建项目建设完成后，全厂一次烘干粉碎生产线运行时间调整为2220h，一次烘干热风炉使用燃料产地、性质和现有项目一致，仅用量变化，其DA001排放的颗粒物、二氧化硫、氮氧化物排放量参照现有项目验收数据核算。</w:t>
            </w:r>
          </w:p>
          <w:p w14:paraId="0CBE3986">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eastAsia="宋体"/>
                <w:b w:val="0"/>
                <w:bCs w:val="0"/>
                <w:color w:val="auto"/>
                <w:sz w:val="24"/>
                <w:szCs w:val="24"/>
                <w:highlight w:val="none"/>
                <w:lang w:val="en-US" w:eastAsia="zh-CN"/>
              </w:rPr>
            </w:pPr>
            <w:r>
              <w:rPr>
                <w:rFonts w:hint="eastAsia"/>
                <w:b w:val="0"/>
                <w:bCs w:val="0"/>
                <w:color w:val="auto"/>
                <w:sz w:val="24"/>
                <w:szCs w:val="24"/>
                <w:highlight w:val="none"/>
                <w:lang w:val="en-US" w:eastAsia="zh-CN"/>
              </w:rPr>
              <w:t>二次烘干热风炉为处理污水处理站产生的沼气，其运行时间为7992h，其使用</w:t>
            </w:r>
            <w:r>
              <w:rPr>
                <w:rFonts w:hint="eastAsia"/>
                <w:color w:val="auto"/>
                <w:sz w:val="24"/>
                <w:highlight w:val="none"/>
              </w:rPr>
              <w:t>生物质燃料及沼气</w:t>
            </w:r>
            <w:r>
              <w:rPr>
                <w:rFonts w:hint="eastAsia"/>
                <w:color w:val="auto"/>
                <w:sz w:val="24"/>
                <w:highlight w:val="none"/>
                <w:lang w:eastAsia="zh-CN"/>
              </w:rPr>
              <w:t>，</w:t>
            </w:r>
            <w:r>
              <w:rPr>
                <w:rFonts w:hint="eastAsia"/>
                <w:color w:val="auto"/>
                <w:sz w:val="24"/>
                <w:highlight w:val="none"/>
                <w:lang w:val="en-US" w:eastAsia="zh-CN"/>
              </w:rPr>
              <w:t>其使用比例较现有项目相比，其沼气比重增加，其</w:t>
            </w:r>
            <w:r>
              <w:rPr>
                <w:rFonts w:hint="eastAsia"/>
                <w:b w:val="0"/>
                <w:bCs w:val="0"/>
                <w:color w:val="auto"/>
                <w:sz w:val="24"/>
                <w:szCs w:val="24"/>
                <w:highlight w:val="none"/>
                <w:lang w:val="en-US" w:eastAsia="zh-CN"/>
              </w:rPr>
              <w:t>颗粒物、二氧化硫、氮氧化物采用现有项目验收监测数据不科学，本次DA002排放的颗粒物、二氧化硫、氮氧化物参照《排放源统计调查产排污核算方法和系数手册》（生态环境部公告2021年第24号，2021年6月9日实施）中《4430工业锅炉（热力生产和供应行业）产污系数表》核算。</w:t>
            </w:r>
          </w:p>
          <w:p w14:paraId="203DDCBB">
            <w:pPr>
              <w:keepNext w:val="0"/>
              <w:keepLines w:val="0"/>
              <w:pageBreakBefore w:val="0"/>
              <w:widowControl w:val="0"/>
              <w:kinsoku/>
              <w:wordWrap/>
              <w:overflowPunct/>
              <w:topLinePunct w:val="0"/>
              <w:autoSpaceDE/>
              <w:autoSpaceDN/>
              <w:bidi w:val="0"/>
              <w:adjustRightInd/>
              <w:snapToGrid/>
              <w:spacing w:before="157" w:beforeLines="50" w:line="320" w:lineRule="exact"/>
              <w:jc w:val="center"/>
              <w:textAlignment w:val="auto"/>
              <w:rPr>
                <w:b/>
                <w:bCs/>
                <w:color w:val="auto"/>
                <w:highlight w:val="none"/>
              </w:rPr>
            </w:pPr>
            <w:r>
              <w:rPr>
                <w:b/>
                <w:bCs/>
                <w:color w:val="auto"/>
                <w:highlight w:val="none"/>
              </w:rPr>
              <w:t>表4-</w:t>
            </w:r>
            <w:r>
              <w:rPr>
                <w:rFonts w:hint="eastAsia"/>
                <w:b/>
                <w:bCs/>
                <w:color w:val="auto"/>
                <w:highlight w:val="none"/>
              </w:rPr>
              <w:t>3</w:t>
            </w:r>
            <w:r>
              <w:rPr>
                <w:b/>
                <w:bCs/>
                <w:color w:val="auto"/>
                <w:highlight w:val="none"/>
              </w:rPr>
              <w:t xml:space="preserve"> </w:t>
            </w:r>
            <w:r>
              <w:rPr>
                <w:rFonts w:hint="eastAsia"/>
                <w:b/>
                <w:bCs/>
                <w:color w:val="auto"/>
                <w:highlight w:val="none"/>
              </w:rPr>
              <w:t xml:space="preserve"> 生物质燃烧产排污系数</w:t>
            </w:r>
            <w:r>
              <w:rPr>
                <w:b/>
                <w:bCs/>
                <w:color w:val="auto"/>
                <w:highlight w:val="none"/>
              </w:rPr>
              <w:t>一览表</w:t>
            </w:r>
          </w:p>
          <w:tbl>
            <w:tblPr>
              <w:tblStyle w:val="2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398"/>
              <w:gridCol w:w="1444"/>
              <w:gridCol w:w="1241"/>
              <w:gridCol w:w="2165"/>
              <w:gridCol w:w="1339"/>
            </w:tblGrid>
            <w:tr w14:paraId="3DCAD3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0" w:type="dxa"/>
                  <w:noWrap w:val="0"/>
                  <w:vAlign w:val="center"/>
                </w:tcPr>
                <w:p w14:paraId="329084F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原料名称</w:t>
                  </w:r>
                </w:p>
              </w:tc>
              <w:tc>
                <w:tcPr>
                  <w:tcW w:w="1398" w:type="dxa"/>
                  <w:noWrap w:val="0"/>
                  <w:vAlign w:val="center"/>
                </w:tcPr>
                <w:p w14:paraId="458FA6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污染物指标</w:t>
                  </w:r>
                </w:p>
              </w:tc>
              <w:tc>
                <w:tcPr>
                  <w:tcW w:w="1444" w:type="dxa"/>
                  <w:noWrap w:val="0"/>
                  <w:vAlign w:val="center"/>
                </w:tcPr>
                <w:p w14:paraId="529954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单位</w:t>
                  </w:r>
                </w:p>
              </w:tc>
              <w:tc>
                <w:tcPr>
                  <w:tcW w:w="1241" w:type="dxa"/>
                  <w:noWrap w:val="0"/>
                  <w:vAlign w:val="center"/>
                </w:tcPr>
                <w:p w14:paraId="3745A5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产污系数</w:t>
                  </w:r>
                </w:p>
              </w:tc>
              <w:tc>
                <w:tcPr>
                  <w:tcW w:w="2165" w:type="dxa"/>
                  <w:noWrap w:val="0"/>
                  <w:vAlign w:val="center"/>
                </w:tcPr>
                <w:p w14:paraId="183225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末端治理技术名称</w:t>
                  </w:r>
                </w:p>
              </w:tc>
              <w:tc>
                <w:tcPr>
                  <w:tcW w:w="1339" w:type="dxa"/>
                  <w:noWrap w:val="0"/>
                  <w:vAlign w:val="center"/>
                </w:tcPr>
                <w:p w14:paraId="132334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去除效率</w:t>
                  </w:r>
                </w:p>
              </w:tc>
            </w:tr>
            <w:tr w14:paraId="3758E1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0" w:type="dxa"/>
                  <w:vMerge w:val="restart"/>
                  <w:noWrap w:val="0"/>
                  <w:vAlign w:val="center"/>
                </w:tcPr>
                <w:p w14:paraId="32C03D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生物质</w:t>
                  </w:r>
                </w:p>
              </w:tc>
              <w:tc>
                <w:tcPr>
                  <w:tcW w:w="1398" w:type="dxa"/>
                  <w:noWrap w:val="0"/>
                  <w:vAlign w:val="center"/>
                </w:tcPr>
                <w:p w14:paraId="7CFCFE9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工业废气量</w:t>
                  </w:r>
                </w:p>
              </w:tc>
              <w:tc>
                <w:tcPr>
                  <w:tcW w:w="1444" w:type="dxa"/>
                  <w:noWrap w:val="0"/>
                  <w:vAlign w:val="center"/>
                </w:tcPr>
                <w:p w14:paraId="01CF9C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标立方米/吨-原料</w:t>
                  </w:r>
                </w:p>
              </w:tc>
              <w:tc>
                <w:tcPr>
                  <w:tcW w:w="1241" w:type="dxa"/>
                  <w:noWrap w:val="0"/>
                  <w:vAlign w:val="center"/>
                </w:tcPr>
                <w:p w14:paraId="2DA3EE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6240</w:t>
                  </w:r>
                </w:p>
              </w:tc>
              <w:tc>
                <w:tcPr>
                  <w:tcW w:w="2165" w:type="dxa"/>
                  <w:noWrap w:val="0"/>
                  <w:vAlign w:val="center"/>
                </w:tcPr>
                <w:p w14:paraId="52F917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1339" w:type="dxa"/>
                  <w:noWrap w:val="0"/>
                  <w:vAlign w:val="center"/>
                </w:tcPr>
                <w:p w14:paraId="1E3653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0</w:t>
                  </w:r>
                </w:p>
              </w:tc>
            </w:tr>
            <w:tr w14:paraId="2FB7F6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0" w:type="dxa"/>
                  <w:vMerge w:val="continue"/>
                  <w:noWrap w:val="0"/>
                  <w:vAlign w:val="center"/>
                </w:tcPr>
                <w:p w14:paraId="10301A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p>
              </w:tc>
              <w:tc>
                <w:tcPr>
                  <w:tcW w:w="1398" w:type="dxa"/>
                  <w:noWrap w:val="0"/>
                  <w:vAlign w:val="center"/>
                </w:tcPr>
                <w:p w14:paraId="5F6E4D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二氧化硫</w:t>
                  </w:r>
                </w:p>
              </w:tc>
              <w:tc>
                <w:tcPr>
                  <w:tcW w:w="1444" w:type="dxa"/>
                  <w:noWrap w:val="0"/>
                  <w:vAlign w:val="center"/>
                </w:tcPr>
                <w:p w14:paraId="179B31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千克/吨-原料</w:t>
                  </w:r>
                </w:p>
              </w:tc>
              <w:tc>
                <w:tcPr>
                  <w:tcW w:w="1241" w:type="dxa"/>
                  <w:noWrap w:val="0"/>
                  <w:vAlign w:val="center"/>
                </w:tcPr>
                <w:p w14:paraId="266FCA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17S</w:t>
                  </w:r>
                  <w:r>
                    <w:rPr>
                      <w:rFonts w:hint="eastAsia" w:ascii="宋体" w:hAnsi="宋体" w:cs="宋体"/>
                      <w:color w:val="auto"/>
                      <w:szCs w:val="21"/>
                      <w:highlight w:val="none"/>
                      <w:vertAlign w:val="superscript"/>
                    </w:rPr>
                    <w:t>①</w:t>
                  </w:r>
                </w:p>
              </w:tc>
              <w:tc>
                <w:tcPr>
                  <w:tcW w:w="2165" w:type="dxa"/>
                  <w:noWrap w:val="0"/>
                  <w:vAlign w:val="center"/>
                </w:tcPr>
                <w:p w14:paraId="288601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w:t>
                  </w:r>
                </w:p>
              </w:tc>
              <w:tc>
                <w:tcPr>
                  <w:tcW w:w="1339" w:type="dxa"/>
                  <w:noWrap w:val="0"/>
                  <w:vAlign w:val="center"/>
                </w:tcPr>
                <w:p w14:paraId="62BDD9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0</w:t>
                  </w:r>
                </w:p>
              </w:tc>
            </w:tr>
            <w:tr w14:paraId="167FA9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0" w:type="dxa"/>
                  <w:vMerge w:val="continue"/>
                  <w:noWrap w:val="0"/>
                  <w:vAlign w:val="center"/>
                </w:tcPr>
                <w:p w14:paraId="0C97CE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p>
              </w:tc>
              <w:tc>
                <w:tcPr>
                  <w:tcW w:w="1398" w:type="dxa"/>
                  <w:noWrap w:val="0"/>
                  <w:vAlign w:val="center"/>
                </w:tcPr>
                <w:p w14:paraId="651F75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氮氧化物</w:t>
                  </w:r>
                </w:p>
              </w:tc>
              <w:tc>
                <w:tcPr>
                  <w:tcW w:w="1444" w:type="dxa"/>
                  <w:noWrap w:val="0"/>
                  <w:vAlign w:val="center"/>
                </w:tcPr>
                <w:p w14:paraId="123748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千克/吨-原料</w:t>
                  </w:r>
                </w:p>
              </w:tc>
              <w:tc>
                <w:tcPr>
                  <w:tcW w:w="1241" w:type="dxa"/>
                  <w:noWrap w:val="0"/>
                  <w:vAlign w:val="center"/>
                </w:tcPr>
                <w:p w14:paraId="7338F3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1.02</w:t>
                  </w:r>
                </w:p>
              </w:tc>
              <w:tc>
                <w:tcPr>
                  <w:tcW w:w="2165" w:type="dxa"/>
                  <w:noWrap w:val="0"/>
                  <w:vAlign w:val="center"/>
                </w:tcPr>
                <w:p w14:paraId="224BC3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低氮燃烧</w:t>
                  </w:r>
                </w:p>
              </w:tc>
              <w:tc>
                <w:tcPr>
                  <w:tcW w:w="1339" w:type="dxa"/>
                  <w:noWrap w:val="0"/>
                  <w:vAlign w:val="center"/>
                </w:tcPr>
                <w:p w14:paraId="2C37EB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30%</w:t>
                  </w:r>
                </w:p>
              </w:tc>
            </w:tr>
            <w:tr w14:paraId="6608DD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97" w:type="dxa"/>
                  <w:gridSpan w:val="6"/>
                  <w:noWrap w:val="0"/>
                  <w:vAlign w:val="center"/>
                </w:tcPr>
                <w:p w14:paraId="30B3B032">
                  <w:pPr>
                    <w:keepNext w:val="0"/>
                    <w:keepLines w:val="0"/>
                    <w:pageBreakBefore w:val="0"/>
                    <w:widowControl w:val="0"/>
                    <w:kinsoku/>
                    <w:wordWrap/>
                    <w:overflowPunct/>
                    <w:topLinePunct w:val="0"/>
                    <w:autoSpaceDE/>
                    <w:autoSpaceDN/>
                    <w:bidi w:val="0"/>
                    <w:adjustRightInd/>
                    <w:snapToGrid/>
                    <w:spacing w:line="320" w:lineRule="exact"/>
                    <w:jc w:val="left"/>
                    <w:textAlignment w:val="auto"/>
                    <w:rPr>
                      <w:color w:val="auto"/>
                      <w:szCs w:val="21"/>
                      <w:highlight w:val="none"/>
                    </w:rPr>
                  </w:pPr>
                  <w:r>
                    <w:rPr>
                      <w:rFonts w:hint="eastAsia"/>
                      <w:color w:val="auto"/>
                      <w:szCs w:val="21"/>
                      <w:highlight w:val="none"/>
                    </w:rPr>
                    <w:t>注：二氧化硫的产污系数是以含硫量（S%）的形式表示的。例如生物质中含硫量（S%）为0.1%，则S=0.1。项目生物质颗粒S=0.04。</w:t>
                  </w:r>
                </w:p>
              </w:tc>
            </w:tr>
          </w:tbl>
          <w:p w14:paraId="7E983AFD">
            <w:pPr>
              <w:keepNext w:val="0"/>
              <w:keepLines w:val="0"/>
              <w:pageBreakBefore w:val="0"/>
              <w:widowControl w:val="0"/>
              <w:kinsoku/>
              <w:wordWrap/>
              <w:overflowPunct/>
              <w:topLinePunct w:val="0"/>
              <w:autoSpaceDE/>
              <w:autoSpaceDN/>
              <w:bidi w:val="0"/>
              <w:adjustRightInd/>
              <w:snapToGrid/>
              <w:spacing w:before="157" w:beforeLines="50" w:line="320" w:lineRule="exact"/>
              <w:jc w:val="center"/>
              <w:textAlignment w:val="auto"/>
              <w:rPr>
                <w:b/>
                <w:bCs/>
                <w:color w:val="auto"/>
                <w:highlight w:val="none"/>
              </w:rPr>
            </w:pPr>
            <w:r>
              <w:rPr>
                <w:b/>
                <w:bCs/>
                <w:color w:val="auto"/>
                <w:highlight w:val="none"/>
              </w:rPr>
              <w:t>表4-</w:t>
            </w:r>
            <w:r>
              <w:rPr>
                <w:rFonts w:hint="eastAsia"/>
                <w:b/>
                <w:bCs/>
                <w:color w:val="auto"/>
                <w:highlight w:val="none"/>
              </w:rPr>
              <w:t>4</w:t>
            </w:r>
            <w:r>
              <w:rPr>
                <w:b/>
                <w:bCs/>
                <w:color w:val="auto"/>
                <w:highlight w:val="none"/>
              </w:rPr>
              <w:t xml:space="preserve"> </w:t>
            </w:r>
            <w:r>
              <w:rPr>
                <w:rFonts w:hint="eastAsia"/>
                <w:b/>
                <w:bCs/>
                <w:color w:val="auto"/>
                <w:highlight w:val="none"/>
              </w:rPr>
              <w:t xml:space="preserve"> 沼气燃烧产排污系数</w:t>
            </w:r>
            <w:r>
              <w:rPr>
                <w:b/>
                <w:bCs/>
                <w:color w:val="auto"/>
                <w:highlight w:val="none"/>
              </w:rPr>
              <w:t>一览表</w:t>
            </w:r>
          </w:p>
          <w:tbl>
            <w:tblPr>
              <w:tblStyle w:val="2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1398"/>
              <w:gridCol w:w="1444"/>
              <w:gridCol w:w="1588"/>
              <w:gridCol w:w="2040"/>
              <w:gridCol w:w="1118"/>
            </w:tblGrid>
            <w:tr w14:paraId="6A2C4E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9" w:type="dxa"/>
                  <w:noWrap w:val="0"/>
                  <w:vAlign w:val="center"/>
                </w:tcPr>
                <w:p w14:paraId="2266EA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原料名称</w:t>
                  </w:r>
                </w:p>
              </w:tc>
              <w:tc>
                <w:tcPr>
                  <w:tcW w:w="1398" w:type="dxa"/>
                  <w:noWrap w:val="0"/>
                  <w:vAlign w:val="center"/>
                </w:tcPr>
                <w:p w14:paraId="088234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污染物指标</w:t>
                  </w:r>
                </w:p>
              </w:tc>
              <w:tc>
                <w:tcPr>
                  <w:tcW w:w="1444" w:type="dxa"/>
                  <w:noWrap w:val="0"/>
                  <w:vAlign w:val="center"/>
                </w:tcPr>
                <w:p w14:paraId="760C823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单位</w:t>
                  </w:r>
                </w:p>
              </w:tc>
              <w:tc>
                <w:tcPr>
                  <w:tcW w:w="1588" w:type="dxa"/>
                  <w:noWrap w:val="0"/>
                  <w:vAlign w:val="center"/>
                </w:tcPr>
                <w:p w14:paraId="48BBE6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产污系数</w:t>
                  </w:r>
                </w:p>
              </w:tc>
              <w:tc>
                <w:tcPr>
                  <w:tcW w:w="2040" w:type="dxa"/>
                  <w:noWrap w:val="0"/>
                  <w:vAlign w:val="center"/>
                </w:tcPr>
                <w:p w14:paraId="10593F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末端治理技术名称</w:t>
                  </w:r>
                </w:p>
              </w:tc>
              <w:tc>
                <w:tcPr>
                  <w:tcW w:w="1118" w:type="dxa"/>
                  <w:noWrap w:val="0"/>
                  <w:vAlign w:val="center"/>
                </w:tcPr>
                <w:p w14:paraId="3F11FD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去除效率</w:t>
                  </w:r>
                </w:p>
              </w:tc>
            </w:tr>
            <w:tr w14:paraId="69C549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9" w:type="dxa"/>
                  <w:vMerge w:val="restart"/>
                  <w:noWrap w:val="0"/>
                  <w:vAlign w:val="center"/>
                </w:tcPr>
                <w:p w14:paraId="17D205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b/>
                      <w:bCs/>
                      <w:color w:val="auto"/>
                      <w:szCs w:val="21"/>
                      <w:highlight w:val="none"/>
                      <w:lang w:val="en-US" w:eastAsia="zh-CN"/>
                    </w:rPr>
                  </w:pPr>
                  <w:r>
                    <w:rPr>
                      <w:rFonts w:hint="eastAsia"/>
                      <w:b/>
                      <w:bCs/>
                      <w:color w:val="auto"/>
                      <w:szCs w:val="21"/>
                      <w:highlight w:val="none"/>
                      <w:lang w:val="en-US" w:eastAsia="zh-CN"/>
                    </w:rPr>
                    <w:t>沼气</w:t>
                  </w:r>
                </w:p>
              </w:tc>
              <w:tc>
                <w:tcPr>
                  <w:tcW w:w="1398" w:type="dxa"/>
                  <w:noWrap w:val="0"/>
                  <w:vAlign w:val="center"/>
                </w:tcPr>
                <w:p w14:paraId="2E79CC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二氧化硫</w:t>
                  </w:r>
                </w:p>
              </w:tc>
              <w:tc>
                <w:tcPr>
                  <w:tcW w:w="1444" w:type="dxa"/>
                  <w:noWrap w:val="0"/>
                  <w:vAlign w:val="center"/>
                </w:tcPr>
                <w:p w14:paraId="271AAE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千克/万立方米-原料</w:t>
                  </w:r>
                </w:p>
              </w:tc>
              <w:tc>
                <w:tcPr>
                  <w:tcW w:w="1588" w:type="dxa"/>
                  <w:noWrap w:val="0"/>
                  <w:vAlign w:val="center"/>
                </w:tcPr>
                <w:p w14:paraId="29D5E7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0.02S</w:t>
                  </w:r>
                  <w:r>
                    <w:rPr>
                      <w:rFonts w:hint="eastAsia" w:ascii="宋体" w:hAnsi="宋体" w:cs="宋体"/>
                      <w:color w:val="auto"/>
                      <w:szCs w:val="21"/>
                      <w:highlight w:val="none"/>
                      <w:vertAlign w:val="superscript"/>
                    </w:rPr>
                    <w:t>①</w:t>
                  </w:r>
                </w:p>
              </w:tc>
              <w:tc>
                <w:tcPr>
                  <w:tcW w:w="2040" w:type="dxa"/>
                  <w:noWrap w:val="0"/>
                  <w:vAlign w:val="center"/>
                </w:tcPr>
                <w:p w14:paraId="0D0B81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钠碱法</w:t>
                  </w:r>
                </w:p>
              </w:tc>
              <w:tc>
                <w:tcPr>
                  <w:tcW w:w="1118" w:type="dxa"/>
                  <w:noWrap w:val="0"/>
                  <w:vAlign w:val="center"/>
                </w:tcPr>
                <w:p w14:paraId="6A42CE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80%</w:t>
                  </w:r>
                </w:p>
              </w:tc>
            </w:tr>
            <w:tr w14:paraId="6F6460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9" w:type="dxa"/>
                  <w:vMerge w:val="continue"/>
                  <w:noWrap w:val="0"/>
                  <w:vAlign w:val="center"/>
                </w:tcPr>
                <w:p w14:paraId="2A3314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p>
              </w:tc>
              <w:tc>
                <w:tcPr>
                  <w:tcW w:w="1398" w:type="dxa"/>
                  <w:noWrap w:val="0"/>
                  <w:vAlign w:val="center"/>
                </w:tcPr>
                <w:p w14:paraId="7DC4D4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氮氧化物</w:t>
                  </w:r>
                </w:p>
              </w:tc>
              <w:tc>
                <w:tcPr>
                  <w:tcW w:w="1444" w:type="dxa"/>
                  <w:noWrap w:val="0"/>
                  <w:vAlign w:val="center"/>
                </w:tcPr>
                <w:p w14:paraId="4551A6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千克/万立方米-原料</w:t>
                  </w:r>
                </w:p>
              </w:tc>
              <w:tc>
                <w:tcPr>
                  <w:tcW w:w="1588" w:type="dxa"/>
                  <w:noWrap w:val="0"/>
                  <w:vAlign w:val="center"/>
                </w:tcPr>
                <w:p w14:paraId="1DF6FD6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16.94（低氮燃烧-国内领先）</w:t>
                  </w:r>
                </w:p>
              </w:tc>
              <w:tc>
                <w:tcPr>
                  <w:tcW w:w="2040" w:type="dxa"/>
                  <w:noWrap w:val="0"/>
                  <w:vAlign w:val="center"/>
                </w:tcPr>
                <w:p w14:paraId="719915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w:t>
                  </w:r>
                </w:p>
              </w:tc>
              <w:tc>
                <w:tcPr>
                  <w:tcW w:w="1118" w:type="dxa"/>
                  <w:noWrap w:val="0"/>
                  <w:vAlign w:val="center"/>
                </w:tcPr>
                <w:p w14:paraId="096A87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0</w:t>
                  </w:r>
                </w:p>
              </w:tc>
            </w:tr>
            <w:tr w14:paraId="28D305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97" w:type="dxa"/>
                  <w:gridSpan w:val="6"/>
                  <w:noWrap w:val="0"/>
                  <w:vAlign w:val="center"/>
                </w:tcPr>
                <w:p w14:paraId="41A31B1C">
                  <w:pPr>
                    <w:keepNext w:val="0"/>
                    <w:keepLines w:val="0"/>
                    <w:pageBreakBefore w:val="0"/>
                    <w:widowControl w:val="0"/>
                    <w:kinsoku/>
                    <w:wordWrap/>
                    <w:overflowPunct/>
                    <w:topLinePunct w:val="0"/>
                    <w:autoSpaceDE/>
                    <w:autoSpaceDN/>
                    <w:bidi w:val="0"/>
                    <w:adjustRightInd/>
                    <w:snapToGrid/>
                    <w:spacing w:line="320" w:lineRule="exact"/>
                    <w:jc w:val="left"/>
                    <w:textAlignment w:val="auto"/>
                    <w:rPr>
                      <w:color w:val="auto"/>
                      <w:szCs w:val="21"/>
                      <w:highlight w:val="none"/>
                    </w:rPr>
                  </w:pPr>
                  <w:r>
                    <w:rPr>
                      <w:rFonts w:hint="eastAsia"/>
                      <w:color w:val="auto"/>
                      <w:szCs w:val="21"/>
                      <w:highlight w:val="none"/>
                      <w:lang w:val="en-US" w:eastAsia="zh-CN"/>
                    </w:rPr>
                    <w:t>注：产污系数表中气体燃料的二氧化硫的产污系数是以含硫量（S）的形式表示的。例如燃料中含硫量（S）为200毫克/立方米，则S=200。项目沼气H</w:t>
                  </w:r>
                  <w:r>
                    <w:rPr>
                      <w:rFonts w:hint="eastAsia"/>
                      <w:color w:val="auto"/>
                      <w:szCs w:val="21"/>
                      <w:highlight w:val="none"/>
                      <w:vertAlign w:val="subscript"/>
                      <w:lang w:val="en-US" w:eastAsia="zh-CN"/>
                    </w:rPr>
                    <w:t>2</w:t>
                  </w:r>
                  <w:r>
                    <w:rPr>
                      <w:rFonts w:hint="eastAsia"/>
                      <w:color w:val="auto"/>
                      <w:szCs w:val="21"/>
                      <w:highlight w:val="none"/>
                      <w:lang w:val="en-US" w:eastAsia="zh-CN"/>
                    </w:rPr>
                    <w:t>S含量为0.1%~3%，取1.5%，H</w:t>
                  </w:r>
                  <w:r>
                    <w:rPr>
                      <w:rFonts w:hint="eastAsia"/>
                      <w:color w:val="auto"/>
                      <w:szCs w:val="21"/>
                      <w:highlight w:val="none"/>
                      <w:vertAlign w:val="subscript"/>
                      <w:lang w:val="en-US" w:eastAsia="zh-CN"/>
                    </w:rPr>
                    <w:t>2</w:t>
                  </w:r>
                  <w:r>
                    <w:rPr>
                      <w:rFonts w:hint="eastAsia"/>
                      <w:color w:val="auto"/>
                      <w:szCs w:val="21"/>
                      <w:highlight w:val="none"/>
                      <w:lang w:val="en-US" w:eastAsia="zh-CN"/>
                    </w:rPr>
                    <w:t>S密度为1.363kg/m</w:t>
                  </w:r>
                  <w:r>
                    <w:rPr>
                      <w:rFonts w:hint="eastAsia"/>
                      <w:color w:val="auto"/>
                      <w:szCs w:val="21"/>
                      <w:highlight w:val="none"/>
                      <w:vertAlign w:val="superscript"/>
                      <w:lang w:val="en-US" w:eastAsia="zh-CN"/>
                    </w:rPr>
                    <w:t>3</w:t>
                  </w:r>
                  <w:r>
                    <w:rPr>
                      <w:rFonts w:hint="eastAsia"/>
                      <w:color w:val="auto"/>
                      <w:szCs w:val="21"/>
                      <w:highlight w:val="none"/>
                      <w:lang w:val="en-US" w:eastAsia="zh-CN"/>
                    </w:rPr>
                    <w:t>，则H</w:t>
                  </w:r>
                  <w:r>
                    <w:rPr>
                      <w:rFonts w:hint="eastAsia"/>
                      <w:color w:val="auto"/>
                      <w:szCs w:val="21"/>
                      <w:highlight w:val="none"/>
                      <w:vertAlign w:val="subscript"/>
                      <w:lang w:val="en-US" w:eastAsia="zh-CN"/>
                    </w:rPr>
                    <w:t>2</w:t>
                  </w:r>
                  <w:r>
                    <w:rPr>
                      <w:rFonts w:hint="eastAsia"/>
                      <w:color w:val="auto"/>
                      <w:szCs w:val="21"/>
                      <w:highlight w:val="none"/>
                      <w:lang w:val="en-US" w:eastAsia="zh-CN"/>
                    </w:rPr>
                    <w:t>S含量为20445毫克/立方米，则</w:t>
                  </w:r>
                  <w:r>
                    <w:rPr>
                      <w:rFonts w:hint="eastAsia"/>
                      <w:color w:val="auto"/>
                      <w:szCs w:val="21"/>
                      <w:highlight w:val="none"/>
                    </w:rPr>
                    <w:t>项目沼气含硫量为S=</w:t>
                  </w:r>
                  <w:r>
                    <w:rPr>
                      <w:rFonts w:hint="eastAsia"/>
                      <w:color w:val="auto"/>
                      <w:szCs w:val="21"/>
                      <w:highlight w:val="none"/>
                      <w:lang w:val="en-US" w:eastAsia="zh-CN"/>
                    </w:rPr>
                    <w:t>19242</w:t>
                  </w:r>
                  <w:r>
                    <w:rPr>
                      <w:rFonts w:hint="eastAsia"/>
                      <w:color w:val="auto"/>
                      <w:szCs w:val="21"/>
                      <w:highlight w:val="none"/>
                    </w:rPr>
                    <w:t>毫克/立方米。</w:t>
                  </w:r>
                </w:p>
              </w:tc>
            </w:tr>
          </w:tbl>
          <w:p w14:paraId="0CCC4264">
            <w:pPr>
              <w:keepNext w:val="0"/>
              <w:keepLines w:val="0"/>
              <w:pageBreakBefore w:val="0"/>
              <w:widowControl w:val="0"/>
              <w:kinsoku/>
              <w:wordWrap/>
              <w:overflowPunct/>
              <w:topLinePunct w:val="0"/>
              <w:autoSpaceDE/>
              <w:autoSpaceDN/>
              <w:bidi w:val="0"/>
              <w:adjustRightInd/>
              <w:snapToGrid/>
              <w:spacing w:before="157" w:beforeLines="50" w:line="320" w:lineRule="exact"/>
              <w:jc w:val="center"/>
              <w:textAlignment w:val="auto"/>
              <w:rPr>
                <w:rFonts w:hint="eastAsia" w:eastAsia="宋体"/>
                <w:b/>
                <w:bCs/>
                <w:color w:val="auto"/>
                <w:highlight w:val="none"/>
                <w:lang w:eastAsia="zh-CN"/>
              </w:rPr>
            </w:pPr>
            <w:r>
              <w:rPr>
                <w:rFonts w:hint="eastAsia"/>
                <w:b/>
                <w:bCs/>
                <w:color w:val="auto"/>
                <w:highlight w:val="none"/>
              </w:rPr>
              <w:t>表4-</w:t>
            </w:r>
            <w:r>
              <w:rPr>
                <w:rFonts w:hint="eastAsia"/>
                <w:b/>
                <w:bCs/>
                <w:color w:val="auto"/>
                <w:highlight w:val="none"/>
                <w:lang w:val="en-US" w:eastAsia="zh-CN"/>
              </w:rPr>
              <w:t>5</w:t>
            </w:r>
            <w:r>
              <w:rPr>
                <w:rFonts w:hint="eastAsia"/>
                <w:b/>
                <w:bCs/>
                <w:color w:val="auto"/>
                <w:highlight w:val="none"/>
              </w:rPr>
              <w:t xml:space="preserve"> </w:t>
            </w:r>
            <w:r>
              <w:rPr>
                <w:rFonts w:hint="eastAsia"/>
                <w:b/>
                <w:bCs/>
                <w:color w:val="auto"/>
                <w:highlight w:val="none"/>
                <w:lang w:val="en-US" w:eastAsia="zh-CN"/>
              </w:rPr>
              <w:t xml:space="preserve"> </w:t>
            </w:r>
            <w:r>
              <w:rPr>
                <w:rFonts w:hint="eastAsia"/>
                <w:b/>
                <w:bCs/>
                <w:color w:val="auto"/>
                <w:highlight w:val="none"/>
              </w:rPr>
              <w:t>项目采取的各级处理设施处理效率一览表</w:t>
            </w:r>
            <w:r>
              <w:rPr>
                <w:rFonts w:hint="eastAsia"/>
                <w:b/>
                <w:bCs/>
                <w:color w:val="auto"/>
                <w:highlight w:val="none"/>
                <w:lang w:eastAsia="zh-CN"/>
              </w:rPr>
              <w:t>（</w:t>
            </w:r>
            <w:r>
              <w:rPr>
                <w:rFonts w:hint="eastAsia"/>
                <w:b/>
                <w:bCs/>
                <w:color w:val="auto"/>
                <w:highlight w:val="none"/>
                <w:lang w:val="en-US" w:eastAsia="zh-CN"/>
              </w:rPr>
              <w:t>来源于现有项目环评</w:t>
            </w:r>
            <w:r>
              <w:rPr>
                <w:rFonts w:hint="eastAsia"/>
                <w:b/>
                <w:bCs/>
                <w:color w:val="auto"/>
                <w:highlight w:val="none"/>
                <w:lang w:eastAsia="zh-CN"/>
              </w:rPr>
              <w:t>）</w:t>
            </w:r>
          </w:p>
          <w:tbl>
            <w:tblPr>
              <w:tblStyle w:val="26"/>
              <w:tblW w:w="486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5"/>
              <w:gridCol w:w="664"/>
              <w:gridCol w:w="948"/>
              <w:gridCol w:w="838"/>
              <w:gridCol w:w="836"/>
              <w:gridCol w:w="963"/>
              <w:gridCol w:w="975"/>
              <w:gridCol w:w="924"/>
            </w:tblGrid>
            <w:tr w14:paraId="4DA39C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0" w:type="pct"/>
                  <w:noWrap w:val="0"/>
                  <w:vAlign w:val="center"/>
                </w:tcPr>
                <w:p w14:paraId="6E4FA2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项目</w:t>
                  </w:r>
                </w:p>
              </w:tc>
              <w:tc>
                <w:tcPr>
                  <w:tcW w:w="635" w:type="pct"/>
                  <w:noWrap w:val="0"/>
                  <w:vAlign w:val="center"/>
                </w:tcPr>
                <w:p w14:paraId="36B254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污染物</w:t>
                  </w:r>
                </w:p>
                <w:p w14:paraId="4FE80F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指标</w:t>
                  </w:r>
                </w:p>
              </w:tc>
              <w:tc>
                <w:tcPr>
                  <w:tcW w:w="392" w:type="pct"/>
                  <w:noWrap w:val="0"/>
                  <w:vAlign w:val="center"/>
                </w:tcPr>
                <w:p w14:paraId="798886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低氮</w:t>
                  </w:r>
                </w:p>
                <w:p w14:paraId="149E78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燃烧</w:t>
                  </w:r>
                </w:p>
              </w:tc>
              <w:tc>
                <w:tcPr>
                  <w:tcW w:w="560" w:type="pct"/>
                  <w:noWrap w:val="0"/>
                  <w:vAlign w:val="center"/>
                </w:tcPr>
                <w:p w14:paraId="447D2E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尿素</w:t>
                  </w:r>
                </w:p>
                <w:p w14:paraId="69BC6F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喷淋</w:t>
                  </w:r>
                </w:p>
              </w:tc>
              <w:tc>
                <w:tcPr>
                  <w:tcW w:w="495" w:type="pct"/>
                  <w:noWrap w:val="0"/>
                  <w:vAlign w:val="center"/>
                </w:tcPr>
                <w:p w14:paraId="4D6BCA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降尘室</w:t>
                  </w:r>
                </w:p>
              </w:tc>
              <w:tc>
                <w:tcPr>
                  <w:tcW w:w="494" w:type="pct"/>
                  <w:noWrap w:val="0"/>
                  <w:vAlign w:val="center"/>
                </w:tcPr>
                <w:p w14:paraId="130803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旋风</w:t>
                  </w:r>
                </w:p>
                <w:p w14:paraId="7D6FDF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除尘</w:t>
                  </w:r>
                </w:p>
              </w:tc>
              <w:tc>
                <w:tcPr>
                  <w:tcW w:w="569" w:type="pct"/>
                  <w:noWrap w:val="0"/>
                  <w:vAlign w:val="center"/>
                </w:tcPr>
                <w:p w14:paraId="2FD2ED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水膜喷淋除尘</w:t>
                  </w:r>
                </w:p>
              </w:tc>
              <w:tc>
                <w:tcPr>
                  <w:tcW w:w="576" w:type="pct"/>
                  <w:noWrap w:val="0"/>
                  <w:vAlign w:val="center"/>
                </w:tcPr>
                <w:p w14:paraId="4CE2AF3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钠碱法脱硫</w:t>
                  </w:r>
                </w:p>
              </w:tc>
              <w:tc>
                <w:tcPr>
                  <w:tcW w:w="546" w:type="pct"/>
                  <w:noWrap w:val="0"/>
                  <w:vAlign w:val="center"/>
                </w:tcPr>
                <w:p w14:paraId="1F850C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rFonts w:hint="eastAsia"/>
                      <w:b/>
                      <w:bCs/>
                      <w:color w:val="auto"/>
                      <w:szCs w:val="21"/>
                      <w:highlight w:val="none"/>
                    </w:rPr>
                    <w:t>综合去除效率</w:t>
                  </w:r>
                </w:p>
              </w:tc>
            </w:tr>
            <w:tr w14:paraId="2FC9C9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0" w:type="pct"/>
                  <w:vMerge w:val="restart"/>
                  <w:noWrap w:val="0"/>
                  <w:vAlign w:val="center"/>
                </w:tcPr>
                <w:p w14:paraId="5F3816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二级烘干热风炉</w:t>
                  </w:r>
                </w:p>
                <w:p w14:paraId="6911BE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（生物质）</w:t>
                  </w:r>
                </w:p>
              </w:tc>
              <w:tc>
                <w:tcPr>
                  <w:tcW w:w="635" w:type="pct"/>
                  <w:noWrap w:val="0"/>
                  <w:vAlign w:val="center"/>
                </w:tcPr>
                <w:p w14:paraId="29C42E0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二氧化硫</w:t>
                  </w:r>
                </w:p>
              </w:tc>
              <w:tc>
                <w:tcPr>
                  <w:tcW w:w="392" w:type="pct"/>
                  <w:noWrap w:val="0"/>
                  <w:vAlign w:val="center"/>
                </w:tcPr>
                <w:p w14:paraId="641E8C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560" w:type="pct"/>
                  <w:noWrap w:val="0"/>
                  <w:vAlign w:val="center"/>
                </w:tcPr>
                <w:p w14:paraId="649A0C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495" w:type="pct"/>
                  <w:noWrap w:val="0"/>
                  <w:vAlign w:val="center"/>
                </w:tcPr>
                <w:p w14:paraId="2986D6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494" w:type="pct"/>
                  <w:noWrap w:val="0"/>
                  <w:vAlign w:val="center"/>
                </w:tcPr>
                <w:p w14:paraId="6E7FEEF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569" w:type="pct"/>
                  <w:noWrap w:val="0"/>
                  <w:vAlign w:val="center"/>
                </w:tcPr>
                <w:p w14:paraId="2E9891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576" w:type="pct"/>
                  <w:noWrap w:val="0"/>
                  <w:vAlign w:val="center"/>
                </w:tcPr>
                <w:p w14:paraId="0DAFE6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70%</w:t>
                  </w:r>
                </w:p>
              </w:tc>
              <w:tc>
                <w:tcPr>
                  <w:tcW w:w="546" w:type="pct"/>
                  <w:noWrap w:val="0"/>
                  <w:vAlign w:val="center"/>
                </w:tcPr>
                <w:p w14:paraId="188685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70%</w:t>
                  </w:r>
                </w:p>
              </w:tc>
            </w:tr>
            <w:tr w14:paraId="56074C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0" w:type="pct"/>
                  <w:vMerge w:val="continue"/>
                  <w:noWrap w:val="0"/>
                  <w:vAlign w:val="center"/>
                </w:tcPr>
                <w:p w14:paraId="36B5AFF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p>
              </w:tc>
              <w:tc>
                <w:tcPr>
                  <w:tcW w:w="635" w:type="pct"/>
                  <w:noWrap w:val="0"/>
                  <w:vAlign w:val="center"/>
                </w:tcPr>
                <w:p w14:paraId="5F6E3E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颗粒物</w:t>
                  </w:r>
                </w:p>
              </w:tc>
              <w:tc>
                <w:tcPr>
                  <w:tcW w:w="392" w:type="pct"/>
                  <w:noWrap w:val="0"/>
                  <w:vAlign w:val="center"/>
                </w:tcPr>
                <w:p w14:paraId="2C2ED5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560" w:type="pct"/>
                  <w:noWrap w:val="0"/>
                  <w:vAlign w:val="center"/>
                </w:tcPr>
                <w:p w14:paraId="60EA1E9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87%</w:t>
                  </w:r>
                </w:p>
              </w:tc>
              <w:tc>
                <w:tcPr>
                  <w:tcW w:w="495" w:type="pct"/>
                  <w:noWrap w:val="0"/>
                  <w:vAlign w:val="center"/>
                </w:tcPr>
                <w:p w14:paraId="2EAAB2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494" w:type="pct"/>
                  <w:noWrap w:val="0"/>
                  <w:vAlign w:val="center"/>
                </w:tcPr>
                <w:p w14:paraId="453856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569" w:type="pct"/>
                  <w:noWrap w:val="0"/>
                  <w:vAlign w:val="center"/>
                </w:tcPr>
                <w:p w14:paraId="188AC3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87%</w:t>
                  </w:r>
                </w:p>
              </w:tc>
              <w:tc>
                <w:tcPr>
                  <w:tcW w:w="576" w:type="pct"/>
                  <w:noWrap w:val="0"/>
                  <w:vAlign w:val="center"/>
                </w:tcPr>
                <w:p w14:paraId="11AF97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546" w:type="pct"/>
                  <w:noWrap w:val="0"/>
                  <w:vAlign w:val="center"/>
                </w:tcPr>
                <w:p w14:paraId="396F19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lang w:val="en-US" w:eastAsia="zh-CN"/>
                    </w:rPr>
                    <w:t>98</w:t>
                  </w:r>
                  <w:r>
                    <w:rPr>
                      <w:rFonts w:hint="eastAsia"/>
                      <w:color w:val="auto"/>
                      <w:szCs w:val="21"/>
                      <w:highlight w:val="none"/>
                    </w:rPr>
                    <w:t>%</w:t>
                  </w:r>
                </w:p>
              </w:tc>
            </w:tr>
            <w:tr w14:paraId="7EEE92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0" w:type="pct"/>
                  <w:vMerge w:val="continue"/>
                  <w:noWrap w:val="0"/>
                  <w:vAlign w:val="center"/>
                </w:tcPr>
                <w:p w14:paraId="48BD80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p>
              </w:tc>
              <w:tc>
                <w:tcPr>
                  <w:tcW w:w="635" w:type="pct"/>
                  <w:noWrap w:val="0"/>
                  <w:vAlign w:val="center"/>
                </w:tcPr>
                <w:p w14:paraId="7C5994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氮氧化物</w:t>
                  </w:r>
                </w:p>
              </w:tc>
              <w:tc>
                <w:tcPr>
                  <w:tcW w:w="392" w:type="pct"/>
                  <w:noWrap w:val="0"/>
                  <w:vAlign w:val="center"/>
                </w:tcPr>
                <w:p w14:paraId="0C0BA2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30%</w:t>
                  </w:r>
                </w:p>
              </w:tc>
              <w:tc>
                <w:tcPr>
                  <w:tcW w:w="560" w:type="pct"/>
                  <w:noWrap w:val="0"/>
                  <w:vAlign w:val="center"/>
                </w:tcPr>
                <w:p w14:paraId="3CE65F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12.57%</w:t>
                  </w:r>
                </w:p>
              </w:tc>
              <w:tc>
                <w:tcPr>
                  <w:tcW w:w="495" w:type="pct"/>
                  <w:noWrap w:val="0"/>
                  <w:vAlign w:val="center"/>
                </w:tcPr>
                <w:p w14:paraId="75FE22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494" w:type="pct"/>
                  <w:noWrap w:val="0"/>
                  <w:vAlign w:val="center"/>
                </w:tcPr>
                <w:p w14:paraId="29E2F2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569" w:type="pct"/>
                  <w:noWrap w:val="0"/>
                  <w:vAlign w:val="center"/>
                </w:tcPr>
                <w:p w14:paraId="02E840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576" w:type="pct"/>
                  <w:noWrap w:val="0"/>
                  <w:vAlign w:val="center"/>
                </w:tcPr>
                <w:p w14:paraId="316BE2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546" w:type="pct"/>
                  <w:noWrap w:val="0"/>
                  <w:vAlign w:val="center"/>
                </w:tcPr>
                <w:p w14:paraId="1567B2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38.8%</w:t>
                  </w:r>
                </w:p>
              </w:tc>
            </w:tr>
            <w:tr w14:paraId="1513A8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0" w:type="pct"/>
                  <w:vMerge w:val="restart"/>
                  <w:noWrap w:val="0"/>
                  <w:vAlign w:val="center"/>
                </w:tcPr>
                <w:p w14:paraId="3EF262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二级烘干热风炉</w:t>
                  </w:r>
                </w:p>
                <w:p w14:paraId="2F43B29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（沼气）</w:t>
                  </w:r>
                </w:p>
              </w:tc>
              <w:tc>
                <w:tcPr>
                  <w:tcW w:w="635" w:type="pct"/>
                  <w:noWrap w:val="0"/>
                  <w:vAlign w:val="center"/>
                </w:tcPr>
                <w:p w14:paraId="4BCA16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二氧化硫</w:t>
                  </w:r>
                </w:p>
              </w:tc>
              <w:tc>
                <w:tcPr>
                  <w:tcW w:w="392" w:type="pct"/>
                  <w:noWrap w:val="0"/>
                  <w:vAlign w:val="center"/>
                </w:tcPr>
                <w:p w14:paraId="734EF6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560" w:type="pct"/>
                  <w:noWrap w:val="0"/>
                  <w:vAlign w:val="center"/>
                </w:tcPr>
                <w:p w14:paraId="268532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495" w:type="pct"/>
                  <w:noWrap w:val="0"/>
                  <w:vAlign w:val="center"/>
                </w:tcPr>
                <w:p w14:paraId="1ED973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494" w:type="pct"/>
                  <w:noWrap w:val="0"/>
                  <w:vAlign w:val="center"/>
                </w:tcPr>
                <w:p w14:paraId="4ED2BF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569" w:type="pct"/>
                  <w:noWrap w:val="0"/>
                  <w:vAlign w:val="center"/>
                </w:tcPr>
                <w:p w14:paraId="4A9CA9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w:t>
                  </w:r>
                </w:p>
              </w:tc>
              <w:tc>
                <w:tcPr>
                  <w:tcW w:w="576" w:type="pct"/>
                  <w:noWrap w:val="0"/>
                  <w:vAlign w:val="center"/>
                </w:tcPr>
                <w:p w14:paraId="6C15B8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70%</w:t>
                  </w:r>
                </w:p>
              </w:tc>
              <w:tc>
                <w:tcPr>
                  <w:tcW w:w="546" w:type="pct"/>
                  <w:noWrap w:val="0"/>
                  <w:vAlign w:val="center"/>
                </w:tcPr>
                <w:p w14:paraId="740BC1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70%</w:t>
                  </w:r>
                </w:p>
              </w:tc>
            </w:tr>
            <w:tr w14:paraId="53030E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0" w:type="pct"/>
                  <w:vMerge w:val="continue"/>
                  <w:noWrap w:val="0"/>
                  <w:vAlign w:val="center"/>
                </w:tcPr>
                <w:p w14:paraId="70EBD7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p>
              </w:tc>
              <w:tc>
                <w:tcPr>
                  <w:tcW w:w="635" w:type="pct"/>
                  <w:noWrap w:val="0"/>
                  <w:vAlign w:val="center"/>
                </w:tcPr>
                <w:p w14:paraId="7CFDB3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color w:val="auto"/>
                      <w:szCs w:val="21"/>
                      <w:highlight w:val="none"/>
                    </w:rPr>
                  </w:pPr>
                  <w:r>
                    <w:rPr>
                      <w:rFonts w:hint="eastAsia"/>
                      <w:b/>
                      <w:bCs/>
                      <w:color w:val="auto"/>
                      <w:szCs w:val="21"/>
                      <w:highlight w:val="none"/>
                    </w:rPr>
                    <w:t>氮氧化物</w:t>
                  </w:r>
                </w:p>
              </w:tc>
              <w:tc>
                <w:tcPr>
                  <w:tcW w:w="392" w:type="pct"/>
                  <w:noWrap w:val="0"/>
                  <w:vAlign w:val="center"/>
                </w:tcPr>
                <w:p w14:paraId="406DE5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560" w:type="pct"/>
                  <w:noWrap w:val="0"/>
                  <w:vAlign w:val="center"/>
                </w:tcPr>
                <w:p w14:paraId="46E1E2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12.57%</w:t>
                  </w:r>
                </w:p>
              </w:tc>
              <w:tc>
                <w:tcPr>
                  <w:tcW w:w="495" w:type="pct"/>
                  <w:noWrap w:val="0"/>
                  <w:vAlign w:val="center"/>
                </w:tcPr>
                <w:p w14:paraId="61FB11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494" w:type="pct"/>
                  <w:noWrap w:val="0"/>
                  <w:vAlign w:val="center"/>
                </w:tcPr>
                <w:p w14:paraId="1FEED3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569" w:type="pct"/>
                  <w:noWrap w:val="0"/>
                  <w:vAlign w:val="center"/>
                </w:tcPr>
                <w:p w14:paraId="2144EE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576" w:type="pct"/>
                  <w:noWrap w:val="0"/>
                  <w:vAlign w:val="center"/>
                </w:tcPr>
                <w:p w14:paraId="55D600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r>
                    <w:rPr>
                      <w:rFonts w:hint="eastAsia"/>
                      <w:color w:val="auto"/>
                      <w:szCs w:val="21"/>
                      <w:highlight w:val="none"/>
                    </w:rPr>
                    <w:t>-</w:t>
                  </w:r>
                </w:p>
              </w:tc>
              <w:tc>
                <w:tcPr>
                  <w:tcW w:w="546" w:type="pct"/>
                  <w:noWrap w:val="0"/>
                  <w:vAlign w:val="center"/>
                </w:tcPr>
                <w:p w14:paraId="64E84B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12.57%</w:t>
                  </w:r>
                </w:p>
              </w:tc>
            </w:tr>
          </w:tbl>
          <w:p w14:paraId="09738C91">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本项目建设完成后全厂热风炉燃料燃烧废气产排情况如下：</w:t>
            </w:r>
          </w:p>
          <w:p w14:paraId="36F8DDA3">
            <w:pPr>
              <w:keepNext w:val="0"/>
              <w:keepLines w:val="0"/>
              <w:pageBreakBefore w:val="0"/>
              <w:widowControl w:val="0"/>
              <w:kinsoku/>
              <w:wordWrap/>
              <w:overflowPunct/>
              <w:topLinePunct w:val="0"/>
              <w:autoSpaceDE/>
              <w:autoSpaceDN/>
              <w:bidi w:val="0"/>
              <w:adjustRightInd/>
              <w:snapToGrid/>
              <w:spacing w:before="157" w:beforeLines="50" w:line="320" w:lineRule="exact"/>
              <w:jc w:val="center"/>
              <w:textAlignment w:val="auto"/>
              <w:rPr>
                <w:b/>
                <w:bCs/>
                <w:color w:val="auto"/>
                <w:sz w:val="24"/>
                <w:highlight w:val="none"/>
              </w:rPr>
            </w:pPr>
            <w:r>
              <w:rPr>
                <w:b/>
                <w:bCs/>
                <w:color w:val="auto"/>
                <w:highlight w:val="none"/>
              </w:rPr>
              <w:t>表</w:t>
            </w:r>
            <w:r>
              <w:rPr>
                <w:rFonts w:hint="eastAsia"/>
                <w:b/>
                <w:bCs/>
                <w:color w:val="auto"/>
                <w:highlight w:val="none"/>
              </w:rPr>
              <w:t>4</w:t>
            </w:r>
            <w:r>
              <w:rPr>
                <w:b/>
                <w:bCs/>
                <w:color w:val="auto"/>
                <w:highlight w:val="none"/>
              </w:rPr>
              <w:t>-</w:t>
            </w:r>
            <w:r>
              <w:rPr>
                <w:rFonts w:hint="eastAsia"/>
                <w:b/>
                <w:bCs/>
                <w:color w:val="auto"/>
                <w:highlight w:val="none"/>
                <w:lang w:val="en-US" w:eastAsia="zh-CN"/>
              </w:rPr>
              <w:t xml:space="preserve">6  </w:t>
            </w:r>
            <w:r>
              <w:rPr>
                <w:b/>
                <w:bCs/>
                <w:color w:val="auto"/>
                <w:highlight w:val="none"/>
              </w:rPr>
              <w:t>热风炉燃料燃烧废气</w:t>
            </w:r>
            <w:r>
              <w:rPr>
                <w:rFonts w:hint="eastAsia"/>
                <w:b/>
                <w:bCs/>
                <w:color w:val="auto"/>
                <w:highlight w:val="none"/>
                <w:lang w:eastAsia="zh-CN"/>
              </w:rPr>
              <w:t>（</w:t>
            </w:r>
            <w:r>
              <w:rPr>
                <w:rFonts w:hint="eastAsia"/>
                <w:b/>
                <w:bCs/>
                <w:color w:val="auto"/>
                <w:highlight w:val="none"/>
                <w:lang w:val="en-US" w:eastAsia="zh-CN"/>
              </w:rPr>
              <w:t>DA001</w:t>
            </w:r>
            <w:r>
              <w:rPr>
                <w:rFonts w:hint="eastAsia"/>
                <w:b/>
                <w:bCs/>
                <w:color w:val="auto"/>
                <w:highlight w:val="none"/>
                <w:lang w:eastAsia="zh-CN"/>
              </w:rPr>
              <w:t>）</w:t>
            </w:r>
            <w:r>
              <w:rPr>
                <w:b/>
                <w:bCs/>
                <w:color w:val="auto"/>
                <w:highlight w:val="none"/>
              </w:rPr>
              <w:t>排放总量一览表</w:t>
            </w:r>
          </w:p>
          <w:tbl>
            <w:tblPr>
              <w:tblStyle w:val="26"/>
              <w:tblW w:w="4995"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73"/>
              <w:gridCol w:w="860"/>
              <w:gridCol w:w="1157"/>
              <w:gridCol w:w="1254"/>
              <w:gridCol w:w="1062"/>
              <w:gridCol w:w="1154"/>
              <w:gridCol w:w="1154"/>
              <w:gridCol w:w="1159"/>
            </w:tblGrid>
            <w:tr w14:paraId="000E3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restart"/>
                  <w:vAlign w:val="center"/>
                </w:tcPr>
                <w:p w14:paraId="045B81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排气筒</w:t>
                  </w:r>
                </w:p>
              </w:tc>
              <w:tc>
                <w:tcPr>
                  <w:tcW w:w="496" w:type="pct"/>
                  <w:vMerge w:val="restart"/>
                  <w:vAlign w:val="center"/>
                </w:tcPr>
                <w:p w14:paraId="457A84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污染物指标</w:t>
                  </w:r>
                </w:p>
              </w:tc>
              <w:tc>
                <w:tcPr>
                  <w:tcW w:w="2002" w:type="pct"/>
                  <w:gridSpan w:val="3"/>
                  <w:vAlign w:val="center"/>
                </w:tcPr>
                <w:p w14:paraId="0830DC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b/>
                      <w:bCs/>
                      <w:color w:val="auto"/>
                      <w:szCs w:val="21"/>
                      <w:highlight w:val="none"/>
                      <w:lang w:eastAsia="zh-CN"/>
                    </w:rPr>
                  </w:pPr>
                  <w:r>
                    <w:rPr>
                      <w:rFonts w:hint="eastAsia"/>
                      <w:b/>
                      <w:bCs/>
                      <w:color w:val="auto"/>
                      <w:szCs w:val="21"/>
                      <w:highlight w:val="none"/>
                    </w:rPr>
                    <w:t>现有工程</w:t>
                  </w:r>
                  <w:r>
                    <w:rPr>
                      <w:b/>
                      <w:bCs/>
                      <w:color w:val="auto"/>
                      <w:szCs w:val="21"/>
                      <w:highlight w:val="none"/>
                    </w:rPr>
                    <w:t>验收阶段</w:t>
                  </w:r>
                </w:p>
              </w:tc>
              <w:tc>
                <w:tcPr>
                  <w:tcW w:w="1997" w:type="pct"/>
                  <w:gridSpan w:val="3"/>
                  <w:vAlign w:val="center"/>
                </w:tcPr>
                <w:p w14:paraId="5588E6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b/>
                      <w:bCs/>
                      <w:color w:val="auto"/>
                      <w:szCs w:val="21"/>
                      <w:highlight w:val="none"/>
                      <w:lang w:val="en-US" w:eastAsia="zh-CN"/>
                    </w:rPr>
                  </w:pPr>
                  <w:r>
                    <w:rPr>
                      <w:rFonts w:hint="eastAsia"/>
                      <w:b/>
                      <w:bCs/>
                      <w:color w:val="auto"/>
                      <w:szCs w:val="21"/>
                      <w:highlight w:val="none"/>
                      <w:lang w:val="en-US" w:eastAsia="zh-CN"/>
                    </w:rPr>
                    <w:t>全厂排放量</w:t>
                  </w:r>
                </w:p>
              </w:tc>
            </w:tr>
            <w:tr w14:paraId="5E488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continue"/>
                  <w:vAlign w:val="center"/>
                </w:tcPr>
                <w:p w14:paraId="3D3990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p>
              </w:tc>
              <w:tc>
                <w:tcPr>
                  <w:tcW w:w="496" w:type="pct"/>
                  <w:vMerge w:val="continue"/>
                  <w:vAlign w:val="center"/>
                </w:tcPr>
                <w:p w14:paraId="646019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p>
              </w:tc>
              <w:tc>
                <w:tcPr>
                  <w:tcW w:w="667" w:type="pct"/>
                  <w:vAlign w:val="center"/>
                </w:tcPr>
                <w:p w14:paraId="55C515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排放总量（t/a）</w:t>
                  </w:r>
                </w:p>
              </w:tc>
              <w:tc>
                <w:tcPr>
                  <w:tcW w:w="723" w:type="pct"/>
                  <w:vAlign w:val="center"/>
                </w:tcPr>
                <w:p w14:paraId="04E236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排放浓度（mg/m</w:t>
                  </w:r>
                  <w:r>
                    <w:rPr>
                      <w:b/>
                      <w:bCs/>
                      <w:color w:val="auto"/>
                      <w:szCs w:val="21"/>
                      <w:highlight w:val="none"/>
                      <w:vertAlign w:val="superscript"/>
                    </w:rPr>
                    <w:t>3</w:t>
                  </w:r>
                  <w:r>
                    <w:rPr>
                      <w:b/>
                      <w:bCs/>
                      <w:color w:val="auto"/>
                      <w:szCs w:val="21"/>
                      <w:highlight w:val="none"/>
                    </w:rPr>
                    <w:t>）</w:t>
                  </w:r>
                </w:p>
              </w:tc>
              <w:tc>
                <w:tcPr>
                  <w:tcW w:w="611" w:type="pct"/>
                  <w:vAlign w:val="center"/>
                </w:tcPr>
                <w:p w14:paraId="754490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排放速</w:t>
                  </w:r>
                  <w:r>
                    <w:rPr>
                      <w:rFonts w:hint="eastAsia"/>
                      <w:b/>
                      <w:bCs/>
                      <w:color w:val="auto"/>
                      <w:szCs w:val="21"/>
                      <w:highlight w:val="none"/>
                    </w:rPr>
                    <w:t>率</w:t>
                  </w:r>
                  <w:r>
                    <w:rPr>
                      <w:b/>
                      <w:bCs/>
                      <w:color w:val="auto"/>
                      <w:szCs w:val="21"/>
                      <w:highlight w:val="none"/>
                    </w:rPr>
                    <w:t>（kg/h）</w:t>
                  </w:r>
                </w:p>
              </w:tc>
              <w:tc>
                <w:tcPr>
                  <w:tcW w:w="665" w:type="pct"/>
                  <w:vAlign w:val="center"/>
                </w:tcPr>
                <w:p w14:paraId="62749E8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排放总量（t/a）</w:t>
                  </w:r>
                </w:p>
              </w:tc>
              <w:tc>
                <w:tcPr>
                  <w:tcW w:w="665" w:type="pct"/>
                  <w:vAlign w:val="center"/>
                </w:tcPr>
                <w:p w14:paraId="2EF2A3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排放浓度（mg/m</w:t>
                  </w:r>
                  <w:r>
                    <w:rPr>
                      <w:b/>
                      <w:bCs/>
                      <w:color w:val="auto"/>
                      <w:szCs w:val="21"/>
                      <w:highlight w:val="none"/>
                      <w:vertAlign w:val="superscript"/>
                    </w:rPr>
                    <w:t>3</w:t>
                  </w:r>
                  <w:r>
                    <w:rPr>
                      <w:b/>
                      <w:bCs/>
                      <w:color w:val="auto"/>
                      <w:szCs w:val="21"/>
                      <w:highlight w:val="none"/>
                    </w:rPr>
                    <w:t>）</w:t>
                  </w:r>
                </w:p>
              </w:tc>
              <w:tc>
                <w:tcPr>
                  <w:tcW w:w="666" w:type="pct"/>
                  <w:vAlign w:val="center"/>
                </w:tcPr>
                <w:p w14:paraId="2D883A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排放速</w:t>
                  </w:r>
                  <w:r>
                    <w:rPr>
                      <w:rFonts w:hint="eastAsia"/>
                      <w:b/>
                      <w:bCs/>
                      <w:color w:val="auto"/>
                      <w:szCs w:val="21"/>
                      <w:highlight w:val="none"/>
                    </w:rPr>
                    <w:t>率</w:t>
                  </w:r>
                  <w:r>
                    <w:rPr>
                      <w:b/>
                      <w:bCs/>
                      <w:color w:val="auto"/>
                      <w:szCs w:val="21"/>
                      <w:highlight w:val="none"/>
                    </w:rPr>
                    <w:t>（kg/h）</w:t>
                  </w:r>
                </w:p>
              </w:tc>
            </w:tr>
            <w:tr w14:paraId="67664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restart"/>
                  <w:vAlign w:val="center"/>
                </w:tcPr>
                <w:p w14:paraId="208BE1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DA001</w:t>
                  </w:r>
                </w:p>
              </w:tc>
              <w:tc>
                <w:tcPr>
                  <w:tcW w:w="496" w:type="pct"/>
                  <w:vAlign w:val="center"/>
                </w:tcPr>
                <w:p w14:paraId="620EDA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二氧</w:t>
                  </w:r>
                </w:p>
                <w:p w14:paraId="314895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化硫</w:t>
                  </w:r>
                </w:p>
              </w:tc>
              <w:tc>
                <w:tcPr>
                  <w:tcW w:w="667" w:type="pct"/>
                  <w:vAlign w:val="center"/>
                </w:tcPr>
                <w:p w14:paraId="4898E8F6">
                  <w:pPr>
                    <w:spacing w:before="48" w:beforeLines="20"/>
                    <w:jc w:val="center"/>
                    <w:rPr>
                      <w:rFonts w:hint="default" w:eastAsia="宋体"/>
                      <w:color w:val="auto"/>
                      <w:szCs w:val="21"/>
                      <w:highlight w:val="none"/>
                      <w:lang w:val="en-US" w:eastAsia="zh-CN"/>
                    </w:rPr>
                  </w:pPr>
                  <w:r>
                    <w:rPr>
                      <w:rFonts w:hint="eastAsia"/>
                      <w:color w:val="auto"/>
                      <w:szCs w:val="21"/>
                      <w:highlight w:val="none"/>
                      <w:lang w:val="en-US" w:eastAsia="zh-CN"/>
                    </w:rPr>
                    <w:t>0.421</w:t>
                  </w:r>
                </w:p>
              </w:tc>
              <w:tc>
                <w:tcPr>
                  <w:tcW w:w="723" w:type="pct"/>
                  <w:vAlign w:val="center"/>
                </w:tcPr>
                <w:p w14:paraId="2D2DFCF6">
                  <w:pPr>
                    <w:spacing w:before="48" w:beforeLines="20"/>
                    <w:jc w:val="center"/>
                    <w:rPr>
                      <w:rFonts w:hint="default" w:eastAsia="宋体"/>
                      <w:color w:val="auto"/>
                      <w:szCs w:val="21"/>
                      <w:highlight w:val="none"/>
                      <w:lang w:val="en-US" w:eastAsia="zh-CN"/>
                    </w:rPr>
                  </w:pPr>
                  <w:r>
                    <w:rPr>
                      <w:rFonts w:hint="eastAsia"/>
                      <w:color w:val="auto"/>
                      <w:szCs w:val="21"/>
                      <w:highlight w:val="none"/>
                      <w:lang w:val="en-US" w:eastAsia="zh-CN"/>
                    </w:rPr>
                    <w:t>6</w:t>
                  </w:r>
                </w:p>
              </w:tc>
              <w:tc>
                <w:tcPr>
                  <w:tcW w:w="611" w:type="pct"/>
                  <w:vAlign w:val="center"/>
                </w:tcPr>
                <w:p w14:paraId="584E29CE">
                  <w:pPr>
                    <w:spacing w:before="48" w:beforeLines="20"/>
                    <w:jc w:val="center"/>
                    <w:rPr>
                      <w:rFonts w:hint="default" w:eastAsia="宋体"/>
                      <w:color w:val="auto"/>
                      <w:szCs w:val="21"/>
                      <w:highlight w:val="none"/>
                      <w:lang w:val="en-US" w:eastAsia="zh-CN"/>
                    </w:rPr>
                  </w:pPr>
                  <w:r>
                    <w:rPr>
                      <w:rFonts w:hint="eastAsia"/>
                      <w:color w:val="auto"/>
                      <w:szCs w:val="21"/>
                      <w:highlight w:val="none"/>
                      <w:lang w:val="en-US" w:eastAsia="zh-CN"/>
                    </w:rPr>
                    <w:t>0.06</w:t>
                  </w:r>
                </w:p>
              </w:tc>
              <w:tc>
                <w:tcPr>
                  <w:tcW w:w="665" w:type="pct"/>
                  <w:vAlign w:val="center"/>
                </w:tcPr>
                <w:p w14:paraId="49A6A5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0.049</w:t>
                  </w:r>
                </w:p>
              </w:tc>
              <w:tc>
                <w:tcPr>
                  <w:tcW w:w="665" w:type="pct"/>
                  <w:vAlign w:val="center"/>
                </w:tcPr>
                <w:p w14:paraId="193239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2.23</w:t>
                  </w:r>
                </w:p>
              </w:tc>
              <w:tc>
                <w:tcPr>
                  <w:tcW w:w="666" w:type="pct"/>
                  <w:vAlign w:val="center"/>
                </w:tcPr>
                <w:p w14:paraId="36D6BE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0.022</w:t>
                  </w:r>
                </w:p>
              </w:tc>
            </w:tr>
            <w:tr w14:paraId="6F078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continue"/>
                  <w:vAlign w:val="center"/>
                </w:tcPr>
                <w:p w14:paraId="5AC67F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c>
                <w:tcPr>
                  <w:tcW w:w="496" w:type="pct"/>
                  <w:vAlign w:val="center"/>
                </w:tcPr>
                <w:p w14:paraId="0C2134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颗粒物</w:t>
                  </w:r>
                </w:p>
              </w:tc>
              <w:tc>
                <w:tcPr>
                  <w:tcW w:w="667" w:type="pct"/>
                  <w:vAlign w:val="center"/>
                </w:tcPr>
                <w:p w14:paraId="70D70ED2">
                  <w:pPr>
                    <w:spacing w:before="48" w:beforeLines="20"/>
                    <w:jc w:val="center"/>
                    <w:rPr>
                      <w:rFonts w:hint="default" w:eastAsia="宋体"/>
                      <w:color w:val="auto"/>
                      <w:szCs w:val="21"/>
                      <w:highlight w:val="none"/>
                      <w:lang w:val="en-US" w:eastAsia="zh-CN"/>
                    </w:rPr>
                  </w:pPr>
                  <w:r>
                    <w:rPr>
                      <w:rFonts w:hint="eastAsia"/>
                      <w:color w:val="auto"/>
                      <w:szCs w:val="21"/>
                      <w:highlight w:val="none"/>
                      <w:lang w:val="en-US" w:eastAsia="zh-CN"/>
                    </w:rPr>
                    <w:t>0.974</w:t>
                  </w:r>
                </w:p>
              </w:tc>
              <w:tc>
                <w:tcPr>
                  <w:tcW w:w="723" w:type="pct"/>
                  <w:vAlign w:val="center"/>
                </w:tcPr>
                <w:p w14:paraId="0560734C">
                  <w:pPr>
                    <w:spacing w:before="48" w:beforeLines="20"/>
                    <w:jc w:val="center"/>
                    <w:rPr>
                      <w:rFonts w:hint="default" w:eastAsia="宋体"/>
                      <w:color w:val="auto"/>
                      <w:szCs w:val="21"/>
                      <w:highlight w:val="none"/>
                      <w:lang w:val="en-US" w:eastAsia="zh-CN"/>
                    </w:rPr>
                  </w:pPr>
                  <w:r>
                    <w:rPr>
                      <w:rFonts w:hint="eastAsia"/>
                      <w:color w:val="auto"/>
                      <w:szCs w:val="21"/>
                      <w:highlight w:val="none"/>
                      <w:lang w:val="en-US" w:eastAsia="zh-CN"/>
                    </w:rPr>
                    <w:t>13.7</w:t>
                  </w:r>
                </w:p>
              </w:tc>
              <w:tc>
                <w:tcPr>
                  <w:tcW w:w="611" w:type="pct"/>
                  <w:vAlign w:val="center"/>
                </w:tcPr>
                <w:p w14:paraId="6033D864">
                  <w:pPr>
                    <w:spacing w:before="48" w:beforeLines="20"/>
                    <w:jc w:val="center"/>
                    <w:rPr>
                      <w:rFonts w:hint="default" w:eastAsia="宋体"/>
                      <w:color w:val="auto"/>
                      <w:szCs w:val="21"/>
                      <w:highlight w:val="none"/>
                      <w:lang w:val="en-US" w:eastAsia="zh-CN"/>
                    </w:rPr>
                  </w:pPr>
                  <w:r>
                    <w:rPr>
                      <w:rFonts w:hint="eastAsia"/>
                      <w:color w:val="auto"/>
                      <w:szCs w:val="21"/>
                      <w:highlight w:val="none"/>
                      <w:lang w:val="en-US" w:eastAsia="zh-CN"/>
                    </w:rPr>
                    <w:t>0.139</w:t>
                  </w:r>
                </w:p>
              </w:tc>
              <w:tc>
                <w:tcPr>
                  <w:tcW w:w="665" w:type="pct"/>
                  <w:vAlign w:val="center"/>
                </w:tcPr>
                <w:p w14:paraId="40014D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0.113</w:t>
                  </w:r>
                </w:p>
              </w:tc>
              <w:tc>
                <w:tcPr>
                  <w:tcW w:w="665" w:type="pct"/>
                  <w:vAlign w:val="center"/>
                </w:tcPr>
                <w:p w14:paraId="0D06BA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5.14</w:t>
                  </w:r>
                </w:p>
              </w:tc>
              <w:tc>
                <w:tcPr>
                  <w:tcW w:w="666" w:type="pct"/>
                  <w:vAlign w:val="center"/>
                </w:tcPr>
                <w:p w14:paraId="562BF2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0.051</w:t>
                  </w:r>
                </w:p>
              </w:tc>
            </w:tr>
            <w:tr w14:paraId="7A5C6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continue"/>
                  <w:vAlign w:val="center"/>
                </w:tcPr>
                <w:p w14:paraId="0F10DA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c>
                <w:tcPr>
                  <w:tcW w:w="496" w:type="pct"/>
                  <w:vAlign w:val="center"/>
                </w:tcPr>
                <w:p w14:paraId="481F6D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氮氧</w:t>
                  </w:r>
                </w:p>
                <w:p w14:paraId="149A8C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化物</w:t>
                  </w:r>
                </w:p>
              </w:tc>
              <w:tc>
                <w:tcPr>
                  <w:tcW w:w="667" w:type="pct"/>
                  <w:vAlign w:val="center"/>
                </w:tcPr>
                <w:p w14:paraId="081898CD">
                  <w:pPr>
                    <w:spacing w:before="48" w:beforeLines="20"/>
                    <w:jc w:val="center"/>
                    <w:rPr>
                      <w:rFonts w:hint="default" w:eastAsia="宋体"/>
                      <w:color w:val="auto"/>
                      <w:szCs w:val="21"/>
                      <w:highlight w:val="none"/>
                      <w:lang w:val="en-US" w:eastAsia="zh-CN"/>
                    </w:rPr>
                  </w:pPr>
                  <w:r>
                    <w:rPr>
                      <w:rFonts w:hint="eastAsia"/>
                      <w:color w:val="auto"/>
                      <w:szCs w:val="21"/>
                      <w:highlight w:val="none"/>
                      <w:lang w:val="en-US" w:eastAsia="zh-CN"/>
                    </w:rPr>
                    <w:t>2.033</w:t>
                  </w:r>
                </w:p>
              </w:tc>
              <w:tc>
                <w:tcPr>
                  <w:tcW w:w="723" w:type="pct"/>
                  <w:vAlign w:val="center"/>
                </w:tcPr>
                <w:p w14:paraId="32AA9B68">
                  <w:pPr>
                    <w:spacing w:before="48" w:beforeLines="20"/>
                    <w:jc w:val="center"/>
                    <w:rPr>
                      <w:rFonts w:hint="default" w:eastAsia="宋体"/>
                      <w:color w:val="auto"/>
                      <w:szCs w:val="21"/>
                      <w:highlight w:val="none"/>
                      <w:lang w:val="en-US" w:eastAsia="zh-CN"/>
                    </w:rPr>
                  </w:pPr>
                  <w:r>
                    <w:rPr>
                      <w:rFonts w:hint="eastAsia"/>
                      <w:color w:val="auto"/>
                      <w:szCs w:val="21"/>
                      <w:highlight w:val="none"/>
                      <w:lang w:val="en-US" w:eastAsia="zh-CN"/>
                    </w:rPr>
                    <w:t>26</w:t>
                  </w:r>
                </w:p>
              </w:tc>
              <w:tc>
                <w:tcPr>
                  <w:tcW w:w="611" w:type="pct"/>
                  <w:vAlign w:val="center"/>
                </w:tcPr>
                <w:p w14:paraId="5618C1B1">
                  <w:pPr>
                    <w:spacing w:before="48" w:beforeLines="20"/>
                    <w:jc w:val="center"/>
                    <w:rPr>
                      <w:rFonts w:hint="default" w:eastAsia="宋体"/>
                      <w:color w:val="auto"/>
                      <w:szCs w:val="21"/>
                      <w:highlight w:val="none"/>
                      <w:lang w:val="en-US" w:eastAsia="zh-CN"/>
                    </w:rPr>
                  </w:pPr>
                  <w:r>
                    <w:rPr>
                      <w:rFonts w:hint="eastAsia"/>
                      <w:color w:val="auto"/>
                      <w:szCs w:val="21"/>
                      <w:highlight w:val="none"/>
                      <w:lang w:val="en-US" w:eastAsia="zh-CN"/>
                    </w:rPr>
                    <w:t>0.29</w:t>
                  </w:r>
                </w:p>
              </w:tc>
              <w:tc>
                <w:tcPr>
                  <w:tcW w:w="665" w:type="pct"/>
                  <w:vAlign w:val="center"/>
                </w:tcPr>
                <w:p w14:paraId="0ECB86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0.236</w:t>
                  </w:r>
                </w:p>
              </w:tc>
              <w:tc>
                <w:tcPr>
                  <w:tcW w:w="665" w:type="pct"/>
                  <w:vAlign w:val="center"/>
                </w:tcPr>
                <w:p w14:paraId="30E590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10.7</w:t>
                  </w:r>
                </w:p>
              </w:tc>
              <w:tc>
                <w:tcPr>
                  <w:tcW w:w="666" w:type="pct"/>
                  <w:vAlign w:val="center"/>
                </w:tcPr>
                <w:p w14:paraId="71DB05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0.107</w:t>
                  </w:r>
                </w:p>
              </w:tc>
            </w:tr>
            <w:tr w14:paraId="49A7B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continue"/>
                  <w:vAlign w:val="center"/>
                </w:tcPr>
                <w:p w14:paraId="7527F1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c>
                <w:tcPr>
                  <w:tcW w:w="4495" w:type="pct"/>
                  <w:gridSpan w:val="7"/>
                  <w:vAlign w:val="center"/>
                </w:tcPr>
                <w:p w14:paraId="6FBD537A">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eastAsia="宋体"/>
                      <w:color w:val="auto"/>
                      <w:szCs w:val="21"/>
                      <w:highlight w:val="none"/>
                      <w:lang w:val="en-US" w:eastAsia="zh-CN"/>
                    </w:rPr>
                  </w:pPr>
                  <w:r>
                    <w:rPr>
                      <w:rFonts w:hint="default" w:eastAsia="宋体"/>
                      <w:color w:val="auto"/>
                      <w:szCs w:val="21"/>
                      <w:highlight w:val="none"/>
                      <w:lang w:val="en-US" w:eastAsia="zh-CN"/>
                    </w:rPr>
                    <w:t>二氧化硫</w:t>
                  </w:r>
                  <w:r>
                    <w:rPr>
                      <w:rFonts w:hint="eastAsia"/>
                      <w:color w:val="auto"/>
                      <w:szCs w:val="21"/>
                      <w:highlight w:val="none"/>
                      <w:lang w:val="en-US" w:eastAsia="zh-CN"/>
                    </w:rPr>
                    <w:t>、</w:t>
                  </w:r>
                  <w:r>
                    <w:rPr>
                      <w:rFonts w:hint="default" w:eastAsia="宋体"/>
                      <w:color w:val="auto"/>
                      <w:szCs w:val="21"/>
                      <w:highlight w:val="none"/>
                      <w:lang w:val="en-US" w:eastAsia="zh-CN"/>
                    </w:rPr>
                    <w:t>颗粒物</w:t>
                  </w:r>
                  <w:r>
                    <w:rPr>
                      <w:rFonts w:hint="eastAsia"/>
                      <w:color w:val="auto"/>
                      <w:szCs w:val="21"/>
                      <w:highlight w:val="none"/>
                      <w:lang w:val="en-US" w:eastAsia="zh-CN"/>
                    </w:rPr>
                    <w:t>、</w:t>
                  </w:r>
                  <w:r>
                    <w:rPr>
                      <w:rFonts w:hint="default" w:eastAsia="宋体"/>
                      <w:color w:val="auto"/>
                      <w:szCs w:val="21"/>
                      <w:highlight w:val="none"/>
                      <w:lang w:val="en-US" w:eastAsia="zh-CN"/>
                    </w:rPr>
                    <w:t>氮氧化物</w:t>
                  </w:r>
                  <w:r>
                    <w:rPr>
                      <w:rFonts w:hint="eastAsia"/>
                      <w:color w:val="auto"/>
                      <w:szCs w:val="21"/>
                      <w:highlight w:val="none"/>
                      <w:lang w:val="en-US" w:eastAsia="zh-CN"/>
                    </w:rPr>
                    <w:t>类比现有项目监测数据，其按排放量/燃烧量核算，验收期间排放量已按负荷100%计算，其验收期间生产负荷为95%，风机风量为10000m</w:t>
                  </w:r>
                  <w:r>
                    <w:rPr>
                      <w:rFonts w:hint="eastAsia"/>
                      <w:color w:val="auto"/>
                      <w:szCs w:val="21"/>
                      <w:highlight w:val="none"/>
                      <w:vertAlign w:val="superscript"/>
                      <w:lang w:val="en-US" w:eastAsia="zh-CN"/>
                    </w:rPr>
                    <w:t>3</w:t>
                  </w:r>
                  <w:r>
                    <w:rPr>
                      <w:rFonts w:hint="eastAsia"/>
                      <w:color w:val="auto"/>
                      <w:szCs w:val="21"/>
                      <w:highlight w:val="none"/>
                      <w:lang w:val="en-US" w:eastAsia="zh-CN"/>
                    </w:rPr>
                    <w:t>/h。</w:t>
                  </w:r>
                </w:p>
              </w:tc>
            </w:tr>
          </w:tbl>
          <w:p w14:paraId="3333E9E3">
            <w:pPr>
              <w:keepNext w:val="0"/>
              <w:keepLines w:val="0"/>
              <w:pageBreakBefore w:val="0"/>
              <w:widowControl w:val="0"/>
              <w:kinsoku/>
              <w:wordWrap/>
              <w:overflowPunct/>
              <w:topLinePunct w:val="0"/>
              <w:autoSpaceDE/>
              <w:autoSpaceDN/>
              <w:bidi w:val="0"/>
              <w:adjustRightInd/>
              <w:snapToGrid/>
              <w:spacing w:before="157" w:beforeLines="50" w:line="320" w:lineRule="exact"/>
              <w:jc w:val="center"/>
              <w:textAlignment w:val="auto"/>
              <w:rPr>
                <w:b/>
                <w:bCs/>
                <w:color w:val="auto"/>
                <w:sz w:val="24"/>
                <w:highlight w:val="none"/>
              </w:rPr>
            </w:pPr>
            <w:r>
              <w:rPr>
                <w:b/>
                <w:bCs/>
                <w:color w:val="auto"/>
                <w:highlight w:val="none"/>
              </w:rPr>
              <w:t>表</w:t>
            </w:r>
            <w:r>
              <w:rPr>
                <w:rFonts w:hint="eastAsia"/>
                <w:b/>
                <w:bCs/>
                <w:color w:val="auto"/>
                <w:highlight w:val="none"/>
              </w:rPr>
              <w:t>4</w:t>
            </w:r>
            <w:r>
              <w:rPr>
                <w:b/>
                <w:bCs/>
                <w:color w:val="auto"/>
                <w:highlight w:val="none"/>
              </w:rPr>
              <w:t>-</w:t>
            </w:r>
            <w:r>
              <w:rPr>
                <w:rFonts w:hint="eastAsia"/>
                <w:b/>
                <w:bCs/>
                <w:color w:val="auto"/>
                <w:highlight w:val="none"/>
                <w:lang w:val="en-US" w:eastAsia="zh-CN"/>
              </w:rPr>
              <w:t xml:space="preserve">7  </w:t>
            </w:r>
            <w:r>
              <w:rPr>
                <w:b/>
                <w:bCs/>
                <w:color w:val="auto"/>
                <w:highlight w:val="none"/>
              </w:rPr>
              <w:t>热风炉燃料燃烧废气</w:t>
            </w:r>
            <w:r>
              <w:rPr>
                <w:rFonts w:hint="eastAsia"/>
                <w:b/>
                <w:bCs/>
                <w:color w:val="auto"/>
                <w:highlight w:val="none"/>
                <w:lang w:eastAsia="zh-CN"/>
              </w:rPr>
              <w:t>（</w:t>
            </w:r>
            <w:r>
              <w:rPr>
                <w:rFonts w:hint="eastAsia"/>
                <w:b/>
                <w:bCs/>
                <w:color w:val="auto"/>
                <w:highlight w:val="none"/>
                <w:lang w:val="en-US" w:eastAsia="zh-CN"/>
              </w:rPr>
              <w:t>DA002</w:t>
            </w:r>
            <w:r>
              <w:rPr>
                <w:rFonts w:hint="eastAsia"/>
                <w:b/>
                <w:bCs/>
                <w:color w:val="auto"/>
                <w:highlight w:val="none"/>
                <w:lang w:eastAsia="zh-CN"/>
              </w:rPr>
              <w:t>）</w:t>
            </w:r>
            <w:r>
              <w:rPr>
                <w:b/>
                <w:bCs/>
                <w:color w:val="auto"/>
                <w:highlight w:val="none"/>
              </w:rPr>
              <w:t>排放总量一览表</w:t>
            </w:r>
          </w:p>
          <w:tbl>
            <w:tblPr>
              <w:tblStyle w:val="26"/>
              <w:tblW w:w="4995"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73"/>
              <w:gridCol w:w="860"/>
              <w:gridCol w:w="1157"/>
              <w:gridCol w:w="1254"/>
              <w:gridCol w:w="1062"/>
              <w:gridCol w:w="1154"/>
              <w:gridCol w:w="1154"/>
              <w:gridCol w:w="1159"/>
            </w:tblGrid>
            <w:tr w14:paraId="4856D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restart"/>
                  <w:vAlign w:val="center"/>
                </w:tcPr>
                <w:p w14:paraId="704D76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排气筒</w:t>
                  </w:r>
                </w:p>
              </w:tc>
              <w:tc>
                <w:tcPr>
                  <w:tcW w:w="496" w:type="pct"/>
                  <w:vMerge w:val="restart"/>
                  <w:vAlign w:val="center"/>
                </w:tcPr>
                <w:p w14:paraId="681120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污染物指标</w:t>
                  </w:r>
                </w:p>
              </w:tc>
              <w:tc>
                <w:tcPr>
                  <w:tcW w:w="2002" w:type="pct"/>
                  <w:gridSpan w:val="3"/>
                  <w:vAlign w:val="center"/>
                </w:tcPr>
                <w:p w14:paraId="046312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b/>
                      <w:bCs/>
                      <w:color w:val="auto"/>
                      <w:szCs w:val="21"/>
                      <w:highlight w:val="none"/>
                      <w:lang w:val="en-US" w:eastAsia="zh-CN"/>
                    </w:rPr>
                  </w:pPr>
                  <w:r>
                    <w:rPr>
                      <w:rFonts w:hint="eastAsia"/>
                      <w:b/>
                      <w:bCs/>
                      <w:color w:val="auto"/>
                      <w:szCs w:val="21"/>
                      <w:highlight w:val="none"/>
                      <w:lang w:val="en-US" w:eastAsia="zh-CN"/>
                    </w:rPr>
                    <w:t>产生情况</w:t>
                  </w:r>
                </w:p>
              </w:tc>
              <w:tc>
                <w:tcPr>
                  <w:tcW w:w="1997" w:type="pct"/>
                  <w:gridSpan w:val="3"/>
                  <w:vAlign w:val="center"/>
                </w:tcPr>
                <w:p w14:paraId="440860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b/>
                      <w:bCs/>
                      <w:color w:val="auto"/>
                      <w:szCs w:val="21"/>
                      <w:highlight w:val="none"/>
                      <w:lang w:val="en-US" w:eastAsia="zh-CN"/>
                    </w:rPr>
                  </w:pPr>
                  <w:r>
                    <w:rPr>
                      <w:rFonts w:hint="eastAsia"/>
                      <w:b/>
                      <w:bCs/>
                      <w:color w:val="auto"/>
                      <w:szCs w:val="21"/>
                      <w:highlight w:val="none"/>
                      <w:lang w:val="en-US" w:eastAsia="zh-CN"/>
                    </w:rPr>
                    <w:t>排放情况</w:t>
                  </w:r>
                </w:p>
              </w:tc>
            </w:tr>
            <w:tr w14:paraId="14E21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continue"/>
                  <w:vAlign w:val="center"/>
                </w:tcPr>
                <w:p w14:paraId="5190A1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p>
              </w:tc>
              <w:tc>
                <w:tcPr>
                  <w:tcW w:w="496" w:type="pct"/>
                  <w:vMerge w:val="continue"/>
                  <w:vAlign w:val="center"/>
                </w:tcPr>
                <w:p w14:paraId="4BD4D49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p>
              </w:tc>
              <w:tc>
                <w:tcPr>
                  <w:tcW w:w="667" w:type="pct"/>
                  <w:vAlign w:val="center"/>
                </w:tcPr>
                <w:p w14:paraId="0FEAC0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排放总量（t/a）</w:t>
                  </w:r>
                </w:p>
              </w:tc>
              <w:tc>
                <w:tcPr>
                  <w:tcW w:w="723" w:type="pct"/>
                  <w:vAlign w:val="center"/>
                </w:tcPr>
                <w:p w14:paraId="6D73FC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排放浓度（mg/m</w:t>
                  </w:r>
                  <w:r>
                    <w:rPr>
                      <w:b/>
                      <w:bCs/>
                      <w:color w:val="auto"/>
                      <w:szCs w:val="21"/>
                      <w:highlight w:val="none"/>
                      <w:vertAlign w:val="superscript"/>
                    </w:rPr>
                    <w:t>3</w:t>
                  </w:r>
                  <w:r>
                    <w:rPr>
                      <w:b/>
                      <w:bCs/>
                      <w:color w:val="auto"/>
                      <w:szCs w:val="21"/>
                      <w:highlight w:val="none"/>
                    </w:rPr>
                    <w:t>）</w:t>
                  </w:r>
                </w:p>
              </w:tc>
              <w:tc>
                <w:tcPr>
                  <w:tcW w:w="611" w:type="pct"/>
                  <w:vAlign w:val="center"/>
                </w:tcPr>
                <w:p w14:paraId="69CD36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排放速</w:t>
                  </w:r>
                  <w:r>
                    <w:rPr>
                      <w:rFonts w:hint="eastAsia"/>
                      <w:b/>
                      <w:bCs/>
                      <w:color w:val="auto"/>
                      <w:szCs w:val="21"/>
                      <w:highlight w:val="none"/>
                    </w:rPr>
                    <w:t>率</w:t>
                  </w:r>
                  <w:r>
                    <w:rPr>
                      <w:b/>
                      <w:bCs/>
                      <w:color w:val="auto"/>
                      <w:szCs w:val="21"/>
                      <w:highlight w:val="none"/>
                    </w:rPr>
                    <w:t>（kg/h）</w:t>
                  </w:r>
                </w:p>
              </w:tc>
              <w:tc>
                <w:tcPr>
                  <w:tcW w:w="665" w:type="pct"/>
                  <w:vAlign w:val="center"/>
                </w:tcPr>
                <w:p w14:paraId="7DA82C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排放总量（t/a）</w:t>
                  </w:r>
                </w:p>
              </w:tc>
              <w:tc>
                <w:tcPr>
                  <w:tcW w:w="665" w:type="pct"/>
                  <w:vAlign w:val="center"/>
                </w:tcPr>
                <w:p w14:paraId="3EA78D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排放浓度（mg/m</w:t>
                  </w:r>
                  <w:r>
                    <w:rPr>
                      <w:b/>
                      <w:bCs/>
                      <w:color w:val="auto"/>
                      <w:szCs w:val="21"/>
                      <w:highlight w:val="none"/>
                      <w:vertAlign w:val="superscript"/>
                    </w:rPr>
                    <w:t>3</w:t>
                  </w:r>
                  <w:r>
                    <w:rPr>
                      <w:b/>
                      <w:bCs/>
                      <w:color w:val="auto"/>
                      <w:szCs w:val="21"/>
                      <w:highlight w:val="none"/>
                    </w:rPr>
                    <w:t>）</w:t>
                  </w:r>
                </w:p>
              </w:tc>
              <w:tc>
                <w:tcPr>
                  <w:tcW w:w="666" w:type="pct"/>
                  <w:vAlign w:val="center"/>
                </w:tcPr>
                <w:p w14:paraId="215F920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排放速</w:t>
                  </w:r>
                  <w:r>
                    <w:rPr>
                      <w:rFonts w:hint="eastAsia"/>
                      <w:b/>
                      <w:bCs/>
                      <w:color w:val="auto"/>
                      <w:szCs w:val="21"/>
                      <w:highlight w:val="none"/>
                    </w:rPr>
                    <w:t>率</w:t>
                  </w:r>
                  <w:r>
                    <w:rPr>
                      <w:b/>
                      <w:bCs/>
                      <w:color w:val="auto"/>
                      <w:szCs w:val="21"/>
                      <w:highlight w:val="none"/>
                    </w:rPr>
                    <w:t>（kg/h）</w:t>
                  </w:r>
                </w:p>
              </w:tc>
            </w:tr>
            <w:tr w14:paraId="66AD5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restart"/>
                  <w:shd w:val="clear" w:color="auto" w:fill="auto"/>
                  <w:vAlign w:val="center"/>
                </w:tcPr>
                <w:p w14:paraId="295E50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r>
                    <w:rPr>
                      <w:color w:val="auto"/>
                      <w:szCs w:val="21"/>
                      <w:highlight w:val="none"/>
                    </w:rPr>
                    <w:t>DA002</w:t>
                  </w:r>
                </w:p>
              </w:tc>
              <w:tc>
                <w:tcPr>
                  <w:tcW w:w="496" w:type="pct"/>
                  <w:shd w:val="clear" w:color="auto" w:fill="auto"/>
                  <w:vAlign w:val="center"/>
                </w:tcPr>
                <w:p w14:paraId="70E220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二氧</w:t>
                  </w:r>
                </w:p>
                <w:p w14:paraId="73C44F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r>
                    <w:rPr>
                      <w:color w:val="auto"/>
                      <w:szCs w:val="21"/>
                      <w:highlight w:val="none"/>
                    </w:rPr>
                    <w:t>化硫</w:t>
                  </w:r>
                </w:p>
              </w:tc>
              <w:tc>
                <w:tcPr>
                  <w:tcW w:w="667" w:type="pct"/>
                  <w:shd w:val="clear" w:color="auto" w:fill="auto"/>
                  <w:vAlign w:val="center"/>
                </w:tcPr>
                <w:p w14:paraId="2E1BAC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35.63</w:t>
                  </w:r>
                </w:p>
              </w:tc>
              <w:tc>
                <w:tcPr>
                  <w:tcW w:w="723" w:type="pct"/>
                  <w:shd w:val="clear" w:color="auto" w:fill="auto"/>
                  <w:vAlign w:val="center"/>
                </w:tcPr>
                <w:p w14:paraId="55C231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262.2</w:t>
                  </w:r>
                </w:p>
              </w:tc>
              <w:tc>
                <w:tcPr>
                  <w:tcW w:w="611" w:type="pct"/>
                  <w:shd w:val="clear" w:color="auto" w:fill="auto"/>
                  <w:vAlign w:val="center"/>
                </w:tcPr>
                <w:p w14:paraId="097E5B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4.46</w:t>
                  </w:r>
                </w:p>
              </w:tc>
              <w:tc>
                <w:tcPr>
                  <w:tcW w:w="665" w:type="pct"/>
                  <w:shd w:val="clear" w:color="auto" w:fill="auto"/>
                  <w:vAlign w:val="center"/>
                </w:tcPr>
                <w:p w14:paraId="5F6B91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10.69</w:t>
                  </w:r>
                </w:p>
              </w:tc>
              <w:tc>
                <w:tcPr>
                  <w:tcW w:w="665" w:type="pct"/>
                  <w:shd w:val="clear" w:color="auto" w:fill="auto"/>
                  <w:vAlign w:val="center"/>
                </w:tcPr>
                <w:p w14:paraId="6F3517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78.7</w:t>
                  </w:r>
                </w:p>
              </w:tc>
              <w:tc>
                <w:tcPr>
                  <w:tcW w:w="666" w:type="pct"/>
                  <w:shd w:val="clear" w:color="auto" w:fill="auto"/>
                  <w:vAlign w:val="center"/>
                </w:tcPr>
                <w:p w14:paraId="7170B3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1.34</w:t>
                  </w:r>
                </w:p>
              </w:tc>
            </w:tr>
            <w:tr w14:paraId="619C9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continue"/>
                  <w:vAlign w:val="center"/>
                </w:tcPr>
                <w:p w14:paraId="378557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p>
              </w:tc>
              <w:tc>
                <w:tcPr>
                  <w:tcW w:w="496" w:type="pct"/>
                  <w:shd w:val="clear" w:color="auto" w:fill="auto"/>
                  <w:vAlign w:val="center"/>
                </w:tcPr>
                <w:p w14:paraId="162BFE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r>
                    <w:rPr>
                      <w:color w:val="auto"/>
                      <w:szCs w:val="21"/>
                      <w:highlight w:val="none"/>
                    </w:rPr>
                    <w:t>颗粒物</w:t>
                  </w:r>
                </w:p>
              </w:tc>
              <w:tc>
                <w:tcPr>
                  <w:tcW w:w="667" w:type="pct"/>
                  <w:shd w:val="clear" w:color="auto" w:fill="auto"/>
                  <w:vAlign w:val="center"/>
                </w:tcPr>
                <w:p w14:paraId="624C20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23.05</w:t>
                  </w:r>
                </w:p>
              </w:tc>
              <w:tc>
                <w:tcPr>
                  <w:tcW w:w="723" w:type="pct"/>
                  <w:shd w:val="clear" w:color="auto" w:fill="auto"/>
                  <w:vAlign w:val="center"/>
                </w:tcPr>
                <w:p w14:paraId="61A22B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169.7</w:t>
                  </w:r>
                </w:p>
              </w:tc>
              <w:tc>
                <w:tcPr>
                  <w:tcW w:w="611" w:type="pct"/>
                  <w:shd w:val="clear" w:color="auto" w:fill="auto"/>
                  <w:vAlign w:val="center"/>
                </w:tcPr>
                <w:p w14:paraId="508102F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2.88</w:t>
                  </w:r>
                </w:p>
              </w:tc>
              <w:tc>
                <w:tcPr>
                  <w:tcW w:w="665" w:type="pct"/>
                  <w:shd w:val="clear" w:color="auto" w:fill="auto"/>
                  <w:vAlign w:val="center"/>
                </w:tcPr>
                <w:p w14:paraId="2BD62C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0.461</w:t>
                  </w:r>
                </w:p>
              </w:tc>
              <w:tc>
                <w:tcPr>
                  <w:tcW w:w="665" w:type="pct"/>
                  <w:shd w:val="clear" w:color="auto" w:fill="auto"/>
                  <w:vAlign w:val="center"/>
                </w:tcPr>
                <w:p w14:paraId="5CE91C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12.3</w:t>
                  </w:r>
                </w:p>
              </w:tc>
              <w:tc>
                <w:tcPr>
                  <w:tcW w:w="666" w:type="pct"/>
                  <w:shd w:val="clear" w:color="auto" w:fill="auto"/>
                  <w:vAlign w:val="center"/>
                </w:tcPr>
                <w:p w14:paraId="0EAB19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0.210</w:t>
                  </w:r>
                </w:p>
              </w:tc>
            </w:tr>
            <w:tr w14:paraId="7726F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continue"/>
                  <w:vAlign w:val="center"/>
                </w:tcPr>
                <w:p w14:paraId="1B9AE0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p>
              </w:tc>
              <w:tc>
                <w:tcPr>
                  <w:tcW w:w="496" w:type="pct"/>
                  <w:shd w:val="clear" w:color="auto" w:fill="auto"/>
                  <w:vAlign w:val="center"/>
                </w:tcPr>
                <w:p w14:paraId="20AB941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氮氧</w:t>
                  </w:r>
                </w:p>
                <w:p w14:paraId="774AA7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r>
                    <w:rPr>
                      <w:color w:val="auto"/>
                      <w:szCs w:val="21"/>
                      <w:highlight w:val="none"/>
                    </w:rPr>
                    <w:t>化物</w:t>
                  </w:r>
                </w:p>
              </w:tc>
              <w:tc>
                <w:tcPr>
                  <w:tcW w:w="667" w:type="pct"/>
                  <w:shd w:val="clear" w:color="auto" w:fill="auto"/>
                  <w:vAlign w:val="center"/>
                </w:tcPr>
                <w:p w14:paraId="36C282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2.18</w:t>
                  </w:r>
                </w:p>
              </w:tc>
              <w:tc>
                <w:tcPr>
                  <w:tcW w:w="723" w:type="pct"/>
                  <w:shd w:val="clear" w:color="auto" w:fill="auto"/>
                  <w:vAlign w:val="center"/>
                </w:tcPr>
                <w:p w14:paraId="35D0C8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16.05</w:t>
                  </w:r>
                </w:p>
              </w:tc>
              <w:tc>
                <w:tcPr>
                  <w:tcW w:w="611" w:type="pct"/>
                  <w:shd w:val="clear" w:color="auto" w:fill="auto"/>
                  <w:vAlign w:val="center"/>
                </w:tcPr>
                <w:p w14:paraId="53E9D8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olor w:val="auto"/>
                      <w:kern w:val="0"/>
                      <w:szCs w:val="21"/>
                      <w:highlight w:val="none"/>
                      <w:lang w:val="en-US" w:eastAsia="zh-CN"/>
                    </w:rPr>
                    <w:t>0.273</w:t>
                  </w:r>
                </w:p>
              </w:tc>
              <w:tc>
                <w:tcPr>
                  <w:tcW w:w="665" w:type="pct"/>
                  <w:shd w:val="clear" w:color="auto" w:fill="auto"/>
                  <w:vAlign w:val="center"/>
                </w:tcPr>
                <w:p w14:paraId="0C98BA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1.738</w:t>
                  </w:r>
                </w:p>
              </w:tc>
              <w:tc>
                <w:tcPr>
                  <w:tcW w:w="665" w:type="pct"/>
                  <w:shd w:val="clear" w:color="auto" w:fill="auto"/>
                  <w:vAlign w:val="center"/>
                </w:tcPr>
                <w:p w14:paraId="08B2359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12.8</w:t>
                  </w:r>
                </w:p>
              </w:tc>
              <w:tc>
                <w:tcPr>
                  <w:tcW w:w="666" w:type="pct"/>
                  <w:shd w:val="clear" w:color="auto" w:fill="auto"/>
                  <w:vAlign w:val="center"/>
                </w:tcPr>
                <w:p w14:paraId="699335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0.217</w:t>
                  </w:r>
                </w:p>
              </w:tc>
            </w:tr>
            <w:tr w14:paraId="378AA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00" w:type="pct"/>
                  <w:gridSpan w:val="8"/>
                  <w:vAlign w:val="center"/>
                </w:tcPr>
                <w:p w14:paraId="3548FFB9">
                  <w:pPr>
                    <w:keepNext w:val="0"/>
                    <w:keepLines w:val="0"/>
                    <w:pageBreakBefore w:val="0"/>
                    <w:widowControl w:val="0"/>
                    <w:kinsoku/>
                    <w:wordWrap/>
                    <w:overflowPunct/>
                    <w:topLinePunct w:val="0"/>
                    <w:autoSpaceDE/>
                    <w:autoSpaceDN/>
                    <w:bidi w:val="0"/>
                    <w:adjustRightInd/>
                    <w:snapToGrid/>
                    <w:spacing w:line="320" w:lineRule="exact"/>
                    <w:jc w:val="left"/>
                    <w:textAlignment w:val="auto"/>
                    <w:rPr>
                      <w:b/>
                      <w:bCs/>
                      <w:color w:val="auto"/>
                      <w:szCs w:val="21"/>
                      <w:highlight w:val="none"/>
                    </w:rPr>
                  </w:pPr>
                  <w:r>
                    <w:rPr>
                      <w:rFonts w:hint="eastAsia"/>
                      <w:color w:val="auto"/>
                      <w:szCs w:val="21"/>
                      <w:highlight w:val="none"/>
                    </w:rPr>
                    <w:t>参照排放源统计调查产排污核算方法和系数手册》（生态环境部公告2021年第24号，2021年6月9日实施）中《4430工业锅炉（热力生产和供应行业）产污系数表》核算</w:t>
                  </w:r>
                  <w:r>
                    <w:rPr>
                      <w:rFonts w:hint="eastAsia"/>
                      <w:color w:val="auto"/>
                      <w:szCs w:val="21"/>
                      <w:highlight w:val="none"/>
                      <w:lang w:eastAsia="zh-CN"/>
                    </w:rPr>
                    <w:t>；</w:t>
                  </w:r>
                  <w:r>
                    <w:rPr>
                      <w:rFonts w:hint="eastAsia"/>
                      <w:color w:val="auto"/>
                      <w:szCs w:val="21"/>
                      <w:highlight w:val="none"/>
                      <w:lang w:val="en-US" w:eastAsia="zh-CN"/>
                    </w:rPr>
                    <w:t>风机风量为17000m</w:t>
                  </w:r>
                  <w:r>
                    <w:rPr>
                      <w:rFonts w:hint="eastAsia"/>
                      <w:color w:val="auto"/>
                      <w:szCs w:val="21"/>
                      <w:highlight w:val="none"/>
                      <w:vertAlign w:val="superscript"/>
                      <w:lang w:val="en-US" w:eastAsia="zh-CN"/>
                    </w:rPr>
                    <w:t>3</w:t>
                  </w:r>
                  <w:r>
                    <w:rPr>
                      <w:rFonts w:hint="eastAsia"/>
                      <w:color w:val="auto"/>
                      <w:szCs w:val="21"/>
                      <w:highlight w:val="none"/>
                      <w:lang w:val="en-US" w:eastAsia="zh-CN"/>
                    </w:rPr>
                    <w:t>/h。</w:t>
                  </w:r>
                </w:p>
              </w:tc>
            </w:tr>
          </w:tbl>
          <w:p w14:paraId="1C64B0F7">
            <w:pPr>
              <w:keepNext w:val="0"/>
              <w:keepLines w:val="0"/>
              <w:pageBreakBefore w:val="0"/>
              <w:kinsoku/>
              <w:wordWrap/>
              <w:overflowPunct/>
              <w:topLinePunct w:val="0"/>
              <w:autoSpaceDE/>
              <w:autoSpaceDN/>
              <w:bidi w:val="0"/>
              <w:adjustRightInd/>
              <w:spacing w:line="440" w:lineRule="exact"/>
              <w:ind w:firstLine="480" w:firstLineChars="200"/>
              <w:textAlignment w:val="auto"/>
              <w:rPr>
                <w:color w:val="auto"/>
                <w:sz w:val="24"/>
                <w:highlight w:val="none"/>
              </w:rPr>
            </w:pPr>
            <w:r>
              <w:rPr>
                <w:rFonts w:hint="eastAsia"/>
                <w:color w:val="auto"/>
                <w:sz w:val="24"/>
                <w:highlight w:val="none"/>
                <w:lang w:val="en-US" w:eastAsia="zh-CN"/>
              </w:rPr>
              <w:t>综上所述，本项目</w:t>
            </w:r>
            <w:r>
              <w:rPr>
                <w:rFonts w:hint="eastAsia"/>
                <w:color w:val="auto"/>
                <w:sz w:val="24"/>
                <w:highlight w:val="none"/>
              </w:rPr>
              <w:t>改扩建</w:t>
            </w:r>
            <w:r>
              <w:rPr>
                <w:rFonts w:hint="eastAsia"/>
                <w:color w:val="auto"/>
                <w:sz w:val="24"/>
                <w:highlight w:val="none"/>
                <w:lang w:val="en-US" w:eastAsia="zh-CN"/>
              </w:rPr>
              <w:t>完成</w:t>
            </w:r>
            <w:r>
              <w:rPr>
                <w:rFonts w:hint="eastAsia"/>
                <w:color w:val="auto"/>
                <w:sz w:val="24"/>
                <w:highlight w:val="none"/>
              </w:rPr>
              <w:t>后</w:t>
            </w:r>
            <w:r>
              <w:rPr>
                <w:rFonts w:hint="eastAsia"/>
                <w:color w:val="auto"/>
                <w:sz w:val="24"/>
                <w:highlight w:val="none"/>
                <w:lang w:val="en-US" w:eastAsia="zh-CN"/>
              </w:rPr>
              <w:t>全厂</w:t>
            </w:r>
            <w:r>
              <w:rPr>
                <w:rFonts w:hint="eastAsia"/>
                <w:color w:val="auto"/>
                <w:sz w:val="24"/>
                <w:highlight w:val="none"/>
              </w:rPr>
              <w:t>热风炉燃料燃烧废气</w:t>
            </w:r>
            <w:r>
              <w:rPr>
                <w:rFonts w:hint="eastAsia"/>
                <w:color w:val="auto"/>
                <w:sz w:val="24"/>
                <w:highlight w:val="none"/>
                <w:lang w:val="en-US" w:eastAsia="zh-CN"/>
              </w:rPr>
              <w:t>各污染物排放总量</w:t>
            </w:r>
            <w:r>
              <w:rPr>
                <w:rFonts w:hint="eastAsia"/>
                <w:color w:val="auto"/>
                <w:sz w:val="24"/>
                <w:highlight w:val="none"/>
              </w:rPr>
              <w:t>大幅减少，且无新增污染因子，因此</w:t>
            </w:r>
            <w:r>
              <w:rPr>
                <w:rFonts w:hint="eastAsia"/>
                <w:bCs/>
                <w:color w:val="auto"/>
                <w:sz w:val="24"/>
                <w:highlight w:val="none"/>
              </w:rPr>
              <w:t>继续沿用现有措施可行。</w:t>
            </w:r>
          </w:p>
          <w:p w14:paraId="7B9D4977">
            <w:pPr>
              <w:keepNext w:val="0"/>
              <w:keepLines w:val="0"/>
              <w:pageBreakBefore w:val="0"/>
              <w:kinsoku/>
              <w:wordWrap/>
              <w:overflowPunct/>
              <w:topLinePunct w:val="0"/>
              <w:autoSpaceDE/>
              <w:autoSpaceDN/>
              <w:bidi w:val="0"/>
              <w:adjustRightInd/>
              <w:spacing w:line="440" w:lineRule="exact"/>
              <w:ind w:firstLine="482" w:firstLineChars="200"/>
              <w:textAlignment w:val="auto"/>
              <w:rPr>
                <w:rFonts w:hint="eastAsia"/>
                <w:b/>
                <w:bCs/>
                <w:color w:val="auto"/>
                <w:sz w:val="24"/>
                <w:highlight w:val="none"/>
              </w:rPr>
            </w:pPr>
            <w:r>
              <w:rPr>
                <w:rFonts w:hint="eastAsia"/>
                <w:b/>
                <w:bCs/>
                <w:color w:val="auto"/>
                <w:sz w:val="24"/>
                <w:highlight w:val="none"/>
              </w:rPr>
              <w:t>②粉碎机粉尘</w:t>
            </w:r>
          </w:p>
          <w:p w14:paraId="34955F7F">
            <w:pPr>
              <w:keepNext w:val="0"/>
              <w:keepLines w:val="0"/>
              <w:pageBreakBefore w:val="0"/>
              <w:kinsoku/>
              <w:wordWrap/>
              <w:overflowPunct/>
              <w:topLinePunct w:val="0"/>
              <w:autoSpaceDE/>
              <w:autoSpaceDN/>
              <w:bidi w:val="0"/>
              <w:adjustRightInd/>
              <w:spacing w:line="440" w:lineRule="exact"/>
              <w:ind w:firstLine="480" w:firstLineChars="200"/>
              <w:textAlignment w:val="auto"/>
              <w:rPr>
                <w:rFonts w:hint="eastAsia"/>
                <w:color w:val="auto"/>
                <w:sz w:val="24"/>
                <w:highlight w:val="none"/>
              </w:rPr>
            </w:pPr>
            <w:r>
              <w:rPr>
                <w:rFonts w:hint="eastAsia"/>
                <w:color w:val="auto"/>
                <w:sz w:val="24"/>
                <w:highlight w:val="none"/>
              </w:rPr>
              <w:t>根据《排放源统计调查产排污核算方法和系数手册》（生态环境部公告2021年第24号，2021年6月9日实施）中《132饲料加工行业系数表》，配合饲料（＜10万吨/年）的粉碎工序颗粒物产污系数为0.043千克/吨-产品，项目产品</w:t>
            </w:r>
            <w:r>
              <w:rPr>
                <w:rFonts w:hint="eastAsia"/>
                <w:color w:val="auto"/>
                <w:sz w:val="24"/>
                <w:highlight w:val="none"/>
                <w:lang w:val="en-US" w:eastAsia="zh-CN"/>
              </w:rPr>
              <w:t>3600</w:t>
            </w:r>
            <w:r>
              <w:rPr>
                <w:rFonts w:hint="eastAsia"/>
                <w:color w:val="auto"/>
                <w:sz w:val="24"/>
                <w:highlight w:val="none"/>
              </w:rPr>
              <w:t>t/a，则颗粒物产生量为</w:t>
            </w:r>
            <w:r>
              <w:rPr>
                <w:rFonts w:hint="eastAsia"/>
                <w:color w:val="auto"/>
                <w:sz w:val="24"/>
                <w:highlight w:val="none"/>
                <w:lang w:val="en-US" w:eastAsia="zh-CN"/>
              </w:rPr>
              <w:t>0.155</w:t>
            </w:r>
            <w:r>
              <w:rPr>
                <w:rFonts w:hint="eastAsia"/>
                <w:color w:val="auto"/>
                <w:sz w:val="24"/>
                <w:highlight w:val="none"/>
              </w:rPr>
              <w:t>t/a。粉碎颗粒物经布袋除尘器与二级烘干废气一起经15m高排气筒（DA002）排放，袋式除尘器去除效率95%，水膜喷淋除尘去除效率87%，二级烘干风机风量为</w:t>
            </w:r>
            <w:r>
              <w:rPr>
                <w:rFonts w:hint="eastAsia"/>
                <w:color w:val="auto"/>
                <w:sz w:val="24"/>
                <w:highlight w:val="none"/>
                <w:lang w:val="en-US" w:eastAsia="zh-CN"/>
              </w:rPr>
              <w:t>17</w:t>
            </w:r>
            <w:r>
              <w:rPr>
                <w:rFonts w:hint="eastAsia"/>
                <w:color w:val="auto"/>
                <w:sz w:val="24"/>
                <w:highlight w:val="none"/>
              </w:rPr>
              <w:t>000m</w:t>
            </w:r>
            <w:r>
              <w:rPr>
                <w:rFonts w:hint="eastAsia"/>
                <w:color w:val="auto"/>
                <w:sz w:val="24"/>
                <w:highlight w:val="none"/>
                <w:vertAlign w:val="superscript"/>
              </w:rPr>
              <w:t>3</w:t>
            </w:r>
            <w:r>
              <w:rPr>
                <w:rFonts w:hint="eastAsia"/>
                <w:color w:val="auto"/>
                <w:sz w:val="24"/>
                <w:highlight w:val="none"/>
              </w:rPr>
              <w:t>/h，则排放量为</w:t>
            </w:r>
            <w:r>
              <w:rPr>
                <w:rFonts w:hint="eastAsia"/>
                <w:color w:val="auto"/>
                <w:sz w:val="24"/>
                <w:highlight w:val="none"/>
                <w:lang w:val="en-US" w:eastAsia="zh-CN"/>
              </w:rPr>
              <w:t>0.001</w:t>
            </w:r>
            <w:r>
              <w:rPr>
                <w:rFonts w:hint="eastAsia"/>
                <w:color w:val="auto"/>
                <w:sz w:val="24"/>
                <w:highlight w:val="none"/>
              </w:rPr>
              <w:t>t/a，0.00</w:t>
            </w:r>
            <w:r>
              <w:rPr>
                <w:rFonts w:hint="eastAsia"/>
                <w:color w:val="auto"/>
                <w:sz w:val="24"/>
                <w:highlight w:val="none"/>
                <w:lang w:val="en-US" w:eastAsia="zh-CN"/>
              </w:rPr>
              <w:t>05</w:t>
            </w:r>
            <w:r>
              <w:rPr>
                <w:rFonts w:hint="eastAsia"/>
                <w:color w:val="auto"/>
                <w:sz w:val="24"/>
                <w:highlight w:val="none"/>
              </w:rPr>
              <w:t>kg/h，</w:t>
            </w:r>
            <w:r>
              <w:rPr>
                <w:rFonts w:hint="eastAsia"/>
                <w:color w:val="auto"/>
                <w:sz w:val="24"/>
                <w:highlight w:val="none"/>
                <w:lang w:val="en-US" w:eastAsia="zh-CN"/>
              </w:rPr>
              <w:t>0.027</w:t>
            </w:r>
            <w:r>
              <w:rPr>
                <w:rFonts w:hint="eastAsia"/>
                <w:color w:val="auto"/>
                <w:sz w:val="24"/>
                <w:highlight w:val="none"/>
              </w:rPr>
              <w:t>mg/m</w:t>
            </w:r>
            <w:r>
              <w:rPr>
                <w:rFonts w:hint="eastAsia"/>
                <w:color w:val="auto"/>
                <w:sz w:val="24"/>
                <w:highlight w:val="none"/>
                <w:vertAlign w:val="superscript"/>
              </w:rPr>
              <w:t>3</w:t>
            </w:r>
            <w:r>
              <w:rPr>
                <w:rFonts w:hint="eastAsia"/>
                <w:color w:val="auto"/>
                <w:sz w:val="24"/>
                <w:highlight w:val="none"/>
              </w:rPr>
              <w:t>。</w:t>
            </w:r>
          </w:p>
          <w:p w14:paraId="2F56EE94">
            <w:pPr>
              <w:keepNext w:val="0"/>
              <w:keepLines w:val="0"/>
              <w:pageBreakBefore w:val="0"/>
              <w:kinsoku/>
              <w:wordWrap/>
              <w:overflowPunct/>
              <w:topLinePunct w:val="0"/>
              <w:autoSpaceDE/>
              <w:autoSpaceDN/>
              <w:bidi w:val="0"/>
              <w:adjustRightInd/>
              <w:spacing w:line="440" w:lineRule="exact"/>
              <w:ind w:firstLine="480" w:firstLineChars="200"/>
              <w:textAlignment w:val="auto"/>
              <w:rPr>
                <w:color w:val="auto"/>
                <w:sz w:val="24"/>
                <w:highlight w:val="none"/>
              </w:rPr>
            </w:pPr>
            <w:r>
              <w:rPr>
                <w:rFonts w:hint="eastAsia"/>
                <w:color w:val="auto"/>
                <w:sz w:val="24"/>
                <w:highlight w:val="none"/>
              </w:rPr>
              <w:t>改扩建后</w:t>
            </w:r>
            <w:r>
              <w:rPr>
                <w:rFonts w:hint="eastAsia"/>
                <w:color w:val="auto"/>
                <w:sz w:val="24"/>
                <w:highlight w:val="none"/>
                <w:lang w:val="en-US" w:eastAsia="zh-CN"/>
              </w:rPr>
              <w:t>需粉碎的物料</w:t>
            </w:r>
            <w:r>
              <w:rPr>
                <w:rFonts w:hint="eastAsia"/>
                <w:color w:val="auto"/>
                <w:sz w:val="24"/>
                <w:highlight w:val="none"/>
              </w:rPr>
              <w:t>大幅减少，且</w:t>
            </w:r>
            <w:r>
              <w:rPr>
                <w:rFonts w:hint="eastAsia"/>
                <w:color w:val="auto"/>
                <w:sz w:val="24"/>
                <w:highlight w:val="none"/>
                <w:lang w:val="en-US" w:eastAsia="zh-CN"/>
              </w:rPr>
              <w:t>粉碎废气</w:t>
            </w:r>
            <w:r>
              <w:rPr>
                <w:rFonts w:hint="eastAsia"/>
                <w:color w:val="auto"/>
                <w:sz w:val="24"/>
                <w:highlight w:val="none"/>
              </w:rPr>
              <w:t>无新增污染因子，因此</w:t>
            </w:r>
            <w:r>
              <w:rPr>
                <w:rFonts w:hint="eastAsia"/>
                <w:bCs/>
                <w:color w:val="auto"/>
                <w:sz w:val="24"/>
                <w:highlight w:val="none"/>
              </w:rPr>
              <w:t>继续沿用现有措施可行。</w:t>
            </w:r>
          </w:p>
          <w:p w14:paraId="4CB3E5EB">
            <w:pPr>
              <w:keepNext w:val="0"/>
              <w:keepLines w:val="0"/>
              <w:pageBreakBefore w:val="0"/>
              <w:kinsoku/>
              <w:wordWrap/>
              <w:overflowPunct/>
              <w:topLinePunct w:val="0"/>
              <w:autoSpaceDE/>
              <w:autoSpaceDN/>
              <w:bidi w:val="0"/>
              <w:adjustRightInd/>
              <w:spacing w:line="440" w:lineRule="exact"/>
              <w:ind w:firstLine="482" w:firstLineChars="200"/>
              <w:textAlignment w:val="auto"/>
              <w:rPr>
                <w:rFonts w:hint="default" w:eastAsia="宋体"/>
                <w:b/>
                <w:bCs/>
                <w:color w:val="auto"/>
                <w:sz w:val="24"/>
                <w:highlight w:val="none"/>
                <w:lang w:val="en-US" w:eastAsia="zh-CN"/>
              </w:rPr>
            </w:pPr>
            <w:r>
              <w:rPr>
                <w:rFonts w:hint="eastAsia"/>
                <w:b/>
                <w:bCs/>
                <w:color w:val="auto"/>
                <w:sz w:val="24"/>
                <w:highlight w:val="none"/>
              </w:rPr>
              <w:t>③</w:t>
            </w:r>
            <w:r>
              <w:rPr>
                <w:rFonts w:hint="eastAsia"/>
                <w:b/>
                <w:bCs/>
                <w:color w:val="auto"/>
                <w:sz w:val="24"/>
                <w:highlight w:val="none"/>
                <w:lang w:val="en-US" w:eastAsia="zh-CN"/>
              </w:rPr>
              <w:t>烘干、粉碎异味</w:t>
            </w:r>
          </w:p>
          <w:p w14:paraId="33DBC41E">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eastAsia="宋体"/>
                <w:b w:val="0"/>
                <w:bCs w:val="0"/>
                <w:color w:val="auto"/>
                <w:sz w:val="24"/>
                <w:szCs w:val="24"/>
                <w:highlight w:val="none"/>
                <w:lang w:val="en-US" w:eastAsia="zh-CN"/>
              </w:rPr>
            </w:pPr>
            <w:r>
              <w:rPr>
                <w:rFonts w:hint="eastAsia"/>
                <w:b w:val="0"/>
                <w:bCs w:val="0"/>
                <w:color w:val="auto"/>
                <w:sz w:val="24"/>
                <w:szCs w:val="24"/>
                <w:highlight w:val="none"/>
                <w:lang w:val="en-US" w:eastAsia="zh-CN"/>
              </w:rPr>
              <w:t>烘干和粉碎产生的氨、硫化氢与物料相关，其采取现有项目验收监测数据核算。</w:t>
            </w:r>
          </w:p>
          <w:p w14:paraId="623072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4"/>
                <w:highlight w:val="none"/>
              </w:rPr>
            </w:pPr>
            <w:r>
              <w:rPr>
                <w:b/>
                <w:bCs/>
                <w:color w:val="auto"/>
                <w:highlight w:val="none"/>
              </w:rPr>
              <w:t>表</w:t>
            </w:r>
            <w:r>
              <w:rPr>
                <w:rFonts w:hint="eastAsia"/>
                <w:b/>
                <w:bCs/>
                <w:color w:val="auto"/>
                <w:highlight w:val="none"/>
              </w:rPr>
              <w:t>4</w:t>
            </w:r>
            <w:r>
              <w:rPr>
                <w:b/>
                <w:bCs/>
                <w:color w:val="auto"/>
                <w:highlight w:val="none"/>
              </w:rPr>
              <w:t>-</w:t>
            </w:r>
            <w:r>
              <w:rPr>
                <w:rFonts w:hint="eastAsia"/>
                <w:b/>
                <w:bCs/>
                <w:color w:val="auto"/>
                <w:highlight w:val="none"/>
                <w:lang w:val="en-US" w:eastAsia="zh-CN"/>
              </w:rPr>
              <w:t xml:space="preserve">8  </w:t>
            </w:r>
            <w:r>
              <w:rPr>
                <w:b/>
                <w:bCs/>
                <w:color w:val="auto"/>
                <w:highlight w:val="none"/>
              </w:rPr>
              <w:t>热风炉燃料燃烧废气排放总量一览表</w:t>
            </w:r>
          </w:p>
          <w:tbl>
            <w:tblPr>
              <w:tblStyle w:val="26"/>
              <w:tblW w:w="4995"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73"/>
              <w:gridCol w:w="860"/>
              <w:gridCol w:w="1157"/>
              <w:gridCol w:w="1254"/>
              <w:gridCol w:w="1062"/>
              <w:gridCol w:w="1154"/>
              <w:gridCol w:w="1154"/>
              <w:gridCol w:w="1159"/>
            </w:tblGrid>
            <w:tr w14:paraId="04694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restart"/>
                  <w:vAlign w:val="center"/>
                </w:tcPr>
                <w:p w14:paraId="72E22D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排气筒</w:t>
                  </w:r>
                </w:p>
              </w:tc>
              <w:tc>
                <w:tcPr>
                  <w:tcW w:w="496" w:type="pct"/>
                  <w:vMerge w:val="restart"/>
                  <w:vAlign w:val="center"/>
                </w:tcPr>
                <w:p w14:paraId="443F64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污染物指标</w:t>
                  </w:r>
                </w:p>
              </w:tc>
              <w:tc>
                <w:tcPr>
                  <w:tcW w:w="2002" w:type="pct"/>
                  <w:gridSpan w:val="3"/>
                  <w:vAlign w:val="center"/>
                </w:tcPr>
                <w:p w14:paraId="749477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b/>
                      <w:bCs/>
                      <w:color w:val="auto"/>
                      <w:szCs w:val="21"/>
                      <w:highlight w:val="none"/>
                      <w:lang w:eastAsia="zh-CN"/>
                    </w:rPr>
                  </w:pPr>
                  <w:r>
                    <w:rPr>
                      <w:rFonts w:hint="eastAsia"/>
                      <w:b/>
                      <w:bCs/>
                      <w:color w:val="auto"/>
                      <w:szCs w:val="21"/>
                      <w:highlight w:val="none"/>
                    </w:rPr>
                    <w:t>现有工程</w:t>
                  </w:r>
                  <w:r>
                    <w:rPr>
                      <w:b/>
                      <w:bCs/>
                      <w:color w:val="auto"/>
                      <w:szCs w:val="21"/>
                      <w:highlight w:val="none"/>
                    </w:rPr>
                    <w:t>验收阶段</w:t>
                  </w:r>
                </w:p>
              </w:tc>
              <w:tc>
                <w:tcPr>
                  <w:tcW w:w="1997" w:type="pct"/>
                  <w:gridSpan w:val="3"/>
                  <w:vAlign w:val="center"/>
                </w:tcPr>
                <w:p w14:paraId="458CDA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b/>
                      <w:bCs/>
                      <w:color w:val="auto"/>
                      <w:szCs w:val="21"/>
                      <w:highlight w:val="none"/>
                      <w:lang w:val="en-US" w:eastAsia="zh-CN"/>
                    </w:rPr>
                  </w:pPr>
                  <w:r>
                    <w:rPr>
                      <w:rFonts w:hint="eastAsia"/>
                      <w:b/>
                      <w:bCs/>
                      <w:color w:val="auto"/>
                      <w:szCs w:val="21"/>
                      <w:highlight w:val="none"/>
                      <w:lang w:val="en-US" w:eastAsia="zh-CN"/>
                    </w:rPr>
                    <w:t>全厂排放量</w:t>
                  </w:r>
                </w:p>
              </w:tc>
            </w:tr>
            <w:tr w14:paraId="1D8F4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continue"/>
                  <w:vAlign w:val="center"/>
                </w:tcPr>
                <w:p w14:paraId="6B24AA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p>
              </w:tc>
              <w:tc>
                <w:tcPr>
                  <w:tcW w:w="496" w:type="pct"/>
                  <w:vMerge w:val="continue"/>
                  <w:vAlign w:val="center"/>
                </w:tcPr>
                <w:p w14:paraId="01B714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p>
              </w:tc>
              <w:tc>
                <w:tcPr>
                  <w:tcW w:w="667" w:type="pct"/>
                  <w:vAlign w:val="center"/>
                </w:tcPr>
                <w:p w14:paraId="61001F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排放总量（t/a）</w:t>
                  </w:r>
                </w:p>
              </w:tc>
              <w:tc>
                <w:tcPr>
                  <w:tcW w:w="723" w:type="pct"/>
                  <w:vAlign w:val="center"/>
                </w:tcPr>
                <w:p w14:paraId="576185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排放浓度（mg/m</w:t>
                  </w:r>
                  <w:r>
                    <w:rPr>
                      <w:b/>
                      <w:bCs/>
                      <w:color w:val="auto"/>
                      <w:szCs w:val="21"/>
                      <w:highlight w:val="none"/>
                      <w:vertAlign w:val="superscript"/>
                    </w:rPr>
                    <w:t>3</w:t>
                  </w:r>
                  <w:r>
                    <w:rPr>
                      <w:b/>
                      <w:bCs/>
                      <w:color w:val="auto"/>
                      <w:szCs w:val="21"/>
                      <w:highlight w:val="none"/>
                    </w:rPr>
                    <w:t>）</w:t>
                  </w:r>
                </w:p>
              </w:tc>
              <w:tc>
                <w:tcPr>
                  <w:tcW w:w="611" w:type="pct"/>
                  <w:vAlign w:val="center"/>
                </w:tcPr>
                <w:p w14:paraId="565330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排放速</w:t>
                  </w:r>
                  <w:r>
                    <w:rPr>
                      <w:rFonts w:hint="eastAsia"/>
                      <w:b/>
                      <w:bCs/>
                      <w:color w:val="auto"/>
                      <w:szCs w:val="21"/>
                      <w:highlight w:val="none"/>
                    </w:rPr>
                    <w:t>率</w:t>
                  </w:r>
                  <w:r>
                    <w:rPr>
                      <w:b/>
                      <w:bCs/>
                      <w:color w:val="auto"/>
                      <w:szCs w:val="21"/>
                      <w:highlight w:val="none"/>
                    </w:rPr>
                    <w:t>（kg/h）</w:t>
                  </w:r>
                </w:p>
              </w:tc>
              <w:tc>
                <w:tcPr>
                  <w:tcW w:w="665" w:type="pct"/>
                  <w:vAlign w:val="center"/>
                </w:tcPr>
                <w:p w14:paraId="48242D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排放总量（t/a）</w:t>
                  </w:r>
                </w:p>
              </w:tc>
              <w:tc>
                <w:tcPr>
                  <w:tcW w:w="665" w:type="pct"/>
                  <w:vAlign w:val="center"/>
                </w:tcPr>
                <w:p w14:paraId="716D29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排放浓度（mg/m</w:t>
                  </w:r>
                  <w:r>
                    <w:rPr>
                      <w:b/>
                      <w:bCs/>
                      <w:color w:val="auto"/>
                      <w:szCs w:val="21"/>
                      <w:highlight w:val="none"/>
                      <w:vertAlign w:val="superscript"/>
                    </w:rPr>
                    <w:t>3</w:t>
                  </w:r>
                  <w:r>
                    <w:rPr>
                      <w:b/>
                      <w:bCs/>
                      <w:color w:val="auto"/>
                      <w:szCs w:val="21"/>
                      <w:highlight w:val="none"/>
                    </w:rPr>
                    <w:t>）</w:t>
                  </w:r>
                </w:p>
              </w:tc>
              <w:tc>
                <w:tcPr>
                  <w:tcW w:w="666" w:type="pct"/>
                  <w:vAlign w:val="center"/>
                </w:tcPr>
                <w:p w14:paraId="04BDEA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排放速</w:t>
                  </w:r>
                  <w:r>
                    <w:rPr>
                      <w:rFonts w:hint="eastAsia"/>
                      <w:b/>
                      <w:bCs/>
                      <w:color w:val="auto"/>
                      <w:szCs w:val="21"/>
                      <w:highlight w:val="none"/>
                    </w:rPr>
                    <w:t>率</w:t>
                  </w:r>
                  <w:r>
                    <w:rPr>
                      <w:b/>
                      <w:bCs/>
                      <w:color w:val="auto"/>
                      <w:szCs w:val="21"/>
                      <w:highlight w:val="none"/>
                    </w:rPr>
                    <w:t>（kg/h）</w:t>
                  </w:r>
                </w:p>
              </w:tc>
            </w:tr>
            <w:tr w14:paraId="174E5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restart"/>
                  <w:vAlign w:val="center"/>
                </w:tcPr>
                <w:p w14:paraId="1A575C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DA001</w:t>
                  </w:r>
                </w:p>
              </w:tc>
              <w:tc>
                <w:tcPr>
                  <w:tcW w:w="496" w:type="pct"/>
                  <w:vAlign w:val="center"/>
                </w:tcPr>
                <w:p w14:paraId="0CC3C3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氨</w:t>
                  </w:r>
                </w:p>
              </w:tc>
              <w:tc>
                <w:tcPr>
                  <w:tcW w:w="667" w:type="pct"/>
                  <w:vAlign w:val="center"/>
                </w:tcPr>
                <w:p w14:paraId="35F134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0.128</w:t>
                  </w:r>
                </w:p>
              </w:tc>
              <w:tc>
                <w:tcPr>
                  <w:tcW w:w="723" w:type="pct"/>
                  <w:vAlign w:val="center"/>
                </w:tcPr>
                <w:p w14:paraId="24006E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1.8</w:t>
                  </w:r>
                </w:p>
              </w:tc>
              <w:tc>
                <w:tcPr>
                  <w:tcW w:w="611" w:type="pct"/>
                  <w:vAlign w:val="center"/>
                </w:tcPr>
                <w:p w14:paraId="2AD60C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0.0182</w:t>
                  </w:r>
                </w:p>
              </w:tc>
              <w:tc>
                <w:tcPr>
                  <w:tcW w:w="665" w:type="pct"/>
                  <w:vAlign w:val="center"/>
                </w:tcPr>
                <w:p w14:paraId="7E8AAB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0.015</w:t>
                  </w:r>
                </w:p>
              </w:tc>
              <w:tc>
                <w:tcPr>
                  <w:tcW w:w="665" w:type="pct"/>
                  <w:vAlign w:val="center"/>
                </w:tcPr>
                <w:p w14:paraId="17DA2E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0.682</w:t>
                  </w:r>
                </w:p>
              </w:tc>
              <w:tc>
                <w:tcPr>
                  <w:tcW w:w="666" w:type="pct"/>
                  <w:vAlign w:val="center"/>
                </w:tcPr>
                <w:p w14:paraId="397A81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0.007</w:t>
                  </w:r>
                </w:p>
              </w:tc>
            </w:tr>
            <w:tr w14:paraId="21B6B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continue"/>
                  <w:vAlign w:val="center"/>
                </w:tcPr>
                <w:p w14:paraId="59975F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c>
                <w:tcPr>
                  <w:tcW w:w="496" w:type="pct"/>
                  <w:vAlign w:val="center"/>
                </w:tcPr>
                <w:p w14:paraId="23A3C38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硫化氢</w:t>
                  </w:r>
                </w:p>
              </w:tc>
              <w:tc>
                <w:tcPr>
                  <w:tcW w:w="667" w:type="pct"/>
                  <w:vAlign w:val="center"/>
                </w:tcPr>
                <w:p w14:paraId="0C0BD4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0.026</w:t>
                  </w:r>
                </w:p>
              </w:tc>
              <w:tc>
                <w:tcPr>
                  <w:tcW w:w="723" w:type="pct"/>
                  <w:vAlign w:val="center"/>
                </w:tcPr>
                <w:p w14:paraId="2EF0B8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0.36</w:t>
                  </w:r>
                </w:p>
              </w:tc>
              <w:tc>
                <w:tcPr>
                  <w:tcW w:w="611" w:type="pct"/>
                  <w:vAlign w:val="center"/>
                </w:tcPr>
                <w:p w14:paraId="07488E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0.0037</w:t>
                  </w:r>
                </w:p>
              </w:tc>
              <w:tc>
                <w:tcPr>
                  <w:tcW w:w="665" w:type="pct"/>
                  <w:vAlign w:val="center"/>
                </w:tcPr>
                <w:p w14:paraId="70F08F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0.003</w:t>
                  </w:r>
                </w:p>
              </w:tc>
              <w:tc>
                <w:tcPr>
                  <w:tcW w:w="665" w:type="pct"/>
                  <w:vAlign w:val="center"/>
                </w:tcPr>
                <w:p w14:paraId="3882E8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0.136</w:t>
                  </w:r>
                </w:p>
              </w:tc>
              <w:tc>
                <w:tcPr>
                  <w:tcW w:w="666" w:type="pct"/>
                  <w:vAlign w:val="center"/>
                </w:tcPr>
                <w:p w14:paraId="0F2C3D4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0.0014</w:t>
                  </w:r>
                </w:p>
              </w:tc>
            </w:tr>
            <w:tr w14:paraId="7392C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continue"/>
                  <w:vAlign w:val="center"/>
                </w:tcPr>
                <w:p w14:paraId="7714B8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c>
                <w:tcPr>
                  <w:tcW w:w="4495" w:type="pct"/>
                  <w:gridSpan w:val="7"/>
                  <w:vAlign w:val="center"/>
                </w:tcPr>
                <w:p w14:paraId="2765F1C8">
                  <w:pPr>
                    <w:keepNext w:val="0"/>
                    <w:keepLines w:val="0"/>
                    <w:pageBreakBefore w:val="0"/>
                    <w:widowControl w:val="0"/>
                    <w:kinsoku/>
                    <w:wordWrap/>
                    <w:overflowPunct/>
                    <w:topLinePunct w:val="0"/>
                    <w:autoSpaceDE/>
                    <w:autoSpaceDN/>
                    <w:bidi w:val="0"/>
                    <w:adjustRightInd/>
                    <w:snapToGrid/>
                    <w:spacing w:line="320" w:lineRule="exact"/>
                    <w:jc w:val="both"/>
                    <w:textAlignment w:val="auto"/>
                    <w:rPr>
                      <w:color w:val="auto"/>
                      <w:szCs w:val="21"/>
                      <w:highlight w:val="none"/>
                    </w:rPr>
                  </w:pPr>
                  <w:r>
                    <w:rPr>
                      <w:rFonts w:hint="eastAsia"/>
                      <w:color w:val="auto"/>
                      <w:szCs w:val="21"/>
                      <w:highlight w:val="none"/>
                    </w:rPr>
                    <w:t>氨</w:t>
                  </w:r>
                  <w:r>
                    <w:rPr>
                      <w:rFonts w:hint="eastAsia"/>
                      <w:color w:val="auto"/>
                      <w:szCs w:val="21"/>
                      <w:highlight w:val="none"/>
                      <w:lang w:eastAsia="zh-CN"/>
                    </w:rPr>
                    <w:t>、</w:t>
                  </w:r>
                  <w:r>
                    <w:rPr>
                      <w:rFonts w:hint="eastAsia"/>
                      <w:color w:val="auto"/>
                      <w:szCs w:val="21"/>
                      <w:highlight w:val="none"/>
                    </w:rPr>
                    <w:t>硫化氢</w:t>
                  </w:r>
                  <w:r>
                    <w:rPr>
                      <w:rFonts w:hint="eastAsia"/>
                      <w:color w:val="auto"/>
                      <w:szCs w:val="21"/>
                      <w:highlight w:val="none"/>
                      <w:lang w:val="en-US" w:eastAsia="zh-CN"/>
                    </w:rPr>
                    <w:t>类比现有项目监测数据，其按排放量/产能核算，验收期间排放量已按负荷100%计算，其验收期间生产负荷为95%。</w:t>
                  </w:r>
                </w:p>
              </w:tc>
            </w:tr>
            <w:tr w14:paraId="3FAC08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restart"/>
                  <w:vAlign w:val="center"/>
                </w:tcPr>
                <w:p w14:paraId="7B936A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DA002</w:t>
                  </w:r>
                </w:p>
              </w:tc>
              <w:tc>
                <w:tcPr>
                  <w:tcW w:w="496" w:type="pct"/>
                  <w:vAlign w:val="center"/>
                </w:tcPr>
                <w:p w14:paraId="45A077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氨</w:t>
                  </w:r>
                </w:p>
              </w:tc>
              <w:tc>
                <w:tcPr>
                  <w:tcW w:w="667" w:type="pct"/>
                  <w:vAlign w:val="center"/>
                </w:tcPr>
                <w:p w14:paraId="437A0F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0.24</w:t>
                  </w:r>
                </w:p>
              </w:tc>
              <w:tc>
                <w:tcPr>
                  <w:tcW w:w="723" w:type="pct"/>
                  <w:vAlign w:val="center"/>
                </w:tcPr>
                <w:p w14:paraId="757D51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color w:val="auto"/>
                      <w:kern w:val="0"/>
                      <w:szCs w:val="21"/>
                      <w:highlight w:val="none"/>
                    </w:rPr>
                    <w:t>2.01</w:t>
                  </w:r>
                </w:p>
              </w:tc>
              <w:tc>
                <w:tcPr>
                  <w:tcW w:w="611" w:type="pct"/>
                  <w:vAlign w:val="center"/>
                </w:tcPr>
                <w:p w14:paraId="0DE033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color w:val="auto"/>
                      <w:kern w:val="0"/>
                      <w:szCs w:val="21"/>
                      <w:highlight w:val="none"/>
                    </w:rPr>
                    <w:t>0.0342</w:t>
                  </w:r>
                </w:p>
              </w:tc>
              <w:tc>
                <w:tcPr>
                  <w:tcW w:w="665" w:type="pct"/>
                  <w:vAlign w:val="center"/>
                </w:tcPr>
                <w:p w14:paraId="754D55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0.029</w:t>
                  </w:r>
                </w:p>
              </w:tc>
              <w:tc>
                <w:tcPr>
                  <w:tcW w:w="665" w:type="pct"/>
                  <w:vAlign w:val="center"/>
                </w:tcPr>
                <w:p w14:paraId="03F9C3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0.775</w:t>
                  </w:r>
                </w:p>
              </w:tc>
              <w:tc>
                <w:tcPr>
                  <w:tcW w:w="666" w:type="pct"/>
                  <w:vAlign w:val="center"/>
                </w:tcPr>
                <w:p w14:paraId="07C78E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0.013</w:t>
                  </w:r>
                </w:p>
              </w:tc>
            </w:tr>
            <w:tr w14:paraId="1DCD1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continue"/>
                  <w:vAlign w:val="center"/>
                </w:tcPr>
                <w:p w14:paraId="7CB8B3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c>
                <w:tcPr>
                  <w:tcW w:w="496" w:type="pct"/>
                  <w:vAlign w:val="center"/>
                </w:tcPr>
                <w:p w14:paraId="594B3D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硫化氢</w:t>
                  </w:r>
                </w:p>
              </w:tc>
              <w:tc>
                <w:tcPr>
                  <w:tcW w:w="667" w:type="pct"/>
                  <w:vAlign w:val="center"/>
                </w:tcPr>
                <w:p w14:paraId="6E4165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0.044</w:t>
                  </w:r>
                </w:p>
              </w:tc>
              <w:tc>
                <w:tcPr>
                  <w:tcW w:w="723" w:type="pct"/>
                  <w:vAlign w:val="center"/>
                </w:tcPr>
                <w:p w14:paraId="592B68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color w:val="auto"/>
                      <w:kern w:val="0"/>
                      <w:szCs w:val="21"/>
                      <w:highlight w:val="none"/>
                    </w:rPr>
                    <w:t>0.36</w:t>
                  </w:r>
                </w:p>
              </w:tc>
              <w:tc>
                <w:tcPr>
                  <w:tcW w:w="611" w:type="pct"/>
                  <w:vAlign w:val="center"/>
                </w:tcPr>
                <w:p w14:paraId="775640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color w:val="auto"/>
                      <w:kern w:val="0"/>
                      <w:szCs w:val="21"/>
                      <w:highlight w:val="none"/>
                    </w:rPr>
                    <w:t>0.0063</w:t>
                  </w:r>
                </w:p>
              </w:tc>
              <w:tc>
                <w:tcPr>
                  <w:tcW w:w="665" w:type="pct"/>
                  <w:vAlign w:val="center"/>
                </w:tcPr>
                <w:p w14:paraId="2D5156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0.005</w:t>
                  </w:r>
                </w:p>
              </w:tc>
              <w:tc>
                <w:tcPr>
                  <w:tcW w:w="665" w:type="pct"/>
                  <w:vAlign w:val="center"/>
                </w:tcPr>
                <w:p w14:paraId="647979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0.134</w:t>
                  </w:r>
                </w:p>
              </w:tc>
              <w:tc>
                <w:tcPr>
                  <w:tcW w:w="666" w:type="pct"/>
                  <w:vAlign w:val="center"/>
                </w:tcPr>
                <w:p w14:paraId="6800D9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0.002</w:t>
                  </w:r>
                </w:p>
              </w:tc>
            </w:tr>
            <w:tr w14:paraId="0CF1A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4" w:type="pct"/>
                  <w:vMerge w:val="continue"/>
                  <w:vAlign w:val="center"/>
                </w:tcPr>
                <w:p w14:paraId="2F7EEE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p>
              </w:tc>
              <w:tc>
                <w:tcPr>
                  <w:tcW w:w="4495" w:type="pct"/>
                  <w:gridSpan w:val="7"/>
                  <w:vAlign w:val="center"/>
                </w:tcPr>
                <w:p w14:paraId="1993A954">
                  <w:pPr>
                    <w:keepNext w:val="0"/>
                    <w:keepLines w:val="0"/>
                    <w:pageBreakBefore w:val="0"/>
                    <w:widowControl w:val="0"/>
                    <w:kinsoku/>
                    <w:wordWrap/>
                    <w:overflowPunct/>
                    <w:topLinePunct w:val="0"/>
                    <w:autoSpaceDE/>
                    <w:autoSpaceDN/>
                    <w:bidi w:val="0"/>
                    <w:adjustRightInd/>
                    <w:snapToGrid/>
                    <w:spacing w:line="320" w:lineRule="exact"/>
                    <w:jc w:val="left"/>
                    <w:textAlignment w:val="auto"/>
                    <w:rPr>
                      <w:color w:val="auto"/>
                      <w:szCs w:val="21"/>
                      <w:highlight w:val="none"/>
                    </w:rPr>
                  </w:pPr>
                  <w:r>
                    <w:rPr>
                      <w:rFonts w:hint="eastAsia"/>
                      <w:color w:val="auto"/>
                      <w:szCs w:val="21"/>
                      <w:highlight w:val="none"/>
                    </w:rPr>
                    <w:t>氨</w:t>
                  </w:r>
                  <w:r>
                    <w:rPr>
                      <w:rFonts w:hint="eastAsia"/>
                      <w:color w:val="auto"/>
                      <w:szCs w:val="21"/>
                      <w:highlight w:val="none"/>
                      <w:lang w:eastAsia="zh-CN"/>
                    </w:rPr>
                    <w:t>、</w:t>
                  </w:r>
                  <w:r>
                    <w:rPr>
                      <w:rFonts w:hint="eastAsia"/>
                      <w:color w:val="auto"/>
                      <w:szCs w:val="21"/>
                      <w:highlight w:val="none"/>
                    </w:rPr>
                    <w:t>硫化氢</w:t>
                  </w:r>
                  <w:r>
                    <w:rPr>
                      <w:rFonts w:hint="eastAsia"/>
                      <w:color w:val="auto"/>
                      <w:szCs w:val="21"/>
                      <w:highlight w:val="none"/>
                      <w:lang w:val="en-US" w:eastAsia="zh-CN"/>
                    </w:rPr>
                    <w:t>类比现有项目监测数据，其按排放量/产能核算，验收期间排放量已按负荷100%计算，其验收期间生产负荷为95%。</w:t>
                  </w:r>
                </w:p>
              </w:tc>
            </w:tr>
          </w:tbl>
          <w:p w14:paraId="2C883E04">
            <w:pPr>
              <w:pStyle w:val="25"/>
              <w:keepNext w:val="0"/>
              <w:keepLines w:val="0"/>
              <w:pageBreakBefore w:val="0"/>
              <w:kinsoku/>
              <w:wordWrap/>
              <w:overflowPunct/>
              <w:topLinePunct w:val="0"/>
              <w:autoSpaceDE/>
              <w:autoSpaceDN/>
              <w:bidi w:val="0"/>
              <w:adjustRightInd/>
              <w:spacing w:after="0" w:line="440" w:lineRule="exact"/>
              <w:ind w:left="0" w:leftChars="0" w:firstLine="480"/>
              <w:textAlignment w:val="auto"/>
              <w:rPr>
                <w:color w:val="auto"/>
                <w:sz w:val="24"/>
                <w:highlight w:val="none"/>
              </w:rPr>
            </w:pPr>
            <w:r>
              <w:rPr>
                <w:rFonts w:hint="eastAsia"/>
                <w:color w:val="auto"/>
                <w:kern w:val="0"/>
                <w:sz w:val="24"/>
                <w:highlight w:val="none"/>
              </w:rPr>
              <w:t>改扩建后果蔬废弃物脱水后大部分用于制作有机肥，因此烘干量减少，烘干产生的异味也相应降低；</w:t>
            </w:r>
            <w:r>
              <w:rPr>
                <w:rFonts w:hint="eastAsia"/>
                <w:bCs/>
                <w:color w:val="auto"/>
                <w:sz w:val="24"/>
                <w:highlight w:val="none"/>
              </w:rPr>
              <w:t>改扩建后继续沿用现有措施可行。</w:t>
            </w:r>
          </w:p>
          <w:p w14:paraId="73A30109">
            <w:pPr>
              <w:pStyle w:val="24"/>
              <w:keepNext w:val="0"/>
              <w:keepLines w:val="0"/>
              <w:pageBreakBefore w:val="0"/>
              <w:kinsoku/>
              <w:wordWrap/>
              <w:overflowPunct/>
              <w:topLinePunct w:val="0"/>
              <w:autoSpaceDE/>
              <w:autoSpaceDN/>
              <w:bidi w:val="0"/>
              <w:adjustRightInd/>
              <w:spacing w:before="0" w:after="0" w:line="440" w:lineRule="exact"/>
              <w:ind w:firstLine="482" w:firstLineChars="200"/>
              <w:textAlignment w:val="auto"/>
              <w:rPr>
                <w:rFonts w:hint="eastAsia"/>
                <w:b/>
                <w:bCs/>
                <w:color w:val="auto"/>
                <w:sz w:val="24"/>
                <w:highlight w:val="none"/>
              </w:rPr>
            </w:pPr>
          </w:p>
          <w:p w14:paraId="01BFEA89">
            <w:pPr>
              <w:pStyle w:val="24"/>
              <w:keepNext w:val="0"/>
              <w:keepLines w:val="0"/>
              <w:pageBreakBefore w:val="0"/>
              <w:kinsoku/>
              <w:wordWrap/>
              <w:overflowPunct/>
              <w:topLinePunct w:val="0"/>
              <w:autoSpaceDE/>
              <w:autoSpaceDN/>
              <w:bidi w:val="0"/>
              <w:adjustRightInd/>
              <w:spacing w:before="0" w:after="0" w:line="440" w:lineRule="exact"/>
              <w:ind w:firstLine="482" w:firstLineChars="200"/>
              <w:textAlignment w:val="auto"/>
              <w:rPr>
                <w:b/>
                <w:bCs/>
                <w:color w:val="auto"/>
                <w:sz w:val="24"/>
                <w:highlight w:val="none"/>
              </w:rPr>
            </w:pPr>
            <w:r>
              <w:rPr>
                <w:rFonts w:hint="eastAsia"/>
                <w:b/>
                <w:bCs/>
                <w:color w:val="auto"/>
                <w:sz w:val="24"/>
                <w:highlight w:val="none"/>
              </w:rPr>
              <w:t>④生产废水处理系统恶臭</w:t>
            </w:r>
          </w:p>
          <w:p w14:paraId="50725D7D">
            <w:pPr>
              <w:pStyle w:val="25"/>
              <w:keepNext w:val="0"/>
              <w:keepLines w:val="0"/>
              <w:pageBreakBefore w:val="0"/>
              <w:kinsoku/>
              <w:wordWrap/>
              <w:overflowPunct/>
              <w:topLinePunct w:val="0"/>
              <w:autoSpaceDE/>
              <w:autoSpaceDN/>
              <w:bidi w:val="0"/>
              <w:adjustRightInd/>
              <w:spacing w:after="0" w:line="440" w:lineRule="exact"/>
              <w:ind w:left="0" w:leftChars="0" w:firstLine="480"/>
              <w:textAlignment w:val="auto"/>
              <w:rPr>
                <w:rFonts w:hint="eastAsia"/>
                <w:b w:val="0"/>
                <w:bCs w:val="0"/>
                <w:color w:val="auto"/>
                <w:sz w:val="24"/>
                <w:highlight w:val="none"/>
                <w:lang w:val="en-US" w:eastAsia="zh-CN"/>
              </w:rPr>
            </w:pPr>
            <w:r>
              <w:rPr>
                <w:rFonts w:hint="eastAsia"/>
                <w:b w:val="0"/>
                <w:bCs w:val="0"/>
                <w:color w:val="auto"/>
                <w:sz w:val="24"/>
                <w:highlight w:val="none"/>
                <w:lang w:val="en-US" w:eastAsia="zh-CN"/>
              </w:rPr>
              <w:t>本项目因扩建的液体复合微生物肥原料使用现有项目产生的尾菜废水作为原料，根据本章节中“2、运营期废水环境影响及保护措施”，本项目BOD</w:t>
            </w:r>
            <w:r>
              <w:rPr>
                <w:rFonts w:hint="eastAsia"/>
                <w:b w:val="0"/>
                <w:bCs w:val="0"/>
                <w:color w:val="auto"/>
                <w:sz w:val="24"/>
                <w:highlight w:val="none"/>
                <w:vertAlign w:val="subscript"/>
                <w:lang w:val="en-US" w:eastAsia="zh-CN"/>
              </w:rPr>
              <w:t>5</w:t>
            </w:r>
            <w:r>
              <w:rPr>
                <w:rFonts w:hint="eastAsia"/>
                <w:b w:val="0"/>
                <w:bCs w:val="0"/>
                <w:color w:val="auto"/>
                <w:sz w:val="24"/>
                <w:highlight w:val="none"/>
                <w:lang w:val="en-US" w:eastAsia="zh-CN"/>
              </w:rPr>
              <w:t>消减量为0.893t/a，根据美国EPA对城市污水处理厂恶臭污染物产生情况的研究，每削减1g的BOD</w:t>
            </w:r>
            <w:r>
              <w:rPr>
                <w:rFonts w:hint="eastAsia"/>
                <w:b w:val="0"/>
                <w:bCs w:val="0"/>
                <w:color w:val="auto"/>
                <w:sz w:val="24"/>
                <w:highlight w:val="none"/>
                <w:vertAlign w:val="subscript"/>
                <w:lang w:val="en-US" w:eastAsia="zh-CN"/>
              </w:rPr>
              <w:t>5</w:t>
            </w:r>
            <w:r>
              <w:rPr>
                <w:rFonts w:hint="eastAsia"/>
                <w:b w:val="0"/>
                <w:bCs w:val="0"/>
                <w:color w:val="auto"/>
                <w:sz w:val="24"/>
                <w:highlight w:val="none"/>
                <w:lang w:val="en-US" w:eastAsia="zh-CN"/>
              </w:rPr>
              <w:t>，可产生0.0031g的NH</w:t>
            </w:r>
            <w:r>
              <w:rPr>
                <w:rFonts w:hint="eastAsia"/>
                <w:b w:val="0"/>
                <w:bCs w:val="0"/>
                <w:color w:val="auto"/>
                <w:sz w:val="24"/>
                <w:highlight w:val="none"/>
                <w:vertAlign w:val="subscript"/>
                <w:lang w:val="en-US" w:eastAsia="zh-CN"/>
              </w:rPr>
              <w:t>3</w:t>
            </w:r>
            <w:r>
              <w:rPr>
                <w:rFonts w:hint="eastAsia"/>
                <w:b w:val="0"/>
                <w:bCs w:val="0"/>
                <w:color w:val="auto"/>
                <w:sz w:val="24"/>
                <w:highlight w:val="none"/>
                <w:lang w:val="en-US" w:eastAsia="zh-CN"/>
              </w:rPr>
              <w:t>和0.00012g的H</w:t>
            </w:r>
            <w:r>
              <w:rPr>
                <w:rFonts w:hint="eastAsia"/>
                <w:b w:val="0"/>
                <w:bCs w:val="0"/>
                <w:color w:val="auto"/>
                <w:sz w:val="24"/>
                <w:highlight w:val="none"/>
                <w:vertAlign w:val="subscript"/>
                <w:lang w:val="en-US" w:eastAsia="zh-CN"/>
              </w:rPr>
              <w:t>2</w:t>
            </w:r>
            <w:r>
              <w:rPr>
                <w:rFonts w:hint="eastAsia"/>
                <w:b w:val="0"/>
                <w:bCs w:val="0"/>
                <w:color w:val="auto"/>
                <w:sz w:val="24"/>
                <w:highlight w:val="none"/>
                <w:lang w:val="en-US" w:eastAsia="zh-CN"/>
              </w:rPr>
              <w:t>S。</w:t>
            </w:r>
          </w:p>
          <w:p w14:paraId="0A612B4E">
            <w:pPr>
              <w:pStyle w:val="25"/>
              <w:keepNext w:val="0"/>
              <w:keepLines w:val="0"/>
              <w:pageBreakBefore w:val="0"/>
              <w:kinsoku/>
              <w:wordWrap/>
              <w:overflowPunct/>
              <w:topLinePunct w:val="0"/>
              <w:autoSpaceDE/>
              <w:autoSpaceDN/>
              <w:bidi w:val="0"/>
              <w:adjustRightInd/>
              <w:spacing w:after="0" w:line="440" w:lineRule="exact"/>
              <w:ind w:left="0" w:leftChars="0" w:firstLine="480"/>
              <w:textAlignment w:val="auto"/>
              <w:rPr>
                <w:b w:val="0"/>
                <w:bCs w:val="0"/>
                <w:color w:val="auto"/>
                <w:sz w:val="24"/>
                <w:highlight w:val="none"/>
              </w:rPr>
            </w:pPr>
            <w:r>
              <w:rPr>
                <w:rFonts w:hint="eastAsia"/>
                <w:b w:val="0"/>
                <w:bCs w:val="0"/>
                <w:color w:val="auto"/>
                <w:sz w:val="24"/>
                <w:highlight w:val="none"/>
                <w:lang w:val="en-US" w:eastAsia="zh-CN"/>
              </w:rPr>
              <w:t>生产废水处理系统NH</w:t>
            </w:r>
            <w:r>
              <w:rPr>
                <w:rFonts w:hint="eastAsia"/>
                <w:b w:val="0"/>
                <w:bCs w:val="0"/>
                <w:color w:val="auto"/>
                <w:sz w:val="24"/>
                <w:highlight w:val="none"/>
                <w:vertAlign w:val="subscript"/>
                <w:lang w:val="en-US" w:eastAsia="zh-CN"/>
              </w:rPr>
              <w:t>3</w:t>
            </w:r>
            <w:r>
              <w:rPr>
                <w:rFonts w:hint="eastAsia"/>
                <w:b w:val="0"/>
                <w:bCs w:val="0"/>
                <w:color w:val="auto"/>
                <w:sz w:val="24"/>
                <w:highlight w:val="none"/>
                <w:lang w:val="en-US" w:eastAsia="zh-CN"/>
              </w:rPr>
              <w:t>消减量为0.003t/a；H</w:t>
            </w:r>
            <w:r>
              <w:rPr>
                <w:rFonts w:hint="eastAsia"/>
                <w:b w:val="0"/>
                <w:bCs w:val="0"/>
                <w:color w:val="auto"/>
                <w:sz w:val="24"/>
                <w:highlight w:val="none"/>
                <w:vertAlign w:val="subscript"/>
                <w:lang w:val="en-US" w:eastAsia="zh-CN"/>
              </w:rPr>
              <w:t>2</w:t>
            </w:r>
            <w:r>
              <w:rPr>
                <w:rFonts w:hint="eastAsia"/>
                <w:b w:val="0"/>
                <w:bCs w:val="0"/>
                <w:color w:val="auto"/>
                <w:sz w:val="24"/>
                <w:highlight w:val="none"/>
                <w:lang w:val="en-US" w:eastAsia="zh-CN"/>
              </w:rPr>
              <w:t>S消减量为0.0001t/a。本项目建设完成后，生产废水处理系统NH</w:t>
            </w:r>
            <w:r>
              <w:rPr>
                <w:rFonts w:hint="eastAsia"/>
                <w:b w:val="0"/>
                <w:bCs w:val="0"/>
                <w:color w:val="auto"/>
                <w:sz w:val="24"/>
                <w:highlight w:val="none"/>
                <w:vertAlign w:val="subscript"/>
                <w:lang w:val="en-US" w:eastAsia="zh-CN"/>
              </w:rPr>
              <w:t>3</w:t>
            </w:r>
            <w:r>
              <w:rPr>
                <w:rFonts w:hint="eastAsia"/>
                <w:b w:val="0"/>
                <w:bCs w:val="0"/>
                <w:color w:val="auto"/>
                <w:sz w:val="24"/>
                <w:highlight w:val="none"/>
                <w:vertAlign w:val="baseline"/>
                <w:lang w:val="en-US" w:eastAsia="zh-CN"/>
              </w:rPr>
              <w:t>和</w:t>
            </w:r>
            <w:r>
              <w:rPr>
                <w:rFonts w:hint="eastAsia"/>
                <w:b w:val="0"/>
                <w:bCs w:val="0"/>
                <w:color w:val="auto"/>
                <w:sz w:val="24"/>
                <w:highlight w:val="none"/>
                <w:lang w:val="en-US" w:eastAsia="zh-CN"/>
              </w:rPr>
              <w:t>H</w:t>
            </w:r>
            <w:r>
              <w:rPr>
                <w:rFonts w:hint="eastAsia"/>
                <w:b w:val="0"/>
                <w:bCs w:val="0"/>
                <w:color w:val="auto"/>
                <w:sz w:val="24"/>
                <w:highlight w:val="none"/>
                <w:vertAlign w:val="subscript"/>
                <w:lang w:val="en-US" w:eastAsia="zh-CN"/>
              </w:rPr>
              <w:t>2</w:t>
            </w:r>
            <w:r>
              <w:rPr>
                <w:rFonts w:hint="eastAsia"/>
                <w:b w:val="0"/>
                <w:bCs w:val="0"/>
                <w:color w:val="auto"/>
                <w:sz w:val="24"/>
                <w:highlight w:val="none"/>
                <w:lang w:val="en-US" w:eastAsia="zh-CN"/>
              </w:rPr>
              <w:t>S排放量减小</w:t>
            </w:r>
            <w:r>
              <w:rPr>
                <w:rFonts w:hint="eastAsia"/>
                <w:b w:val="0"/>
                <w:bCs w:val="0"/>
                <w:color w:val="auto"/>
                <w:sz w:val="24"/>
                <w:highlight w:val="none"/>
              </w:rPr>
              <w:t>，因此改扩建后继续沿用现有措施可行。</w:t>
            </w:r>
          </w:p>
          <w:p w14:paraId="54F3563C">
            <w:pPr>
              <w:keepNext w:val="0"/>
              <w:keepLines w:val="0"/>
              <w:pageBreakBefore w:val="0"/>
              <w:kinsoku/>
              <w:wordWrap/>
              <w:overflowPunct/>
              <w:topLinePunct w:val="0"/>
              <w:autoSpaceDE/>
              <w:autoSpaceDN/>
              <w:bidi w:val="0"/>
              <w:adjustRightInd/>
              <w:spacing w:line="440" w:lineRule="exact"/>
              <w:ind w:firstLine="482" w:firstLineChars="200"/>
              <w:textAlignment w:val="auto"/>
              <w:rPr>
                <w:rFonts w:hint="eastAsia"/>
                <w:b/>
                <w:bCs/>
                <w:color w:val="auto"/>
                <w:kern w:val="0"/>
                <w:sz w:val="24"/>
                <w:highlight w:val="none"/>
                <w:lang w:eastAsia="zh-CN"/>
              </w:rPr>
            </w:pPr>
            <w:r>
              <w:rPr>
                <w:rFonts w:hint="eastAsia"/>
                <w:b/>
                <w:bCs/>
                <w:color w:val="auto"/>
                <w:kern w:val="0"/>
                <w:sz w:val="24"/>
                <w:highlight w:val="none"/>
                <w:lang w:val="en-US" w:eastAsia="zh-CN"/>
              </w:rPr>
              <w:t>⑤堆放、粉碎分选</w:t>
            </w:r>
            <w:r>
              <w:rPr>
                <w:rFonts w:hint="eastAsia"/>
                <w:b/>
                <w:bCs/>
                <w:color w:val="auto"/>
                <w:kern w:val="0"/>
                <w:sz w:val="24"/>
                <w:highlight w:val="none"/>
                <w:lang w:eastAsia="zh-CN"/>
              </w:rPr>
              <w:t>异味</w:t>
            </w:r>
          </w:p>
          <w:p w14:paraId="21F6FAD1">
            <w:pPr>
              <w:keepNext w:val="0"/>
              <w:keepLines w:val="0"/>
              <w:pageBreakBefore w:val="0"/>
              <w:kinsoku/>
              <w:wordWrap/>
              <w:overflowPunct/>
              <w:topLinePunct w:val="0"/>
              <w:autoSpaceDE/>
              <w:autoSpaceDN/>
              <w:bidi w:val="0"/>
              <w:adjustRightInd/>
              <w:spacing w:line="440" w:lineRule="exact"/>
              <w:ind w:firstLine="480" w:firstLineChars="200"/>
              <w:textAlignment w:val="auto"/>
              <w:rPr>
                <w:rFonts w:hint="eastAsia"/>
                <w:b w:val="0"/>
                <w:bCs w:val="0"/>
                <w:color w:val="auto"/>
                <w:sz w:val="24"/>
                <w:highlight w:val="none"/>
                <w:lang w:val="en-US" w:eastAsia="zh-CN"/>
              </w:rPr>
            </w:pPr>
            <w:r>
              <w:rPr>
                <w:rFonts w:hint="eastAsia"/>
                <w:b w:val="0"/>
                <w:bCs w:val="0"/>
                <w:color w:val="auto"/>
                <w:sz w:val="24"/>
                <w:highlight w:val="none"/>
                <w:lang w:val="en-US" w:eastAsia="zh-CN"/>
              </w:rPr>
              <w:t>现有</w:t>
            </w:r>
            <w:r>
              <w:rPr>
                <w:rFonts w:hint="eastAsia"/>
                <w:b w:val="0"/>
                <w:bCs w:val="0"/>
                <w:color w:val="auto"/>
                <w:sz w:val="24"/>
                <w:highlight w:val="none"/>
                <w:lang w:eastAsia="zh-CN"/>
              </w:rPr>
              <w:t>项目年生产蔬菜干饲料3.1万吨，NH</w:t>
            </w:r>
            <w:r>
              <w:rPr>
                <w:rFonts w:hint="eastAsia"/>
                <w:b w:val="0"/>
                <w:bCs w:val="0"/>
                <w:color w:val="auto"/>
                <w:sz w:val="24"/>
                <w:highlight w:val="none"/>
                <w:vertAlign w:val="subscript"/>
                <w:lang w:eastAsia="zh-CN"/>
              </w:rPr>
              <w:t>3</w:t>
            </w:r>
            <w:r>
              <w:rPr>
                <w:rFonts w:hint="eastAsia"/>
                <w:b w:val="0"/>
                <w:bCs w:val="0"/>
                <w:color w:val="auto"/>
                <w:sz w:val="24"/>
                <w:highlight w:val="none"/>
                <w:lang w:eastAsia="zh-CN"/>
              </w:rPr>
              <w:t>的无组织排放量为</w:t>
            </w:r>
            <w:r>
              <w:rPr>
                <w:rFonts w:hint="eastAsia"/>
                <w:b w:val="0"/>
                <w:bCs w:val="0"/>
                <w:color w:val="auto"/>
                <w:sz w:val="24"/>
                <w:highlight w:val="none"/>
                <w:lang w:val="en-US" w:eastAsia="zh-CN"/>
              </w:rPr>
              <w:t>0.679</w:t>
            </w:r>
            <w:r>
              <w:rPr>
                <w:rFonts w:hint="eastAsia"/>
                <w:b w:val="0"/>
                <w:bCs w:val="0"/>
                <w:color w:val="auto"/>
                <w:sz w:val="24"/>
                <w:highlight w:val="none"/>
                <w:lang w:eastAsia="zh-CN"/>
              </w:rPr>
              <w:t>t/a，H</w:t>
            </w:r>
            <w:r>
              <w:rPr>
                <w:rFonts w:hint="eastAsia"/>
                <w:b w:val="0"/>
                <w:bCs w:val="0"/>
                <w:color w:val="auto"/>
                <w:sz w:val="24"/>
                <w:highlight w:val="none"/>
                <w:vertAlign w:val="subscript"/>
                <w:lang w:eastAsia="zh-CN"/>
              </w:rPr>
              <w:t>2</w:t>
            </w:r>
            <w:r>
              <w:rPr>
                <w:rFonts w:hint="eastAsia"/>
                <w:b w:val="0"/>
                <w:bCs w:val="0"/>
                <w:color w:val="auto"/>
                <w:sz w:val="24"/>
                <w:highlight w:val="none"/>
                <w:lang w:eastAsia="zh-CN"/>
              </w:rPr>
              <w:t>S的无组织排放量为</w:t>
            </w:r>
            <w:r>
              <w:rPr>
                <w:rFonts w:hint="eastAsia"/>
                <w:b w:val="0"/>
                <w:bCs w:val="0"/>
                <w:color w:val="auto"/>
                <w:sz w:val="24"/>
                <w:highlight w:val="none"/>
                <w:lang w:val="en-US" w:eastAsia="zh-CN"/>
              </w:rPr>
              <w:t>0.068</w:t>
            </w:r>
            <w:r>
              <w:rPr>
                <w:rFonts w:hint="eastAsia"/>
                <w:b w:val="0"/>
                <w:bCs w:val="0"/>
                <w:color w:val="auto"/>
                <w:sz w:val="24"/>
                <w:highlight w:val="none"/>
                <w:lang w:eastAsia="zh-CN"/>
              </w:rPr>
              <w:t>t/a；</w:t>
            </w:r>
            <w:r>
              <w:rPr>
                <w:rFonts w:hint="eastAsia"/>
                <w:b w:val="0"/>
                <w:bCs w:val="0"/>
                <w:color w:val="auto"/>
                <w:sz w:val="24"/>
                <w:highlight w:val="none"/>
                <w:lang w:val="en-US" w:eastAsia="zh-CN"/>
              </w:rPr>
              <w:t>本项目扩建完成后期产量为3600t/a，则本项目建设完成后堆放异味氨的排放量0.079t/a，</w:t>
            </w:r>
            <w:r>
              <w:rPr>
                <w:rFonts w:hint="eastAsia"/>
                <w:b w:val="0"/>
                <w:bCs w:val="0"/>
                <w:color w:val="auto"/>
                <w:sz w:val="24"/>
                <w:highlight w:val="none"/>
                <w:lang w:eastAsia="zh-CN"/>
              </w:rPr>
              <w:t>H</w:t>
            </w:r>
            <w:r>
              <w:rPr>
                <w:rFonts w:hint="eastAsia"/>
                <w:b w:val="0"/>
                <w:bCs w:val="0"/>
                <w:color w:val="auto"/>
                <w:sz w:val="24"/>
                <w:highlight w:val="none"/>
                <w:vertAlign w:val="subscript"/>
                <w:lang w:eastAsia="zh-CN"/>
              </w:rPr>
              <w:t>2</w:t>
            </w:r>
            <w:r>
              <w:rPr>
                <w:rFonts w:hint="eastAsia"/>
                <w:b w:val="0"/>
                <w:bCs w:val="0"/>
                <w:color w:val="auto"/>
                <w:sz w:val="24"/>
                <w:highlight w:val="none"/>
                <w:lang w:eastAsia="zh-CN"/>
              </w:rPr>
              <w:t>S的无组织排放量为0.0</w:t>
            </w:r>
            <w:r>
              <w:rPr>
                <w:rFonts w:hint="eastAsia"/>
                <w:b w:val="0"/>
                <w:bCs w:val="0"/>
                <w:color w:val="auto"/>
                <w:sz w:val="24"/>
                <w:highlight w:val="none"/>
                <w:lang w:val="en-US" w:eastAsia="zh-CN"/>
              </w:rPr>
              <w:t>08</w:t>
            </w:r>
            <w:r>
              <w:rPr>
                <w:rFonts w:hint="eastAsia"/>
                <w:b w:val="0"/>
                <w:bCs w:val="0"/>
                <w:color w:val="auto"/>
                <w:sz w:val="24"/>
                <w:highlight w:val="none"/>
                <w:lang w:eastAsia="zh-CN"/>
              </w:rPr>
              <w:t>t/a</w:t>
            </w:r>
            <w:r>
              <w:rPr>
                <w:rFonts w:hint="eastAsia"/>
                <w:b w:val="0"/>
                <w:bCs w:val="0"/>
                <w:color w:val="auto"/>
                <w:sz w:val="24"/>
                <w:highlight w:val="none"/>
                <w:lang w:val="en-US" w:eastAsia="zh-CN"/>
              </w:rPr>
              <w:t>。</w:t>
            </w:r>
          </w:p>
          <w:p w14:paraId="6BD4BE01">
            <w:pPr>
              <w:keepNext w:val="0"/>
              <w:keepLines w:val="0"/>
              <w:pageBreakBefore w:val="0"/>
              <w:kinsoku/>
              <w:wordWrap/>
              <w:overflowPunct/>
              <w:topLinePunct w:val="0"/>
              <w:autoSpaceDE/>
              <w:autoSpaceDN/>
              <w:bidi w:val="0"/>
              <w:adjustRightInd/>
              <w:spacing w:line="440" w:lineRule="exact"/>
              <w:ind w:firstLine="480" w:firstLineChars="200"/>
              <w:textAlignment w:val="auto"/>
              <w:rPr>
                <w:rFonts w:hint="default"/>
                <w:b w:val="0"/>
                <w:bCs w:val="0"/>
                <w:color w:val="auto"/>
                <w:sz w:val="24"/>
                <w:highlight w:val="none"/>
                <w:lang w:val="en-US" w:eastAsia="zh-CN"/>
              </w:rPr>
            </w:pPr>
            <w:r>
              <w:rPr>
                <w:rFonts w:hint="eastAsia"/>
                <w:b w:val="0"/>
                <w:bCs w:val="0"/>
                <w:color w:val="auto"/>
                <w:sz w:val="24"/>
                <w:highlight w:val="none"/>
                <w:lang w:val="en-US" w:eastAsia="zh-CN"/>
              </w:rPr>
              <w:t>则本项目扩建完成后，堆放异味氨的消减量0.60t/a，</w:t>
            </w:r>
            <w:r>
              <w:rPr>
                <w:rFonts w:hint="eastAsia"/>
                <w:b w:val="0"/>
                <w:bCs w:val="0"/>
                <w:color w:val="auto"/>
                <w:sz w:val="24"/>
                <w:highlight w:val="none"/>
                <w:lang w:eastAsia="zh-CN"/>
              </w:rPr>
              <w:t>H</w:t>
            </w:r>
            <w:r>
              <w:rPr>
                <w:rFonts w:hint="eastAsia"/>
                <w:b w:val="0"/>
                <w:bCs w:val="0"/>
                <w:color w:val="auto"/>
                <w:sz w:val="24"/>
                <w:highlight w:val="none"/>
                <w:vertAlign w:val="subscript"/>
                <w:lang w:eastAsia="zh-CN"/>
              </w:rPr>
              <w:t>2</w:t>
            </w:r>
            <w:r>
              <w:rPr>
                <w:rFonts w:hint="eastAsia"/>
                <w:b w:val="0"/>
                <w:bCs w:val="0"/>
                <w:color w:val="auto"/>
                <w:sz w:val="24"/>
                <w:highlight w:val="none"/>
                <w:lang w:eastAsia="zh-CN"/>
              </w:rPr>
              <w:t>S的无组织</w:t>
            </w:r>
            <w:r>
              <w:rPr>
                <w:rFonts w:hint="eastAsia"/>
                <w:b w:val="0"/>
                <w:bCs w:val="0"/>
                <w:color w:val="auto"/>
                <w:sz w:val="24"/>
                <w:highlight w:val="none"/>
                <w:lang w:val="en-US" w:eastAsia="zh-CN"/>
              </w:rPr>
              <w:t>消减量</w:t>
            </w:r>
            <w:r>
              <w:rPr>
                <w:rFonts w:hint="eastAsia"/>
                <w:b w:val="0"/>
                <w:bCs w:val="0"/>
                <w:color w:val="auto"/>
                <w:sz w:val="24"/>
                <w:highlight w:val="none"/>
                <w:lang w:eastAsia="zh-CN"/>
              </w:rPr>
              <w:t>为0.0</w:t>
            </w:r>
            <w:r>
              <w:rPr>
                <w:rFonts w:hint="eastAsia"/>
                <w:b w:val="0"/>
                <w:bCs w:val="0"/>
                <w:color w:val="auto"/>
                <w:sz w:val="24"/>
                <w:highlight w:val="none"/>
                <w:lang w:val="en-US" w:eastAsia="zh-CN"/>
              </w:rPr>
              <w:t>6</w:t>
            </w:r>
            <w:r>
              <w:rPr>
                <w:rFonts w:hint="eastAsia"/>
                <w:b w:val="0"/>
                <w:bCs w:val="0"/>
                <w:color w:val="auto"/>
                <w:sz w:val="24"/>
                <w:highlight w:val="none"/>
                <w:lang w:eastAsia="zh-CN"/>
              </w:rPr>
              <w:t>t/a</w:t>
            </w:r>
            <w:r>
              <w:rPr>
                <w:rFonts w:hint="eastAsia"/>
                <w:b w:val="0"/>
                <w:bCs w:val="0"/>
                <w:color w:val="auto"/>
                <w:sz w:val="24"/>
                <w:highlight w:val="none"/>
                <w:lang w:val="en-US" w:eastAsia="zh-CN"/>
              </w:rPr>
              <w:t>。</w:t>
            </w:r>
          </w:p>
          <w:p w14:paraId="60177DE8">
            <w:pPr>
              <w:keepNext w:val="0"/>
              <w:keepLines w:val="0"/>
              <w:pageBreakBefore w:val="0"/>
              <w:kinsoku/>
              <w:wordWrap/>
              <w:overflowPunct/>
              <w:topLinePunct w:val="0"/>
              <w:autoSpaceDE/>
              <w:autoSpaceDN/>
              <w:bidi w:val="0"/>
              <w:adjustRightInd/>
              <w:spacing w:line="440" w:lineRule="exact"/>
              <w:ind w:firstLine="482" w:firstLineChars="200"/>
              <w:textAlignment w:val="auto"/>
              <w:rPr>
                <w:rFonts w:hint="default" w:eastAsia="宋体"/>
                <w:b/>
                <w:bCs/>
                <w:color w:val="auto"/>
                <w:kern w:val="0"/>
                <w:sz w:val="24"/>
                <w:highlight w:val="none"/>
                <w:lang w:val="en-US" w:eastAsia="zh-CN"/>
              </w:rPr>
            </w:pPr>
            <w:r>
              <w:rPr>
                <w:rFonts w:hint="eastAsia"/>
                <w:b/>
                <w:bCs/>
                <w:color w:val="auto"/>
                <w:kern w:val="0"/>
                <w:sz w:val="24"/>
                <w:highlight w:val="none"/>
                <w:lang w:eastAsia="zh-CN"/>
              </w:rPr>
              <w:t>（</w:t>
            </w:r>
            <w:r>
              <w:rPr>
                <w:rFonts w:hint="eastAsia"/>
                <w:b/>
                <w:bCs/>
                <w:color w:val="auto"/>
                <w:kern w:val="0"/>
                <w:sz w:val="24"/>
                <w:highlight w:val="none"/>
                <w:lang w:val="en-US" w:eastAsia="zh-CN"/>
              </w:rPr>
              <w:t>3</w:t>
            </w:r>
            <w:r>
              <w:rPr>
                <w:rFonts w:hint="eastAsia"/>
                <w:b/>
                <w:bCs/>
                <w:color w:val="auto"/>
                <w:kern w:val="0"/>
                <w:sz w:val="24"/>
                <w:highlight w:val="none"/>
                <w:lang w:eastAsia="zh-CN"/>
              </w:rPr>
              <w:t>）</w:t>
            </w:r>
            <w:r>
              <w:rPr>
                <w:rFonts w:hint="eastAsia"/>
                <w:b/>
                <w:bCs/>
                <w:color w:val="auto"/>
                <w:kern w:val="0"/>
                <w:sz w:val="24"/>
                <w:highlight w:val="none"/>
                <w:lang w:val="en-US" w:eastAsia="zh-CN"/>
              </w:rPr>
              <w:t>排放总量核算</w:t>
            </w:r>
          </w:p>
          <w:p w14:paraId="0A63FEA4">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根据上述分析，本项目建设完成，</w:t>
            </w:r>
            <w:r>
              <w:rPr>
                <w:rFonts w:hint="eastAsia" w:cs="Times New Roman"/>
                <w:b/>
                <w:bCs/>
                <w:color w:val="auto"/>
                <w:sz w:val="24"/>
                <w:szCs w:val="24"/>
                <w:highlight w:val="none"/>
                <w:lang w:val="en-US" w:eastAsia="zh-CN"/>
              </w:rPr>
              <w:t>本项目</w:t>
            </w:r>
            <w:r>
              <w:rPr>
                <w:rFonts w:hint="eastAsia" w:ascii="Times New Roman" w:hAnsi="Times New Roman" w:eastAsia="宋体" w:cs="Times New Roman"/>
                <w:b/>
                <w:bCs/>
                <w:color w:val="auto"/>
                <w:sz w:val="24"/>
                <w:szCs w:val="24"/>
                <w:highlight w:val="none"/>
                <w:lang w:val="en-US" w:eastAsia="zh-CN"/>
              </w:rPr>
              <w:t>排放情况如下：</w:t>
            </w:r>
          </w:p>
          <w:p w14:paraId="37D246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4"/>
                <w:highlight w:val="none"/>
              </w:rPr>
            </w:pPr>
            <w:r>
              <w:rPr>
                <w:b/>
                <w:bCs/>
                <w:color w:val="auto"/>
                <w:highlight w:val="none"/>
              </w:rPr>
              <w:t>表</w:t>
            </w:r>
            <w:r>
              <w:rPr>
                <w:rFonts w:hint="eastAsia"/>
                <w:b/>
                <w:bCs/>
                <w:color w:val="auto"/>
                <w:highlight w:val="none"/>
              </w:rPr>
              <w:t>4</w:t>
            </w:r>
            <w:r>
              <w:rPr>
                <w:b/>
                <w:bCs/>
                <w:color w:val="auto"/>
                <w:highlight w:val="none"/>
              </w:rPr>
              <w:t>-</w:t>
            </w:r>
            <w:r>
              <w:rPr>
                <w:rFonts w:hint="eastAsia"/>
                <w:b/>
                <w:bCs/>
                <w:color w:val="auto"/>
                <w:highlight w:val="none"/>
                <w:lang w:val="en-US" w:eastAsia="zh-CN"/>
              </w:rPr>
              <w:t>9  本项目</w:t>
            </w:r>
            <w:r>
              <w:rPr>
                <w:b/>
                <w:bCs/>
                <w:color w:val="auto"/>
                <w:highlight w:val="none"/>
              </w:rPr>
              <w:t>废气排放总量一览表</w:t>
            </w:r>
          </w:p>
          <w:tbl>
            <w:tblPr>
              <w:tblStyle w:val="26"/>
              <w:tblW w:w="49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716"/>
              <w:gridCol w:w="1997"/>
              <w:gridCol w:w="2189"/>
              <w:gridCol w:w="1971"/>
            </w:tblGrid>
            <w:tr w14:paraId="7B990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410" w:type="pct"/>
                  <w:vAlign w:val="center"/>
                </w:tcPr>
                <w:p w14:paraId="2D548A5F">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b/>
                      <w:bCs/>
                      <w:color w:val="auto"/>
                      <w:szCs w:val="21"/>
                      <w:highlight w:val="none"/>
                    </w:rPr>
                  </w:pPr>
                  <w:r>
                    <w:rPr>
                      <w:b/>
                      <w:bCs/>
                      <w:color w:val="auto"/>
                      <w:szCs w:val="21"/>
                      <w:highlight w:val="none"/>
                    </w:rPr>
                    <w:t>编号</w:t>
                  </w:r>
                </w:p>
              </w:tc>
              <w:tc>
                <w:tcPr>
                  <w:tcW w:w="1000" w:type="pct"/>
                  <w:vAlign w:val="center"/>
                </w:tcPr>
                <w:p w14:paraId="6E9800DE">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b/>
                      <w:bCs/>
                      <w:color w:val="auto"/>
                      <w:szCs w:val="21"/>
                      <w:highlight w:val="none"/>
                      <w:lang w:val="en-US" w:eastAsia="zh-CN"/>
                    </w:rPr>
                  </w:pPr>
                  <w:r>
                    <w:rPr>
                      <w:rFonts w:hint="eastAsia"/>
                      <w:b/>
                      <w:bCs/>
                      <w:color w:val="auto"/>
                      <w:szCs w:val="21"/>
                      <w:highlight w:val="none"/>
                      <w:lang w:val="en-US" w:eastAsia="zh-CN"/>
                    </w:rPr>
                    <w:t>污染物</w:t>
                  </w:r>
                </w:p>
              </w:tc>
              <w:tc>
                <w:tcPr>
                  <w:tcW w:w="1164" w:type="pct"/>
                  <w:vAlign w:val="center"/>
                </w:tcPr>
                <w:p w14:paraId="07A97D58">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b/>
                      <w:bCs/>
                      <w:color w:val="auto"/>
                      <w:szCs w:val="21"/>
                      <w:highlight w:val="none"/>
                      <w:lang w:val="en-US" w:eastAsia="zh-CN"/>
                    </w:rPr>
                  </w:pPr>
                  <w:r>
                    <w:rPr>
                      <w:rFonts w:hint="eastAsia"/>
                      <w:b/>
                      <w:bCs/>
                      <w:color w:val="auto"/>
                      <w:szCs w:val="21"/>
                      <w:highlight w:val="none"/>
                      <w:lang w:val="en-US" w:eastAsia="zh-CN"/>
                    </w:rPr>
                    <w:t>无组织</w:t>
                  </w:r>
                </w:p>
              </w:tc>
              <w:tc>
                <w:tcPr>
                  <w:tcW w:w="1276" w:type="pct"/>
                  <w:vAlign w:val="center"/>
                </w:tcPr>
                <w:p w14:paraId="10C5EA17">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b/>
                      <w:bCs/>
                      <w:color w:val="auto"/>
                      <w:szCs w:val="21"/>
                      <w:highlight w:val="none"/>
                      <w:lang w:val="en-US" w:eastAsia="zh-CN"/>
                    </w:rPr>
                  </w:pPr>
                  <w:r>
                    <w:rPr>
                      <w:rFonts w:hint="eastAsia"/>
                      <w:b/>
                      <w:bCs/>
                      <w:color w:val="auto"/>
                      <w:szCs w:val="21"/>
                      <w:highlight w:val="none"/>
                      <w:lang w:val="en-US" w:eastAsia="zh-CN"/>
                    </w:rPr>
                    <w:t>有组织</w:t>
                  </w:r>
                </w:p>
              </w:tc>
              <w:tc>
                <w:tcPr>
                  <w:tcW w:w="1148" w:type="pct"/>
                  <w:vAlign w:val="center"/>
                </w:tcPr>
                <w:p w14:paraId="31725010">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b/>
                      <w:bCs/>
                      <w:color w:val="auto"/>
                      <w:szCs w:val="21"/>
                      <w:highlight w:val="none"/>
                      <w:lang w:val="en-US" w:eastAsia="zh-CN"/>
                    </w:rPr>
                  </w:pPr>
                  <w:r>
                    <w:rPr>
                      <w:rFonts w:hint="eastAsia"/>
                      <w:b/>
                      <w:bCs/>
                      <w:color w:val="auto"/>
                      <w:szCs w:val="21"/>
                      <w:highlight w:val="none"/>
                      <w:lang w:val="en-US" w:eastAsia="zh-CN"/>
                    </w:rPr>
                    <w:t>合计</w:t>
                  </w:r>
                </w:p>
              </w:tc>
            </w:tr>
            <w:tr w14:paraId="1F90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vAlign w:val="center"/>
                </w:tcPr>
                <w:p w14:paraId="6AA922CB">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color w:val="auto"/>
                      <w:szCs w:val="21"/>
                      <w:highlight w:val="none"/>
                    </w:rPr>
                  </w:pPr>
                  <w:r>
                    <w:rPr>
                      <w:color w:val="auto"/>
                      <w:szCs w:val="21"/>
                      <w:highlight w:val="none"/>
                    </w:rPr>
                    <w:t>1</w:t>
                  </w:r>
                </w:p>
              </w:tc>
              <w:tc>
                <w:tcPr>
                  <w:tcW w:w="1000" w:type="pct"/>
                  <w:vAlign w:val="center"/>
                </w:tcPr>
                <w:p w14:paraId="2A8F2C5F">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氨</w:t>
                  </w:r>
                </w:p>
              </w:tc>
              <w:tc>
                <w:tcPr>
                  <w:tcW w:w="1164" w:type="pct"/>
                  <w:vAlign w:val="center"/>
                </w:tcPr>
                <w:p w14:paraId="3B0F4CDF">
                  <w:pPr>
                    <w:keepNext w:val="0"/>
                    <w:keepLines w:val="0"/>
                    <w:pageBreakBefore w:val="0"/>
                    <w:widowControl w:val="0"/>
                    <w:kinsoku/>
                    <w:wordWrap/>
                    <w:overflowPunct/>
                    <w:topLinePunct w:val="0"/>
                    <w:autoSpaceDE/>
                    <w:autoSpaceDN/>
                    <w:bidi w:val="0"/>
                    <w:adjustRightInd/>
                    <w:spacing w:line="32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0.236</w:t>
                  </w:r>
                </w:p>
              </w:tc>
              <w:tc>
                <w:tcPr>
                  <w:tcW w:w="1276" w:type="pct"/>
                  <w:vAlign w:val="center"/>
                </w:tcPr>
                <w:p w14:paraId="41729AEC">
                  <w:pPr>
                    <w:keepNext w:val="0"/>
                    <w:keepLines w:val="0"/>
                    <w:pageBreakBefore w:val="0"/>
                    <w:widowControl w:val="0"/>
                    <w:kinsoku/>
                    <w:wordWrap/>
                    <w:overflowPunct/>
                    <w:topLinePunct w:val="0"/>
                    <w:autoSpaceDE/>
                    <w:autoSpaceDN/>
                    <w:bidi w:val="0"/>
                    <w:adjustRightInd/>
                    <w:spacing w:line="32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0.678</w:t>
                  </w:r>
                </w:p>
              </w:tc>
              <w:tc>
                <w:tcPr>
                  <w:tcW w:w="1148" w:type="pct"/>
                  <w:vAlign w:val="center"/>
                </w:tcPr>
                <w:p w14:paraId="234CF368">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0.914</w:t>
                  </w:r>
                </w:p>
              </w:tc>
            </w:tr>
            <w:tr w14:paraId="752C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vAlign w:val="center"/>
                </w:tcPr>
                <w:p w14:paraId="75F9E499">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color w:val="auto"/>
                      <w:szCs w:val="21"/>
                      <w:highlight w:val="none"/>
                    </w:rPr>
                  </w:pPr>
                  <w:r>
                    <w:rPr>
                      <w:color w:val="auto"/>
                      <w:szCs w:val="21"/>
                      <w:highlight w:val="none"/>
                    </w:rPr>
                    <w:t>2</w:t>
                  </w:r>
                </w:p>
              </w:tc>
              <w:tc>
                <w:tcPr>
                  <w:tcW w:w="1000" w:type="pct"/>
                  <w:vAlign w:val="center"/>
                </w:tcPr>
                <w:p w14:paraId="02C29BFF">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color w:val="auto"/>
                      <w:szCs w:val="21"/>
                      <w:highlight w:val="none"/>
                    </w:rPr>
                  </w:pPr>
                  <w:r>
                    <w:rPr>
                      <w:rFonts w:hint="eastAsia"/>
                      <w:color w:val="auto"/>
                      <w:szCs w:val="21"/>
                      <w:highlight w:val="none"/>
                      <w:lang w:val="en-US" w:eastAsia="zh-CN"/>
                    </w:rPr>
                    <w:t>硫化氢</w:t>
                  </w:r>
                </w:p>
              </w:tc>
              <w:tc>
                <w:tcPr>
                  <w:tcW w:w="1164" w:type="pct"/>
                  <w:vAlign w:val="center"/>
                </w:tcPr>
                <w:p w14:paraId="2C2DDB16">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0.024</w:t>
                  </w:r>
                </w:p>
              </w:tc>
              <w:tc>
                <w:tcPr>
                  <w:tcW w:w="1276" w:type="pct"/>
                  <w:vAlign w:val="center"/>
                </w:tcPr>
                <w:p w14:paraId="536946C6">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0.068</w:t>
                  </w:r>
                </w:p>
              </w:tc>
              <w:tc>
                <w:tcPr>
                  <w:tcW w:w="1148" w:type="pct"/>
                  <w:vAlign w:val="center"/>
                </w:tcPr>
                <w:p w14:paraId="0EDDD8CF">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0.092</w:t>
                  </w:r>
                </w:p>
              </w:tc>
            </w:tr>
            <w:tr w14:paraId="0C36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vAlign w:val="center"/>
                </w:tcPr>
                <w:p w14:paraId="3BBBC955">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color w:val="auto"/>
                      <w:szCs w:val="21"/>
                      <w:highlight w:val="none"/>
                    </w:rPr>
                  </w:pPr>
                  <w:r>
                    <w:rPr>
                      <w:color w:val="auto"/>
                      <w:szCs w:val="21"/>
                      <w:highlight w:val="none"/>
                    </w:rPr>
                    <w:t>3</w:t>
                  </w:r>
                </w:p>
              </w:tc>
              <w:tc>
                <w:tcPr>
                  <w:tcW w:w="1000" w:type="pct"/>
                  <w:vAlign w:val="center"/>
                </w:tcPr>
                <w:p w14:paraId="0BD3F0ED">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二氧化硫</w:t>
                  </w:r>
                </w:p>
              </w:tc>
              <w:tc>
                <w:tcPr>
                  <w:tcW w:w="1164" w:type="pct"/>
                  <w:vAlign w:val="center"/>
                </w:tcPr>
                <w:p w14:paraId="1380F76D">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1276" w:type="pct"/>
                  <w:vAlign w:val="center"/>
                </w:tcPr>
                <w:p w14:paraId="527C7E0A">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1148" w:type="pct"/>
                  <w:vAlign w:val="center"/>
                </w:tcPr>
                <w:p w14:paraId="6DDD9E92">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0</w:t>
                  </w:r>
                </w:p>
              </w:tc>
            </w:tr>
            <w:tr w14:paraId="3357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vAlign w:val="center"/>
                </w:tcPr>
                <w:p w14:paraId="014771A8">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4</w:t>
                  </w:r>
                </w:p>
              </w:tc>
              <w:tc>
                <w:tcPr>
                  <w:tcW w:w="1000" w:type="pct"/>
                  <w:vAlign w:val="center"/>
                </w:tcPr>
                <w:p w14:paraId="67AC67C4">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氮氧化物</w:t>
                  </w:r>
                </w:p>
              </w:tc>
              <w:tc>
                <w:tcPr>
                  <w:tcW w:w="1164" w:type="pct"/>
                  <w:vAlign w:val="center"/>
                </w:tcPr>
                <w:p w14:paraId="7F6E5AA6">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1276" w:type="pct"/>
                  <w:vAlign w:val="center"/>
                </w:tcPr>
                <w:p w14:paraId="6042EC4F">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1148" w:type="pct"/>
                  <w:vAlign w:val="center"/>
                </w:tcPr>
                <w:p w14:paraId="4496F614">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0</w:t>
                  </w:r>
                </w:p>
              </w:tc>
            </w:tr>
            <w:tr w14:paraId="4B86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vAlign w:val="center"/>
                </w:tcPr>
                <w:p w14:paraId="1BCD93DE">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5</w:t>
                  </w:r>
                </w:p>
              </w:tc>
              <w:tc>
                <w:tcPr>
                  <w:tcW w:w="1000" w:type="pct"/>
                  <w:vAlign w:val="center"/>
                </w:tcPr>
                <w:p w14:paraId="616DB710">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颗粒物</w:t>
                  </w:r>
                </w:p>
              </w:tc>
              <w:tc>
                <w:tcPr>
                  <w:tcW w:w="1164" w:type="pct"/>
                  <w:vAlign w:val="center"/>
                </w:tcPr>
                <w:p w14:paraId="772C4913">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1.497</w:t>
                  </w:r>
                </w:p>
              </w:tc>
              <w:tc>
                <w:tcPr>
                  <w:tcW w:w="1276" w:type="pct"/>
                  <w:vAlign w:val="center"/>
                </w:tcPr>
                <w:p w14:paraId="42B53047">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0.509</w:t>
                  </w:r>
                </w:p>
              </w:tc>
              <w:tc>
                <w:tcPr>
                  <w:tcW w:w="1148" w:type="pct"/>
                  <w:vAlign w:val="center"/>
                </w:tcPr>
                <w:p w14:paraId="56A97A30">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2.006</w:t>
                  </w:r>
                </w:p>
              </w:tc>
            </w:tr>
          </w:tbl>
          <w:p w14:paraId="32CF9CE9">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both"/>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根据上述分析，本项目建设完成，全厂排放情况如下</w:t>
            </w:r>
            <w:r>
              <w:rPr>
                <w:rFonts w:hint="eastAsia" w:cs="Times New Roman"/>
                <w:b/>
                <w:bCs/>
                <w:color w:val="auto"/>
                <w:sz w:val="24"/>
                <w:szCs w:val="24"/>
                <w:highlight w:val="none"/>
                <w:lang w:val="en-US" w:eastAsia="zh-CN"/>
              </w:rPr>
              <w:t>：</w:t>
            </w:r>
          </w:p>
          <w:p w14:paraId="28F022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bCs/>
                <w:color w:val="auto"/>
                <w:sz w:val="21"/>
                <w:szCs w:val="21"/>
                <w:highlight w:val="none"/>
                <w:lang w:val="en-US" w:eastAsia="zh-CN"/>
              </w:rPr>
            </w:pPr>
            <w:r>
              <w:rPr>
                <w:b/>
                <w:bCs/>
                <w:color w:val="auto"/>
                <w:highlight w:val="none"/>
              </w:rPr>
              <w:t>表</w:t>
            </w:r>
            <w:r>
              <w:rPr>
                <w:rFonts w:hint="eastAsia"/>
                <w:b/>
                <w:bCs/>
                <w:color w:val="auto"/>
                <w:highlight w:val="none"/>
              </w:rPr>
              <w:t>4</w:t>
            </w:r>
            <w:r>
              <w:rPr>
                <w:b/>
                <w:bCs/>
                <w:color w:val="auto"/>
                <w:highlight w:val="none"/>
              </w:rPr>
              <w:t>-</w:t>
            </w:r>
            <w:r>
              <w:rPr>
                <w:rFonts w:hint="eastAsia"/>
                <w:b/>
                <w:bCs/>
                <w:color w:val="auto"/>
                <w:highlight w:val="none"/>
                <w:lang w:val="en-US" w:eastAsia="zh-CN"/>
              </w:rPr>
              <w:t>10  本项目建设完成全厂</w:t>
            </w:r>
            <w:r>
              <w:rPr>
                <w:b/>
                <w:bCs/>
                <w:color w:val="auto"/>
                <w:highlight w:val="none"/>
              </w:rPr>
              <w:t>废气排放总量一览表</w:t>
            </w:r>
          </w:p>
          <w:tbl>
            <w:tblPr>
              <w:tblStyle w:val="26"/>
              <w:tblW w:w="877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91"/>
              <w:gridCol w:w="1200"/>
              <w:gridCol w:w="1644"/>
              <w:gridCol w:w="1416"/>
              <w:gridCol w:w="1563"/>
              <w:gridCol w:w="1564"/>
            </w:tblGrid>
            <w:tr w14:paraId="34078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92" w:type="pct"/>
                  <w:vMerge w:val="restart"/>
                  <w:vAlign w:val="center"/>
                </w:tcPr>
                <w:p w14:paraId="030736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污染物指标</w:t>
                  </w:r>
                </w:p>
              </w:tc>
              <w:tc>
                <w:tcPr>
                  <w:tcW w:w="683" w:type="pct"/>
                  <w:vMerge w:val="restart"/>
                  <w:vAlign w:val="center"/>
                </w:tcPr>
                <w:p w14:paraId="5398CD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b/>
                      <w:bCs/>
                      <w:color w:val="auto"/>
                      <w:szCs w:val="21"/>
                      <w:highlight w:val="none"/>
                      <w:lang w:val="en-US" w:eastAsia="zh-CN"/>
                    </w:rPr>
                  </w:pPr>
                  <w:r>
                    <w:rPr>
                      <w:rFonts w:hint="eastAsia" w:eastAsia="宋体"/>
                      <w:b/>
                      <w:bCs/>
                      <w:color w:val="auto"/>
                      <w:szCs w:val="21"/>
                      <w:highlight w:val="none"/>
                      <w:lang w:val="en-US" w:eastAsia="zh-CN"/>
                    </w:rPr>
                    <w:t>现有项目</w:t>
                  </w:r>
                </w:p>
                <w:p w14:paraId="2EE650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b/>
                      <w:bCs/>
                      <w:color w:val="auto"/>
                      <w:szCs w:val="21"/>
                      <w:highlight w:val="none"/>
                      <w:lang w:val="en-US" w:eastAsia="zh-CN"/>
                    </w:rPr>
                  </w:pPr>
                  <w:r>
                    <w:rPr>
                      <w:rFonts w:hint="eastAsia"/>
                      <w:b/>
                      <w:bCs/>
                      <w:color w:val="auto"/>
                      <w:szCs w:val="21"/>
                      <w:highlight w:val="none"/>
                      <w:lang w:val="en-US" w:eastAsia="zh-CN"/>
                    </w:rPr>
                    <w:t>（t/a）</w:t>
                  </w:r>
                </w:p>
              </w:tc>
              <w:tc>
                <w:tcPr>
                  <w:tcW w:w="1742" w:type="pct"/>
                  <w:gridSpan w:val="2"/>
                  <w:vAlign w:val="center"/>
                </w:tcPr>
                <w:p w14:paraId="0544CF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b/>
                      <w:bCs/>
                      <w:color w:val="auto"/>
                      <w:szCs w:val="21"/>
                      <w:highlight w:val="none"/>
                      <w:lang w:val="en-US" w:eastAsia="zh-CN"/>
                    </w:rPr>
                  </w:pPr>
                  <w:r>
                    <w:rPr>
                      <w:rFonts w:hint="eastAsia" w:eastAsia="宋体"/>
                      <w:b/>
                      <w:bCs/>
                      <w:color w:val="auto"/>
                      <w:szCs w:val="21"/>
                      <w:highlight w:val="none"/>
                      <w:lang w:val="en-US" w:eastAsia="zh-CN"/>
                    </w:rPr>
                    <w:t>本项目</w:t>
                  </w:r>
                </w:p>
              </w:tc>
              <w:tc>
                <w:tcPr>
                  <w:tcW w:w="890" w:type="pct"/>
                  <w:vMerge w:val="restart"/>
                  <w:vAlign w:val="center"/>
                </w:tcPr>
                <w:p w14:paraId="716E12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b/>
                      <w:bCs/>
                      <w:color w:val="auto"/>
                      <w:szCs w:val="21"/>
                      <w:highlight w:val="none"/>
                      <w:lang w:val="en-US" w:eastAsia="zh-CN"/>
                    </w:rPr>
                  </w:pPr>
                  <w:r>
                    <w:rPr>
                      <w:rFonts w:hint="eastAsia" w:eastAsia="宋体"/>
                      <w:b/>
                      <w:bCs/>
                      <w:color w:val="auto"/>
                      <w:szCs w:val="21"/>
                      <w:highlight w:val="none"/>
                      <w:lang w:val="en-US" w:eastAsia="zh-CN"/>
                    </w:rPr>
                    <w:t>扩建完成后全厂</w:t>
                  </w:r>
                  <w:r>
                    <w:rPr>
                      <w:rFonts w:hint="eastAsia"/>
                      <w:b/>
                      <w:bCs/>
                      <w:color w:val="auto"/>
                      <w:szCs w:val="21"/>
                      <w:highlight w:val="none"/>
                      <w:lang w:val="en-US" w:eastAsia="zh-CN"/>
                    </w:rPr>
                    <w:t>（t/a）</w:t>
                  </w:r>
                </w:p>
              </w:tc>
              <w:tc>
                <w:tcPr>
                  <w:tcW w:w="890" w:type="pct"/>
                  <w:vMerge w:val="restart"/>
                  <w:vAlign w:val="center"/>
                </w:tcPr>
                <w:p w14:paraId="652E926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b/>
                      <w:bCs/>
                      <w:color w:val="auto"/>
                      <w:szCs w:val="21"/>
                      <w:highlight w:val="none"/>
                      <w:lang w:val="en-US" w:eastAsia="zh-CN"/>
                    </w:rPr>
                  </w:pPr>
                  <w:r>
                    <w:rPr>
                      <w:rFonts w:hint="eastAsia"/>
                      <w:b/>
                      <w:bCs/>
                      <w:color w:val="auto"/>
                      <w:szCs w:val="21"/>
                      <w:highlight w:val="none"/>
                      <w:lang w:val="en-US" w:eastAsia="zh-CN"/>
                    </w:rPr>
                    <w:t>增减量</w:t>
                  </w:r>
                </w:p>
              </w:tc>
            </w:tr>
            <w:tr w14:paraId="53AA9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92" w:type="pct"/>
                  <w:vMerge w:val="continue"/>
                  <w:vAlign w:val="center"/>
                </w:tcPr>
                <w:p w14:paraId="718B2D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p>
              </w:tc>
              <w:tc>
                <w:tcPr>
                  <w:tcW w:w="683" w:type="pct"/>
                  <w:vMerge w:val="continue"/>
                  <w:vAlign w:val="center"/>
                </w:tcPr>
                <w:p w14:paraId="760223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b/>
                      <w:bCs/>
                      <w:color w:val="auto"/>
                      <w:szCs w:val="21"/>
                      <w:highlight w:val="none"/>
                      <w:lang w:val="en-US" w:eastAsia="zh-CN"/>
                    </w:rPr>
                  </w:pPr>
                </w:p>
              </w:tc>
              <w:tc>
                <w:tcPr>
                  <w:tcW w:w="936" w:type="pct"/>
                  <w:vAlign w:val="center"/>
                </w:tcPr>
                <w:p w14:paraId="3AF50F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b/>
                      <w:bCs/>
                      <w:color w:val="auto"/>
                      <w:szCs w:val="21"/>
                      <w:highlight w:val="none"/>
                      <w:lang w:val="en-US" w:eastAsia="zh-CN"/>
                    </w:rPr>
                  </w:pPr>
                  <w:r>
                    <w:rPr>
                      <w:rFonts w:hint="eastAsia"/>
                      <w:b/>
                      <w:bCs/>
                      <w:color w:val="auto"/>
                      <w:szCs w:val="21"/>
                      <w:highlight w:val="none"/>
                      <w:lang w:val="en-US" w:eastAsia="zh-CN"/>
                    </w:rPr>
                    <w:t>排放量（t/a）</w:t>
                  </w:r>
                </w:p>
              </w:tc>
              <w:tc>
                <w:tcPr>
                  <w:tcW w:w="806" w:type="pct"/>
                  <w:vAlign w:val="center"/>
                </w:tcPr>
                <w:p w14:paraId="1DC3973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b/>
                      <w:bCs/>
                      <w:color w:val="auto"/>
                      <w:szCs w:val="21"/>
                      <w:highlight w:val="none"/>
                      <w:lang w:val="en-US" w:eastAsia="zh-CN"/>
                    </w:rPr>
                  </w:pPr>
                  <w:r>
                    <w:rPr>
                      <w:rFonts w:hint="eastAsia"/>
                      <w:b/>
                      <w:bCs/>
                      <w:color w:val="auto"/>
                      <w:szCs w:val="21"/>
                      <w:highlight w:val="none"/>
                      <w:lang w:val="en-US" w:eastAsia="zh-CN"/>
                    </w:rPr>
                    <w:t>消减量（t/a）</w:t>
                  </w:r>
                </w:p>
              </w:tc>
              <w:tc>
                <w:tcPr>
                  <w:tcW w:w="890" w:type="pct"/>
                  <w:vMerge w:val="continue"/>
                  <w:vAlign w:val="center"/>
                </w:tcPr>
                <w:p w14:paraId="598343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b/>
                      <w:bCs/>
                      <w:color w:val="auto"/>
                      <w:szCs w:val="21"/>
                      <w:highlight w:val="none"/>
                      <w:lang w:val="en-US" w:eastAsia="zh-CN"/>
                    </w:rPr>
                  </w:pPr>
                </w:p>
              </w:tc>
              <w:tc>
                <w:tcPr>
                  <w:tcW w:w="890" w:type="pct"/>
                  <w:vMerge w:val="continue"/>
                  <w:vAlign w:val="center"/>
                </w:tcPr>
                <w:p w14:paraId="1A3D39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b/>
                      <w:bCs/>
                      <w:color w:val="auto"/>
                      <w:szCs w:val="21"/>
                      <w:highlight w:val="none"/>
                      <w:lang w:val="en-US" w:eastAsia="zh-CN"/>
                    </w:rPr>
                  </w:pPr>
                </w:p>
              </w:tc>
            </w:tr>
            <w:tr w14:paraId="69FDC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 w:hRule="atLeast"/>
                <w:jc w:val="center"/>
              </w:trPr>
              <w:tc>
                <w:tcPr>
                  <w:tcW w:w="792" w:type="pct"/>
                  <w:vAlign w:val="center"/>
                </w:tcPr>
                <w:p w14:paraId="2ACF6241">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氨</w:t>
                  </w:r>
                </w:p>
              </w:tc>
              <w:tc>
                <w:tcPr>
                  <w:tcW w:w="683" w:type="pct"/>
                  <w:vAlign w:val="center"/>
                </w:tcPr>
                <w:p w14:paraId="12566A82">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2.107</w:t>
                  </w:r>
                </w:p>
              </w:tc>
              <w:tc>
                <w:tcPr>
                  <w:tcW w:w="936" w:type="pct"/>
                  <w:shd w:val="clear" w:color="auto" w:fill="auto"/>
                  <w:vAlign w:val="center"/>
                </w:tcPr>
                <w:p w14:paraId="07C14392">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Cs w:val="21"/>
                      <w:highlight w:val="none"/>
                      <w:lang w:val="en-US" w:eastAsia="zh-CN"/>
                    </w:rPr>
                    <w:t>0.914</w:t>
                  </w:r>
                </w:p>
              </w:tc>
              <w:tc>
                <w:tcPr>
                  <w:tcW w:w="806" w:type="pct"/>
                  <w:vAlign w:val="center"/>
                </w:tcPr>
                <w:p w14:paraId="759BAF46">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0.927</w:t>
                  </w:r>
                </w:p>
              </w:tc>
              <w:tc>
                <w:tcPr>
                  <w:tcW w:w="890" w:type="pct"/>
                  <w:vAlign w:val="center"/>
                </w:tcPr>
                <w:p w14:paraId="43985B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2.094</w:t>
                  </w:r>
                </w:p>
              </w:tc>
              <w:tc>
                <w:tcPr>
                  <w:tcW w:w="890" w:type="pct"/>
                  <w:vAlign w:val="center"/>
                </w:tcPr>
                <w:p w14:paraId="186B73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-0.013</w:t>
                  </w:r>
                </w:p>
              </w:tc>
            </w:tr>
            <w:tr w14:paraId="59AE8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 w:hRule="atLeast"/>
                <w:jc w:val="center"/>
              </w:trPr>
              <w:tc>
                <w:tcPr>
                  <w:tcW w:w="792" w:type="pct"/>
                  <w:vAlign w:val="center"/>
                </w:tcPr>
                <w:p w14:paraId="132A2477">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硫化氢</w:t>
                  </w:r>
                </w:p>
              </w:tc>
              <w:tc>
                <w:tcPr>
                  <w:tcW w:w="683" w:type="pct"/>
                  <w:vAlign w:val="center"/>
                </w:tcPr>
                <w:p w14:paraId="028DD0CB">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0.179</w:t>
                  </w:r>
                </w:p>
              </w:tc>
              <w:tc>
                <w:tcPr>
                  <w:tcW w:w="936" w:type="pct"/>
                  <w:shd w:val="clear" w:color="auto" w:fill="auto"/>
                  <w:vAlign w:val="center"/>
                </w:tcPr>
                <w:p w14:paraId="5EF01B7B">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eastAsia="宋体"/>
                      <w:color w:val="auto"/>
                      <w:szCs w:val="21"/>
                      <w:highlight w:val="none"/>
                      <w:lang w:val="en-US" w:eastAsia="zh-CN"/>
                    </w:rPr>
                    <w:t>0.092</w:t>
                  </w:r>
                </w:p>
              </w:tc>
              <w:tc>
                <w:tcPr>
                  <w:tcW w:w="806" w:type="pct"/>
                  <w:vAlign w:val="center"/>
                </w:tcPr>
                <w:p w14:paraId="06431422">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color w:val="auto"/>
                      <w:szCs w:val="21"/>
                      <w:highlight w:val="none"/>
                      <w:lang w:val="en-US" w:eastAsia="zh-CN"/>
                    </w:rPr>
                  </w:pPr>
                  <w:r>
                    <w:rPr>
                      <w:rFonts w:hint="eastAsia" w:eastAsia="宋体"/>
                      <w:color w:val="auto"/>
                      <w:szCs w:val="21"/>
                      <w:highlight w:val="none"/>
                      <w:lang w:val="en-US" w:eastAsia="zh-CN"/>
                    </w:rPr>
                    <w:t>0.1221</w:t>
                  </w:r>
                </w:p>
              </w:tc>
              <w:tc>
                <w:tcPr>
                  <w:tcW w:w="890" w:type="pct"/>
                  <w:vAlign w:val="center"/>
                </w:tcPr>
                <w:p w14:paraId="19250D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0.1489</w:t>
                  </w:r>
                </w:p>
              </w:tc>
              <w:tc>
                <w:tcPr>
                  <w:tcW w:w="890" w:type="pct"/>
                  <w:vAlign w:val="center"/>
                </w:tcPr>
                <w:p w14:paraId="218AEF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-0.0301</w:t>
                  </w:r>
                </w:p>
              </w:tc>
            </w:tr>
            <w:tr w14:paraId="5B6A5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 w:hRule="atLeast"/>
                <w:jc w:val="center"/>
              </w:trPr>
              <w:tc>
                <w:tcPr>
                  <w:tcW w:w="792" w:type="pct"/>
                  <w:vAlign w:val="center"/>
                </w:tcPr>
                <w:p w14:paraId="03432F0B">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二氧化硫</w:t>
                  </w:r>
                </w:p>
              </w:tc>
              <w:tc>
                <w:tcPr>
                  <w:tcW w:w="683" w:type="pct"/>
                  <w:vAlign w:val="center"/>
                </w:tcPr>
                <w:p w14:paraId="63F91C24">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14.311</w:t>
                  </w:r>
                </w:p>
              </w:tc>
              <w:tc>
                <w:tcPr>
                  <w:tcW w:w="936" w:type="pct"/>
                  <w:shd w:val="clear" w:color="auto" w:fill="auto"/>
                  <w:vAlign w:val="center"/>
                </w:tcPr>
                <w:p w14:paraId="4F1D13D3">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eastAsia="宋体"/>
                      <w:color w:val="auto"/>
                      <w:szCs w:val="21"/>
                      <w:highlight w:val="none"/>
                      <w:lang w:val="en-US" w:eastAsia="zh-CN"/>
                    </w:rPr>
                    <w:t>0</w:t>
                  </w:r>
                </w:p>
              </w:tc>
              <w:tc>
                <w:tcPr>
                  <w:tcW w:w="806" w:type="pct"/>
                  <w:vAlign w:val="center"/>
                </w:tcPr>
                <w:p w14:paraId="6AB1E9BE">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color w:val="auto"/>
                      <w:szCs w:val="21"/>
                      <w:highlight w:val="none"/>
                      <w:lang w:val="en-US" w:eastAsia="zh-CN"/>
                    </w:rPr>
                  </w:pPr>
                  <w:r>
                    <w:rPr>
                      <w:rFonts w:hint="eastAsia" w:eastAsia="宋体"/>
                      <w:color w:val="auto"/>
                      <w:szCs w:val="21"/>
                      <w:highlight w:val="none"/>
                      <w:lang w:val="en-US" w:eastAsia="zh-CN"/>
                    </w:rPr>
                    <w:t>3.572</w:t>
                  </w:r>
                </w:p>
              </w:tc>
              <w:tc>
                <w:tcPr>
                  <w:tcW w:w="890" w:type="pct"/>
                  <w:vAlign w:val="center"/>
                </w:tcPr>
                <w:p w14:paraId="3F20998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10.739</w:t>
                  </w:r>
                </w:p>
              </w:tc>
              <w:tc>
                <w:tcPr>
                  <w:tcW w:w="890" w:type="pct"/>
                  <w:vAlign w:val="center"/>
                </w:tcPr>
                <w:p w14:paraId="5D7088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-3.572</w:t>
                  </w:r>
                </w:p>
              </w:tc>
            </w:tr>
            <w:tr w14:paraId="0718B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 w:hRule="atLeast"/>
                <w:jc w:val="center"/>
              </w:trPr>
              <w:tc>
                <w:tcPr>
                  <w:tcW w:w="792" w:type="pct"/>
                  <w:vAlign w:val="center"/>
                </w:tcPr>
                <w:p w14:paraId="096C982B">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氮氧化物</w:t>
                  </w:r>
                </w:p>
              </w:tc>
              <w:tc>
                <w:tcPr>
                  <w:tcW w:w="683" w:type="pct"/>
                  <w:vAlign w:val="center"/>
                </w:tcPr>
                <w:p w14:paraId="29F300AB">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6.843</w:t>
                  </w:r>
                </w:p>
              </w:tc>
              <w:tc>
                <w:tcPr>
                  <w:tcW w:w="936" w:type="pct"/>
                  <w:shd w:val="clear" w:color="auto" w:fill="auto"/>
                  <w:vAlign w:val="center"/>
                </w:tcPr>
                <w:p w14:paraId="5EBDB7DD">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eastAsia="宋体"/>
                      <w:color w:val="auto"/>
                      <w:szCs w:val="21"/>
                      <w:highlight w:val="none"/>
                      <w:lang w:val="en-US" w:eastAsia="zh-CN"/>
                    </w:rPr>
                    <w:t>0</w:t>
                  </w:r>
                </w:p>
              </w:tc>
              <w:tc>
                <w:tcPr>
                  <w:tcW w:w="806" w:type="pct"/>
                  <w:vAlign w:val="center"/>
                </w:tcPr>
                <w:p w14:paraId="4B0EBCC6">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color w:val="auto"/>
                      <w:szCs w:val="21"/>
                      <w:highlight w:val="none"/>
                      <w:lang w:val="en-US" w:eastAsia="zh-CN"/>
                    </w:rPr>
                  </w:pPr>
                  <w:r>
                    <w:rPr>
                      <w:rFonts w:hint="eastAsia" w:eastAsia="宋体"/>
                      <w:color w:val="auto"/>
                      <w:szCs w:val="21"/>
                      <w:highlight w:val="none"/>
                      <w:lang w:val="en-US" w:eastAsia="zh-CN"/>
                    </w:rPr>
                    <w:t>4.869</w:t>
                  </w:r>
                </w:p>
              </w:tc>
              <w:tc>
                <w:tcPr>
                  <w:tcW w:w="890" w:type="pct"/>
                  <w:vAlign w:val="center"/>
                </w:tcPr>
                <w:p w14:paraId="6B852A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1.974</w:t>
                  </w:r>
                </w:p>
              </w:tc>
              <w:tc>
                <w:tcPr>
                  <w:tcW w:w="890" w:type="pct"/>
                  <w:vAlign w:val="center"/>
                </w:tcPr>
                <w:p w14:paraId="695F79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-4.869</w:t>
                  </w:r>
                </w:p>
              </w:tc>
            </w:tr>
            <w:tr w14:paraId="77440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 w:hRule="atLeast"/>
                <w:jc w:val="center"/>
              </w:trPr>
              <w:tc>
                <w:tcPr>
                  <w:tcW w:w="792" w:type="pct"/>
                  <w:vAlign w:val="center"/>
                </w:tcPr>
                <w:p w14:paraId="4096F981">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颗粒物</w:t>
                  </w:r>
                </w:p>
              </w:tc>
              <w:tc>
                <w:tcPr>
                  <w:tcW w:w="683" w:type="pct"/>
                  <w:vAlign w:val="center"/>
                </w:tcPr>
                <w:p w14:paraId="7F2FEFD4">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2.1317</w:t>
                  </w:r>
                </w:p>
              </w:tc>
              <w:tc>
                <w:tcPr>
                  <w:tcW w:w="936" w:type="pct"/>
                  <w:shd w:val="clear" w:color="auto" w:fill="auto"/>
                  <w:vAlign w:val="center"/>
                </w:tcPr>
                <w:p w14:paraId="372506E2">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eastAsia="宋体"/>
                      <w:color w:val="auto"/>
                      <w:szCs w:val="21"/>
                      <w:highlight w:val="none"/>
                      <w:lang w:val="en-US" w:eastAsia="zh-CN"/>
                    </w:rPr>
                    <w:t>2.006</w:t>
                  </w:r>
                </w:p>
              </w:tc>
              <w:tc>
                <w:tcPr>
                  <w:tcW w:w="806" w:type="pct"/>
                  <w:vAlign w:val="center"/>
                </w:tcPr>
                <w:p w14:paraId="0C580B54">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color w:val="auto"/>
                      <w:szCs w:val="21"/>
                      <w:highlight w:val="none"/>
                      <w:lang w:val="en-US" w:eastAsia="zh-CN"/>
                    </w:rPr>
                  </w:pPr>
                  <w:r>
                    <w:rPr>
                      <w:rFonts w:hint="eastAsia" w:eastAsia="宋体"/>
                      <w:color w:val="auto"/>
                      <w:szCs w:val="21"/>
                      <w:highlight w:val="none"/>
                      <w:lang w:val="en-US" w:eastAsia="zh-CN"/>
                    </w:rPr>
                    <w:t>1.5577</w:t>
                  </w:r>
                </w:p>
              </w:tc>
              <w:tc>
                <w:tcPr>
                  <w:tcW w:w="890" w:type="pct"/>
                  <w:vAlign w:val="center"/>
                </w:tcPr>
                <w:p w14:paraId="7A1FDD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2.58</w:t>
                  </w:r>
                </w:p>
              </w:tc>
              <w:tc>
                <w:tcPr>
                  <w:tcW w:w="890" w:type="pct"/>
                  <w:vAlign w:val="center"/>
                </w:tcPr>
                <w:p w14:paraId="2C0AEF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+0.4483</w:t>
                  </w:r>
                </w:p>
              </w:tc>
            </w:tr>
          </w:tbl>
          <w:p w14:paraId="6880A7CA">
            <w:pPr>
              <w:keepNext w:val="0"/>
              <w:keepLines w:val="0"/>
              <w:pageBreakBefore w:val="0"/>
              <w:numPr>
                <w:ilvl w:val="0"/>
                <w:numId w:val="0"/>
              </w:numPr>
              <w:kinsoku/>
              <w:wordWrap/>
              <w:overflowPunct/>
              <w:topLinePunct w:val="0"/>
              <w:autoSpaceDE/>
              <w:autoSpaceDN/>
              <w:bidi w:val="0"/>
              <w:adjustRightInd/>
              <w:spacing w:line="440" w:lineRule="exact"/>
              <w:ind w:left="0" w:leftChars="0" w:firstLine="482" w:firstLineChars="200"/>
              <w:textAlignment w:val="auto"/>
              <w:rPr>
                <w:rFonts w:hint="default" w:ascii="Times New Roman" w:hAnsi="Times New Roman" w:eastAsia="宋体" w:cs="Times New Roman"/>
                <w:b/>
                <w:color w:val="auto"/>
                <w:kern w:val="0"/>
                <w:sz w:val="24"/>
                <w:szCs w:val="24"/>
                <w:highlight w:val="none"/>
                <w:lang w:val="en-US" w:eastAsia="zh-CN" w:bidi="ar-SA"/>
              </w:rPr>
            </w:pPr>
          </w:p>
          <w:p w14:paraId="3CF7873B">
            <w:pPr>
              <w:keepNext w:val="0"/>
              <w:keepLines w:val="0"/>
              <w:pageBreakBefore w:val="0"/>
              <w:numPr>
                <w:ilvl w:val="0"/>
                <w:numId w:val="0"/>
              </w:numPr>
              <w:kinsoku/>
              <w:wordWrap/>
              <w:overflowPunct/>
              <w:topLinePunct w:val="0"/>
              <w:autoSpaceDE/>
              <w:autoSpaceDN/>
              <w:bidi w:val="0"/>
              <w:adjustRightInd/>
              <w:spacing w:line="440" w:lineRule="exact"/>
              <w:ind w:left="0" w:leftChars="0" w:firstLine="482" w:firstLineChars="200"/>
              <w:textAlignment w:val="auto"/>
              <w:rPr>
                <w:rFonts w:hint="default" w:ascii="Times New Roman" w:hAnsi="Times New Roman" w:eastAsia="宋体" w:cs="Times New Roman"/>
                <w:b/>
                <w:color w:val="auto"/>
                <w:kern w:val="0"/>
                <w:sz w:val="24"/>
                <w:szCs w:val="24"/>
                <w:highlight w:val="none"/>
              </w:rPr>
            </w:pPr>
            <w:r>
              <w:rPr>
                <w:rFonts w:hint="default" w:ascii="Times New Roman" w:hAnsi="Times New Roman" w:eastAsia="宋体" w:cs="Times New Roman"/>
                <w:b/>
                <w:color w:val="auto"/>
                <w:kern w:val="0"/>
                <w:sz w:val="24"/>
                <w:szCs w:val="24"/>
                <w:highlight w:val="none"/>
                <w:lang w:val="en-US" w:eastAsia="zh-CN" w:bidi="ar-SA"/>
              </w:rPr>
              <w:t>（</w:t>
            </w:r>
            <w:r>
              <w:rPr>
                <w:rFonts w:hint="eastAsia" w:cs="Times New Roman"/>
                <w:b/>
                <w:color w:val="auto"/>
                <w:kern w:val="0"/>
                <w:sz w:val="24"/>
                <w:szCs w:val="24"/>
                <w:highlight w:val="none"/>
                <w:lang w:val="en-US" w:eastAsia="zh-CN" w:bidi="ar-SA"/>
              </w:rPr>
              <w:t>4</w:t>
            </w:r>
            <w:r>
              <w:rPr>
                <w:rFonts w:hint="default" w:ascii="Times New Roman" w:hAnsi="Times New Roman" w:eastAsia="宋体" w:cs="Times New Roman"/>
                <w:b/>
                <w:color w:val="auto"/>
                <w:kern w:val="0"/>
                <w:sz w:val="24"/>
                <w:szCs w:val="24"/>
                <w:highlight w:val="none"/>
                <w:lang w:val="en-US" w:eastAsia="zh-CN" w:bidi="ar-SA"/>
              </w:rPr>
              <w:t>）</w:t>
            </w:r>
            <w:r>
              <w:rPr>
                <w:rFonts w:hint="default" w:ascii="Times New Roman" w:hAnsi="Times New Roman" w:eastAsia="宋体" w:cs="Times New Roman"/>
                <w:b/>
                <w:color w:val="auto"/>
                <w:kern w:val="0"/>
                <w:sz w:val="24"/>
                <w:szCs w:val="24"/>
                <w:highlight w:val="none"/>
              </w:rPr>
              <w:t>达标分析</w:t>
            </w:r>
          </w:p>
          <w:p w14:paraId="0A1A46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kern w:val="0"/>
                <w:sz w:val="21"/>
                <w:szCs w:val="21"/>
                <w:highlight w:val="none"/>
                <w:lang w:val="en-US" w:eastAsia="zh-CN"/>
              </w:rPr>
            </w:pPr>
            <w:r>
              <w:rPr>
                <w:b/>
                <w:bCs/>
                <w:color w:val="auto"/>
                <w:highlight w:val="none"/>
              </w:rPr>
              <w:t>表</w:t>
            </w:r>
            <w:r>
              <w:rPr>
                <w:rFonts w:hint="eastAsia"/>
                <w:b/>
                <w:bCs/>
                <w:color w:val="auto"/>
                <w:highlight w:val="none"/>
              </w:rPr>
              <w:t>4</w:t>
            </w:r>
            <w:r>
              <w:rPr>
                <w:b/>
                <w:bCs/>
                <w:color w:val="auto"/>
                <w:highlight w:val="none"/>
              </w:rPr>
              <w:t>-</w:t>
            </w:r>
            <w:r>
              <w:rPr>
                <w:rFonts w:hint="eastAsia"/>
                <w:b/>
                <w:bCs/>
                <w:color w:val="auto"/>
                <w:highlight w:val="none"/>
                <w:lang w:val="en-US" w:eastAsia="zh-CN"/>
              </w:rPr>
              <w:t>11  本项目</w:t>
            </w:r>
            <w:r>
              <w:rPr>
                <w:b/>
                <w:bCs/>
                <w:color w:val="auto"/>
                <w:highlight w:val="none"/>
              </w:rPr>
              <w:t>废气</w:t>
            </w:r>
            <w:r>
              <w:rPr>
                <w:rFonts w:hint="eastAsia"/>
                <w:b/>
                <w:bCs/>
                <w:color w:val="auto"/>
                <w:highlight w:val="none"/>
                <w:lang w:val="en-US" w:eastAsia="zh-CN"/>
              </w:rPr>
              <w:t>产排</w:t>
            </w:r>
            <w:r>
              <w:rPr>
                <w:b/>
                <w:bCs/>
                <w:color w:val="auto"/>
                <w:highlight w:val="none"/>
              </w:rPr>
              <w:t>一览表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9" w:type="dxa"/>
                <w:bottom w:w="0" w:type="dxa"/>
                <w:right w:w="79" w:type="dxa"/>
              </w:tblCellMar>
            </w:tblPr>
            <w:tblGrid>
              <w:gridCol w:w="342"/>
              <w:gridCol w:w="850"/>
              <w:gridCol w:w="793"/>
              <w:gridCol w:w="704"/>
              <w:gridCol w:w="1679"/>
              <w:gridCol w:w="660"/>
              <w:gridCol w:w="660"/>
              <w:gridCol w:w="660"/>
              <w:gridCol w:w="660"/>
              <w:gridCol w:w="994"/>
              <w:gridCol w:w="689"/>
            </w:tblGrid>
            <w:tr w14:paraId="227E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1192" w:type="dxa"/>
                  <w:gridSpan w:val="2"/>
                  <w:vMerge w:val="restart"/>
                  <w:noWrap w:val="0"/>
                  <w:vAlign w:val="center"/>
                </w:tcPr>
                <w:p w14:paraId="18FEC0F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val="0"/>
                      <w:snapToGrid w:val="0"/>
                      <w:color w:val="auto"/>
                      <w:spacing w:val="-11"/>
                      <w:kern w:val="0"/>
                      <w:sz w:val="21"/>
                      <w:szCs w:val="21"/>
                      <w:highlight w:val="none"/>
                    </w:rPr>
                  </w:pPr>
                  <w:r>
                    <w:rPr>
                      <w:rFonts w:hint="default" w:ascii="Times New Roman" w:hAnsi="Times New Roman" w:eastAsia="宋体" w:cs="Times New Roman"/>
                      <w:b/>
                      <w:bCs w:val="0"/>
                      <w:snapToGrid w:val="0"/>
                      <w:color w:val="auto"/>
                      <w:spacing w:val="-11"/>
                      <w:kern w:val="0"/>
                      <w:sz w:val="21"/>
                      <w:szCs w:val="21"/>
                      <w:highlight w:val="none"/>
                    </w:rPr>
                    <w:t>项目</w:t>
                  </w:r>
                </w:p>
              </w:tc>
              <w:tc>
                <w:tcPr>
                  <w:tcW w:w="7499" w:type="dxa"/>
                  <w:gridSpan w:val="9"/>
                  <w:noWrap w:val="0"/>
                  <w:vAlign w:val="center"/>
                </w:tcPr>
                <w:p w14:paraId="70CD9F4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val="0"/>
                      <w:snapToGrid w:val="0"/>
                      <w:color w:val="auto"/>
                      <w:spacing w:val="-11"/>
                      <w:kern w:val="0"/>
                      <w:sz w:val="21"/>
                      <w:szCs w:val="21"/>
                      <w:highlight w:val="none"/>
                    </w:rPr>
                  </w:pPr>
                  <w:r>
                    <w:rPr>
                      <w:rFonts w:hint="default" w:ascii="Times New Roman" w:hAnsi="Times New Roman" w:eastAsia="宋体" w:cs="Times New Roman"/>
                      <w:b/>
                      <w:bCs w:val="0"/>
                      <w:snapToGrid w:val="0"/>
                      <w:color w:val="auto"/>
                      <w:spacing w:val="-11"/>
                      <w:kern w:val="0"/>
                      <w:sz w:val="21"/>
                      <w:szCs w:val="21"/>
                      <w:highlight w:val="none"/>
                    </w:rPr>
                    <w:t>产污节点</w:t>
                  </w:r>
                </w:p>
              </w:tc>
            </w:tr>
            <w:tr w14:paraId="0B165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1192" w:type="dxa"/>
                  <w:gridSpan w:val="2"/>
                  <w:vMerge w:val="continue"/>
                  <w:noWrap w:val="0"/>
                  <w:vAlign w:val="center"/>
                </w:tcPr>
                <w:p w14:paraId="29EE0CE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val="0"/>
                      <w:snapToGrid w:val="0"/>
                      <w:color w:val="auto"/>
                      <w:spacing w:val="-11"/>
                      <w:kern w:val="0"/>
                      <w:sz w:val="21"/>
                      <w:szCs w:val="21"/>
                      <w:highlight w:val="none"/>
                    </w:rPr>
                  </w:pPr>
                </w:p>
              </w:tc>
              <w:tc>
                <w:tcPr>
                  <w:tcW w:w="3176" w:type="dxa"/>
                  <w:gridSpan w:val="3"/>
                  <w:noWrap w:val="0"/>
                  <w:vAlign w:val="center"/>
                </w:tcPr>
                <w:p w14:paraId="0A7637E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val="0"/>
                      <w:snapToGrid w:val="0"/>
                      <w:color w:val="auto"/>
                      <w:spacing w:val="-11"/>
                      <w:kern w:val="0"/>
                      <w:sz w:val="21"/>
                      <w:szCs w:val="21"/>
                      <w:highlight w:val="none"/>
                      <w:lang w:val="en-US" w:eastAsia="zh-CN"/>
                    </w:rPr>
                  </w:pPr>
                  <w:r>
                    <w:rPr>
                      <w:rFonts w:hint="eastAsia" w:cs="Times New Roman"/>
                      <w:b/>
                      <w:bCs w:val="0"/>
                      <w:snapToGrid w:val="0"/>
                      <w:color w:val="auto"/>
                      <w:spacing w:val="-11"/>
                      <w:kern w:val="0"/>
                      <w:sz w:val="21"/>
                      <w:szCs w:val="21"/>
                      <w:highlight w:val="none"/>
                      <w:lang w:val="en-US" w:eastAsia="zh-CN"/>
                    </w:rPr>
                    <w:t>液体复合微生物肥</w:t>
                  </w:r>
                </w:p>
              </w:tc>
              <w:tc>
                <w:tcPr>
                  <w:tcW w:w="4323" w:type="dxa"/>
                  <w:gridSpan w:val="6"/>
                  <w:noWrap w:val="0"/>
                  <w:vAlign w:val="center"/>
                </w:tcPr>
                <w:p w14:paraId="54BC9C7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val="0"/>
                      <w:snapToGrid w:val="0"/>
                      <w:color w:val="auto"/>
                      <w:spacing w:val="-11"/>
                      <w:kern w:val="0"/>
                      <w:sz w:val="21"/>
                      <w:szCs w:val="21"/>
                      <w:highlight w:val="none"/>
                      <w:lang w:val="en-US" w:eastAsia="zh-CN"/>
                    </w:rPr>
                  </w:pPr>
                  <w:r>
                    <w:rPr>
                      <w:rFonts w:hint="eastAsia" w:cs="Times New Roman"/>
                      <w:b/>
                      <w:bCs w:val="0"/>
                      <w:snapToGrid w:val="0"/>
                      <w:color w:val="auto"/>
                      <w:spacing w:val="-11"/>
                      <w:kern w:val="0"/>
                      <w:sz w:val="21"/>
                      <w:szCs w:val="21"/>
                      <w:highlight w:val="none"/>
                      <w:lang w:val="en-US" w:eastAsia="zh-CN"/>
                    </w:rPr>
                    <w:t>固体复合微生物肥</w:t>
                  </w:r>
                </w:p>
              </w:tc>
            </w:tr>
            <w:tr w14:paraId="6AD1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1192" w:type="dxa"/>
                  <w:gridSpan w:val="2"/>
                  <w:vMerge w:val="continue"/>
                  <w:noWrap w:val="0"/>
                  <w:vAlign w:val="center"/>
                </w:tcPr>
                <w:p w14:paraId="1DE50BC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val="0"/>
                      <w:snapToGrid w:val="0"/>
                      <w:color w:val="auto"/>
                      <w:spacing w:val="-11"/>
                      <w:kern w:val="0"/>
                      <w:sz w:val="21"/>
                      <w:szCs w:val="21"/>
                      <w:highlight w:val="none"/>
                    </w:rPr>
                  </w:pPr>
                </w:p>
              </w:tc>
              <w:tc>
                <w:tcPr>
                  <w:tcW w:w="1497" w:type="dxa"/>
                  <w:gridSpan w:val="2"/>
                  <w:noWrap w:val="0"/>
                  <w:vAlign w:val="center"/>
                </w:tcPr>
                <w:p w14:paraId="1FE8A22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bCs w:val="0"/>
                      <w:snapToGrid w:val="0"/>
                      <w:color w:val="auto"/>
                      <w:spacing w:val="-11"/>
                      <w:kern w:val="0"/>
                      <w:sz w:val="21"/>
                      <w:szCs w:val="21"/>
                      <w:highlight w:val="none"/>
                      <w:lang w:val="en-US" w:eastAsia="zh-CN"/>
                    </w:rPr>
                  </w:pPr>
                  <w:r>
                    <w:rPr>
                      <w:rFonts w:hint="eastAsia" w:cs="Times New Roman"/>
                      <w:b/>
                      <w:bCs w:val="0"/>
                      <w:snapToGrid w:val="0"/>
                      <w:color w:val="auto"/>
                      <w:spacing w:val="-11"/>
                      <w:kern w:val="0"/>
                      <w:sz w:val="21"/>
                      <w:szCs w:val="21"/>
                      <w:highlight w:val="none"/>
                      <w:lang w:val="en-US" w:eastAsia="zh-CN"/>
                    </w:rPr>
                    <w:t>发酵、搅拌</w:t>
                  </w:r>
                </w:p>
              </w:tc>
              <w:tc>
                <w:tcPr>
                  <w:tcW w:w="1679" w:type="dxa"/>
                  <w:noWrap w:val="0"/>
                  <w:vAlign w:val="center"/>
                </w:tcPr>
                <w:p w14:paraId="28D2695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bCs w:val="0"/>
                      <w:snapToGrid w:val="0"/>
                      <w:color w:val="auto"/>
                      <w:spacing w:val="-11"/>
                      <w:kern w:val="0"/>
                      <w:sz w:val="21"/>
                      <w:szCs w:val="21"/>
                      <w:highlight w:val="none"/>
                      <w:lang w:val="en-US" w:eastAsia="zh-CN"/>
                    </w:rPr>
                  </w:pPr>
                  <w:r>
                    <w:rPr>
                      <w:rFonts w:hint="eastAsia" w:cs="Times New Roman"/>
                      <w:b/>
                      <w:bCs w:val="0"/>
                      <w:snapToGrid w:val="0"/>
                      <w:color w:val="auto"/>
                      <w:spacing w:val="-11"/>
                      <w:kern w:val="0"/>
                      <w:sz w:val="21"/>
                      <w:szCs w:val="21"/>
                      <w:highlight w:val="none"/>
                      <w:lang w:val="en-US" w:eastAsia="zh-CN"/>
                    </w:rPr>
                    <w:t>投料、搅拌</w:t>
                  </w:r>
                </w:p>
              </w:tc>
              <w:tc>
                <w:tcPr>
                  <w:tcW w:w="2640" w:type="dxa"/>
                  <w:gridSpan w:val="4"/>
                  <w:noWrap w:val="0"/>
                  <w:vAlign w:val="center"/>
                </w:tcPr>
                <w:p w14:paraId="028D0D8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bCs w:val="0"/>
                      <w:snapToGrid w:val="0"/>
                      <w:color w:val="auto"/>
                      <w:spacing w:val="-11"/>
                      <w:kern w:val="0"/>
                      <w:sz w:val="21"/>
                      <w:szCs w:val="21"/>
                      <w:highlight w:val="none"/>
                      <w:lang w:val="en-US" w:eastAsia="zh-CN"/>
                    </w:rPr>
                  </w:pPr>
                  <w:r>
                    <w:rPr>
                      <w:rFonts w:hint="eastAsia" w:cs="Times New Roman"/>
                      <w:b/>
                      <w:bCs w:val="0"/>
                      <w:snapToGrid w:val="0"/>
                      <w:color w:val="auto"/>
                      <w:spacing w:val="-11"/>
                      <w:kern w:val="0"/>
                      <w:sz w:val="21"/>
                      <w:szCs w:val="21"/>
                      <w:highlight w:val="none"/>
                      <w:lang w:val="en-US" w:eastAsia="zh-CN"/>
                    </w:rPr>
                    <w:t>发酵、一次筛分</w:t>
                  </w:r>
                </w:p>
              </w:tc>
              <w:tc>
                <w:tcPr>
                  <w:tcW w:w="1683" w:type="dxa"/>
                  <w:gridSpan w:val="2"/>
                  <w:noWrap w:val="0"/>
                  <w:vAlign w:val="center"/>
                </w:tcPr>
                <w:p w14:paraId="6C51706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bCs w:val="0"/>
                      <w:snapToGrid w:val="0"/>
                      <w:color w:val="auto"/>
                      <w:spacing w:val="-11"/>
                      <w:kern w:val="0"/>
                      <w:sz w:val="21"/>
                      <w:szCs w:val="21"/>
                      <w:highlight w:val="none"/>
                      <w:lang w:val="en-US" w:eastAsia="zh-CN"/>
                    </w:rPr>
                  </w:pPr>
                  <w:r>
                    <w:rPr>
                      <w:rFonts w:hint="eastAsia" w:cs="Times New Roman"/>
                      <w:b/>
                      <w:bCs w:val="0"/>
                      <w:snapToGrid w:val="0"/>
                      <w:color w:val="auto"/>
                      <w:spacing w:val="-11"/>
                      <w:kern w:val="0"/>
                      <w:sz w:val="21"/>
                      <w:szCs w:val="21"/>
                      <w:highlight w:val="none"/>
                      <w:lang w:val="en-US" w:eastAsia="zh-CN"/>
                    </w:rPr>
                    <w:t>扑粉、破碎、筛分、混料（投料、搅拌）、包装</w:t>
                  </w:r>
                </w:p>
              </w:tc>
            </w:tr>
            <w:tr w14:paraId="4CAF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1192" w:type="dxa"/>
                  <w:gridSpan w:val="2"/>
                  <w:noWrap w:val="0"/>
                  <w:vAlign w:val="center"/>
                </w:tcPr>
                <w:p w14:paraId="7CD2CB7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val="0"/>
                      <w:snapToGrid w:val="0"/>
                      <w:color w:val="auto"/>
                      <w:spacing w:val="-11"/>
                      <w:kern w:val="0"/>
                      <w:sz w:val="21"/>
                      <w:szCs w:val="21"/>
                      <w:highlight w:val="none"/>
                    </w:rPr>
                  </w:pPr>
                  <w:r>
                    <w:rPr>
                      <w:rFonts w:hint="default" w:ascii="Times New Roman" w:hAnsi="Times New Roman" w:eastAsia="宋体" w:cs="Times New Roman"/>
                      <w:bCs/>
                      <w:snapToGrid w:val="0"/>
                      <w:color w:val="auto"/>
                      <w:spacing w:val="-11"/>
                      <w:kern w:val="0"/>
                      <w:sz w:val="21"/>
                      <w:szCs w:val="21"/>
                      <w:highlight w:val="none"/>
                    </w:rPr>
                    <w:t>污染种类</w:t>
                  </w:r>
                </w:p>
              </w:tc>
              <w:tc>
                <w:tcPr>
                  <w:tcW w:w="793" w:type="dxa"/>
                  <w:noWrap w:val="0"/>
                  <w:vAlign w:val="center"/>
                </w:tcPr>
                <w:p w14:paraId="3AA075F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bCs w:val="0"/>
                      <w:snapToGrid w:val="0"/>
                      <w:color w:val="auto"/>
                      <w:spacing w:val="-11"/>
                      <w:kern w:val="0"/>
                      <w:sz w:val="21"/>
                      <w:szCs w:val="21"/>
                      <w:highlight w:val="none"/>
                      <w:lang w:val="en-US" w:eastAsia="zh-CN"/>
                    </w:rPr>
                  </w:pPr>
                  <w:r>
                    <w:rPr>
                      <w:rFonts w:hint="eastAsia" w:cs="Times New Roman"/>
                      <w:b/>
                      <w:bCs w:val="0"/>
                      <w:snapToGrid w:val="0"/>
                      <w:color w:val="auto"/>
                      <w:spacing w:val="-11"/>
                      <w:kern w:val="0"/>
                      <w:sz w:val="21"/>
                      <w:szCs w:val="21"/>
                      <w:highlight w:val="none"/>
                      <w:lang w:val="en-US" w:eastAsia="zh-CN"/>
                    </w:rPr>
                    <w:t>氨</w:t>
                  </w:r>
                </w:p>
              </w:tc>
              <w:tc>
                <w:tcPr>
                  <w:tcW w:w="704" w:type="dxa"/>
                  <w:noWrap w:val="0"/>
                  <w:vAlign w:val="center"/>
                </w:tcPr>
                <w:p w14:paraId="43C238E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bCs w:val="0"/>
                      <w:snapToGrid w:val="0"/>
                      <w:color w:val="auto"/>
                      <w:spacing w:val="-11"/>
                      <w:kern w:val="0"/>
                      <w:sz w:val="21"/>
                      <w:szCs w:val="21"/>
                      <w:highlight w:val="none"/>
                      <w:lang w:val="en-US" w:eastAsia="zh-CN"/>
                    </w:rPr>
                  </w:pPr>
                  <w:r>
                    <w:rPr>
                      <w:rFonts w:hint="eastAsia" w:cs="Times New Roman"/>
                      <w:b/>
                      <w:bCs w:val="0"/>
                      <w:snapToGrid w:val="0"/>
                      <w:color w:val="auto"/>
                      <w:spacing w:val="-11"/>
                      <w:kern w:val="0"/>
                      <w:sz w:val="21"/>
                      <w:szCs w:val="21"/>
                      <w:highlight w:val="none"/>
                      <w:lang w:val="en-US" w:eastAsia="zh-CN"/>
                    </w:rPr>
                    <w:t>硫化氢</w:t>
                  </w:r>
                </w:p>
              </w:tc>
              <w:tc>
                <w:tcPr>
                  <w:tcW w:w="1679" w:type="dxa"/>
                  <w:noWrap w:val="0"/>
                  <w:vAlign w:val="center"/>
                </w:tcPr>
                <w:p w14:paraId="2448BEA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bCs w:val="0"/>
                      <w:snapToGrid w:val="0"/>
                      <w:color w:val="auto"/>
                      <w:spacing w:val="-11"/>
                      <w:kern w:val="0"/>
                      <w:sz w:val="21"/>
                      <w:szCs w:val="21"/>
                      <w:highlight w:val="none"/>
                      <w:lang w:val="en-US" w:eastAsia="zh-CN"/>
                    </w:rPr>
                  </w:pPr>
                  <w:r>
                    <w:rPr>
                      <w:rFonts w:hint="eastAsia" w:cs="Times New Roman"/>
                      <w:b/>
                      <w:bCs w:val="0"/>
                      <w:snapToGrid w:val="0"/>
                      <w:color w:val="auto"/>
                      <w:spacing w:val="-11"/>
                      <w:kern w:val="0"/>
                      <w:sz w:val="21"/>
                      <w:szCs w:val="21"/>
                      <w:highlight w:val="none"/>
                      <w:lang w:val="en-US" w:eastAsia="zh-CN"/>
                    </w:rPr>
                    <w:t>颗粒物</w:t>
                  </w:r>
                </w:p>
              </w:tc>
              <w:tc>
                <w:tcPr>
                  <w:tcW w:w="1320" w:type="dxa"/>
                  <w:gridSpan w:val="2"/>
                  <w:noWrap w:val="0"/>
                  <w:vAlign w:val="center"/>
                </w:tcPr>
                <w:p w14:paraId="17DAA39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s="Times New Roman"/>
                      <w:b/>
                      <w:bCs w:val="0"/>
                      <w:snapToGrid w:val="0"/>
                      <w:color w:val="auto"/>
                      <w:spacing w:val="-11"/>
                      <w:kern w:val="0"/>
                      <w:sz w:val="21"/>
                      <w:szCs w:val="21"/>
                      <w:highlight w:val="none"/>
                      <w:lang w:val="en-US" w:eastAsia="zh-CN"/>
                    </w:rPr>
                  </w:pPr>
                  <w:r>
                    <w:rPr>
                      <w:rFonts w:hint="eastAsia" w:cs="Times New Roman"/>
                      <w:b/>
                      <w:bCs w:val="0"/>
                      <w:snapToGrid w:val="0"/>
                      <w:color w:val="auto"/>
                      <w:spacing w:val="-11"/>
                      <w:kern w:val="0"/>
                      <w:sz w:val="21"/>
                      <w:szCs w:val="21"/>
                      <w:highlight w:val="none"/>
                      <w:lang w:val="en-US" w:eastAsia="zh-CN"/>
                    </w:rPr>
                    <w:t>氨</w:t>
                  </w:r>
                </w:p>
              </w:tc>
              <w:tc>
                <w:tcPr>
                  <w:tcW w:w="1320" w:type="dxa"/>
                  <w:gridSpan w:val="2"/>
                  <w:noWrap w:val="0"/>
                  <w:vAlign w:val="center"/>
                </w:tcPr>
                <w:p w14:paraId="2E06A6C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s="Times New Roman"/>
                      <w:b/>
                      <w:bCs w:val="0"/>
                      <w:snapToGrid w:val="0"/>
                      <w:color w:val="auto"/>
                      <w:spacing w:val="-11"/>
                      <w:kern w:val="0"/>
                      <w:sz w:val="21"/>
                      <w:szCs w:val="21"/>
                      <w:highlight w:val="none"/>
                      <w:lang w:val="en-US" w:eastAsia="zh-CN"/>
                    </w:rPr>
                  </w:pPr>
                  <w:r>
                    <w:rPr>
                      <w:rFonts w:hint="eastAsia" w:cs="Times New Roman"/>
                      <w:b/>
                      <w:bCs w:val="0"/>
                      <w:snapToGrid w:val="0"/>
                      <w:color w:val="auto"/>
                      <w:spacing w:val="-11"/>
                      <w:kern w:val="0"/>
                      <w:sz w:val="21"/>
                      <w:szCs w:val="21"/>
                      <w:highlight w:val="none"/>
                      <w:lang w:val="en-US" w:eastAsia="zh-CN"/>
                    </w:rPr>
                    <w:t>硫化氢</w:t>
                  </w:r>
                </w:p>
              </w:tc>
              <w:tc>
                <w:tcPr>
                  <w:tcW w:w="1683" w:type="dxa"/>
                  <w:gridSpan w:val="2"/>
                  <w:noWrap w:val="0"/>
                  <w:vAlign w:val="center"/>
                </w:tcPr>
                <w:p w14:paraId="5E95BD7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bCs w:val="0"/>
                      <w:snapToGrid w:val="0"/>
                      <w:color w:val="auto"/>
                      <w:spacing w:val="-11"/>
                      <w:kern w:val="0"/>
                      <w:sz w:val="21"/>
                      <w:szCs w:val="21"/>
                      <w:highlight w:val="none"/>
                      <w:lang w:val="en-US" w:eastAsia="zh-CN"/>
                    </w:rPr>
                  </w:pPr>
                  <w:r>
                    <w:rPr>
                      <w:rFonts w:hint="eastAsia" w:cs="Times New Roman"/>
                      <w:b/>
                      <w:bCs w:val="0"/>
                      <w:snapToGrid w:val="0"/>
                      <w:color w:val="auto"/>
                      <w:spacing w:val="-11"/>
                      <w:kern w:val="0"/>
                      <w:sz w:val="21"/>
                      <w:szCs w:val="21"/>
                      <w:highlight w:val="none"/>
                      <w:lang w:val="en-US" w:eastAsia="zh-CN"/>
                    </w:rPr>
                    <w:t>颗粒物</w:t>
                  </w:r>
                </w:p>
              </w:tc>
            </w:tr>
            <w:tr w14:paraId="4E316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1192" w:type="dxa"/>
                  <w:gridSpan w:val="2"/>
                  <w:noWrap w:val="0"/>
                  <w:vAlign w:val="center"/>
                </w:tcPr>
                <w:p w14:paraId="73CE861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rPr>
                  </w:pPr>
                  <w:r>
                    <w:rPr>
                      <w:rFonts w:hint="eastAsia" w:ascii="Times New Roman" w:hAnsi="Times New Roman" w:eastAsia="宋体" w:cs="Times New Roman"/>
                      <w:bCs/>
                      <w:snapToGrid w:val="0"/>
                      <w:color w:val="auto"/>
                      <w:spacing w:val="-11"/>
                      <w:kern w:val="0"/>
                      <w:sz w:val="21"/>
                      <w:szCs w:val="21"/>
                      <w:highlight w:val="none"/>
                      <w:lang w:val="en-US" w:eastAsia="zh-CN"/>
                    </w:rPr>
                    <w:t>排放方式</w:t>
                  </w:r>
                </w:p>
              </w:tc>
              <w:tc>
                <w:tcPr>
                  <w:tcW w:w="793" w:type="dxa"/>
                  <w:noWrap w:val="0"/>
                  <w:vAlign w:val="center"/>
                </w:tcPr>
                <w:p w14:paraId="61B9B6D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s="Times New Roman"/>
                      <w:b/>
                      <w:bCs w:val="0"/>
                      <w:snapToGrid w:val="0"/>
                      <w:color w:val="auto"/>
                      <w:spacing w:val="-11"/>
                      <w:kern w:val="0"/>
                      <w:sz w:val="21"/>
                      <w:szCs w:val="21"/>
                      <w:highlight w:val="none"/>
                      <w:lang w:val="en-US" w:eastAsia="zh-CN"/>
                    </w:rPr>
                  </w:pPr>
                  <w:r>
                    <w:rPr>
                      <w:rFonts w:hint="eastAsia" w:ascii="Times New Roman" w:hAnsi="Times New Roman" w:eastAsia="宋体" w:cs="Times New Roman"/>
                      <w:bCs/>
                      <w:snapToGrid w:val="0"/>
                      <w:color w:val="auto"/>
                      <w:spacing w:val="-11"/>
                      <w:kern w:val="0"/>
                      <w:sz w:val="21"/>
                      <w:szCs w:val="21"/>
                      <w:highlight w:val="none"/>
                      <w:lang w:val="en-US" w:eastAsia="zh-CN"/>
                    </w:rPr>
                    <w:t>无组织</w:t>
                  </w:r>
                </w:p>
              </w:tc>
              <w:tc>
                <w:tcPr>
                  <w:tcW w:w="704" w:type="dxa"/>
                  <w:noWrap w:val="0"/>
                  <w:vAlign w:val="center"/>
                </w:tcPr>
                <w:p w14:paraId="73D252D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s="Times New Roman"/>
                      <w:b/>
                      <w:bCs w:val="0"/>
                      <w:snapToGrid w:val="0"/>
                      <w:color w:val="auto"/>
                      <w:spacing w:val="-11"/>
                      <w:kern w:val="0"/>
                      <w:sz w:val="21"/>
                      <w:szCs w:val="21"/>
                      <w:highlight w:val="none"/>
                      <w:lang w:val="en-US" w:eastAsia="zh-CN"/>
                    </w:rPr>
                  </w:pPr>
                  <w:r>
                    <w:rPr>
                      <w:rFonts w:hint="eastAsia" w:ascii="Times New Roman" w:hAnsi="Times New Roman" w:eastAsia="宋体" w:cs="Times New Roman"/>
                      <w:bCs/>
                      <w:snapToGrid w:val="0"/>
                      <w:color w:val="auto"/>
                      <w:spacing w:val="-11"/>
                      <w:kern w:val="0"/>
                      <w:sz w:val="21"/>
                      <w:szCs w:val="21"/>
                      <w:highlight w:val="none"/>
                      <w:lang w:val="en-US" w:eastAsia="zh-CN"/>
                    </w:rPr>
                    <w:t>无组织</w:t>
                  </w:r>
                </w:p>
              </w:tc>
              <w:tc>
                <w:tcPr>
                  <w:tcW w:w="1679" w:type="dxa"/>
                  <w:noWrap w:val="0"/>
                  <w:vAlign w:val="center"/>
                </w:tcPr>
                <w:p w14:paraId="6A80BAF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s="Times New Roman"/>
                      <w:b/>
                      <w:bCs w:val="0"/>
                      <w:snapToGrid w:val="0"/>
                      <w:color w:val="auto"/>
                      <w:spacing w:val="-11"/>
                      <w:kern w:val="0"/>
                      <w:sz w:val="21"/>
                      <w:szCs w:val="21"/>
                      <w:highlight w:val="none"/>
                      <w:lang w:val="en-US" w:eastAsia="zh-CN"/>
                    </w:rPr>
                  </w:pPr>
                  <w:r>
                    <w:rPr>
                      <w:rFonts w:hint="eastAsia" w:ascii="Times New Roman" w:hAnsi="Times New Roman" w:eastAsia="宋体" w:cs="Times New Roman"/>
                      <w:bCs/>
                      <w:snapToGrid w:val="0"/>
                      <w:color w:val="auto"/>
                      <w:spacing w:val="-11"/>
                      <w:kern w:val="0"/>
                      <w:sz w:val="21"/>
                      <w:szCs w:val="21"/>
                      <w:highlight w:val="none"/>
                      <w:lang w:val="en-US" w:eastAsia="zh-CN"/>
                    </w:rPr>
                    <w:t>无组织</w:t>
                  </w:r>
                </w:p>
              </w:tc>
              <w:tc>
                <w:tcPr>
                  <w:tcW w:w="660" w:type="dxa"/>
                  <w:shd w:val="clear" w:color="auto" w:fill="auto"/>
                  <w:noWrap w:val="0"/>
                  <w:vAlign w:val="center"/>
                </w:tcPr>
                <w:p w14:paraId="28E0F53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ascii="Times New Roman" w:hAnsi="Times New Roman" w:eastAsia="宋体" w:cs="Times New Roman"/>
                      <w:b w:val="0"/>
                      <w:bCs/>
                      <w:snapToGrid w:val="0"/>
                      <w:color w:val="auto"/>
                      <w:spacing w:val="-11"/>
                      <w:kern w:val="0"/>
                      <w:sz w:val="21"/>
                      <w:szCs w:val="21"/>
                      <w:highlight w:val="none"/>
                      <w:lang w:val="en-US" w:eastAsia="zh-CN"/>
                    </w:rPr>
                    <w:t>无组织</w:t>
                  </w:r>
                </w:p>
              </w:tc>
              <w:tc>
                <w:tcPr>
                  <w:tcW w:w="660" w:type="dxa"/>
                  <w:shd w:val="clear" w:color="auto" w:fill="auto"/>
                  <w:noWrap w:val="0"/>
                  <w:vAlign w:val="center"/>
                </w:tcPr>
                <w:p w14:paraId="2FA4395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有组织</w:t>
                  </w:r>
                </w:p>
              </w:tc>
              <w:tc>
                <w:tcPr>
                  <w:tcW w:w="660" w:type="dxa"/>
                  <w:noWrap w:val="0"/>
                  <w:vAlign w:val="center"/>
                </w:tcPr>
                <w:p w14:paraId="541B3FF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有组织</w:t>
                  </w:r>
                </w:p>
              </w:tc>
              <w:tc>
                <w:tcPr>
                  <w:tcW w:w="660" w:type="dxa"/>
                  <w:noWrap w:val="0"/>
                  <w:vAlign w:val="center"/>
                </w:tcPr>
                <w:p w14:paraId="0C9AD9C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s="Times New Roman"/>
                      <w:b w:val="0"/>
                      <w:bCs/>
                      <w:snapToGrid w:val="0"/>
                      <w:color w:val="auto"/>
                      <w:spacing w:val="-11"/>
                      <w:kern w:val="0"/>
                      <w:sz w:val="21"/>
                      <w:szCs w:val="21"/>
                      <w:highlight w:val="none"/>
                      <w:lang w:val="en-US" w:eastAsia="zh-CN"/>
                    </w:rPr>
                  </w:pPr>
                  <w:r>
                    <w:rPr>
                      <w:rFonts w:hint="eastAsia" w:ascii="Times New Roman" w:hAnsi="Times New Roman" w:eastAsia="宋体" w:cs="Times New Roman"/>
                      <w:b w:val="0"/>
                      <w:bCs/>
                      <w:snapToGrid w:val="0"/>
                      <w:color w:val="auto"/>
                      <w:spacing w:val="-11"/>
                      <w:kern w:val="0"/>
                      <w:sz w:val="21"/>
                      <w:szCs w:val="21"/>
                      <w:highlight w:val="none"/>
                      <w:lang w:val="en-US" w:eastAsia="zh-CN"/>
                    </w:rPr>
                    <w:t>无组织</w:t>
                  </w:r>
                </w:p>
              </w:tc>
              <w:tc>
                <w:tcPr>
                  <w:tcW w:w="994" w:type="dxa"/>
                  <w:noWrap w:val="0"/>
                  <w:vAlign w:val="center"/>
                </w:tcPr>
                <w:p w14:paraId="7B30B18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有组织</w:t>
                  </w:r>
                </w:p>
              </w:tc>
              <w:tc>
                <w:tcPr>
                  <w:tcW w:w="689" w:type="dxa"/>
                  <w:noWrap w:val="0"/>
                  <w:vAlign w:val="center"/>
                </w:tcPr>
                <w:p w14:paraId="7948880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s="Times New Roman"/>
                      <w:b w:val="0"/>
                      <w:bCs/>
                      <w:snapToGrid w:val="0"/>
                      <w:color w:val="auto"/>
                      <w:spacing w:val="-11"/>
                      <w:kern w:val="0"/>
                      <w:sz w:val="21"/>
                      <w:szCs w:val="21"/>
                      <w:highlight w:val="none"/>
                      <w:lang w:val="en-US" w:eastAsia="zh-CN"/>
                    </w:rPr>
                  </w:pPr>
                  <w:r>
                    <w:rPr>
                      <w:rFonts w:hint="eastAsia" w:ascii="Times New Roman" w:hAnsi="Times New Roman" w:eastAsia="宋体" w:cs="Times New Roman"/>
                      <w:b w:val="0"/>
                      <w:bCs/>
                      <w:snapToGrid w:val="0"/>
                      <w:color w:val="auto"/>
                      <w:spacing w:val="-11"/>
                      <w:kern w:val="0"/>
                      <w:sz w:val="21"/>
                      <w:szCs w:val="21"/>
                      <w:highlight w:val="none"/>
                      <w:lang w:val="en-US" w:eastAsia="zh-CN"/>
                    </w:rPr>
                    <w:t>无组织</w:t>
                  </w:r>
                </w:p>
              </w:tc>
            </w:tr>
            <w:tr w14:paraId="6A03B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restart"/>
                  <w:noWrap w:val="0"/>
                  <w:vAlign w:val="center"/>
                </w:tcPr>
                <w:p w14:paraId="336A0F4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default" w:ascii="Times New Roman" w:hAnsi="Times New Roman" w:eastAsia="宋体" w:cs="Times New Roman"/>
                      <w:bCs/>
                      <w:snapToGrid w:val="0"/>
                      <w:color w:val="auto"/>
                      <w:spacing w:val="-11"/>
                      <w:kern w:val="0"/>
                      <w:sz w:val="21"/>
                      <w:szCs w:val="21"/>
                      <w:highlight w:val="none"/>
                      <w:lang w:val="en-US" w:eastAsia="zh-CN"/>
                    </w:rPr>
                    <w:t>防治</w:t>
                  </w:r>
                </w:p>
                <w:p w14:paraId="0E84580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default" w:ascii="Times New Roman" w:hAnsi="Times New Roman" w:eastAsia="宋体" w:cs="Times New Roman"/>
                      <w:bCs/>
                      <w:snapToGrid w:val="0"/>
                      <w:color w:val="auto"/>
                      <w:spacing w:val="-11"/>
                      <w:kern w:val="0"/>
                      <w:sz w:val="21"/>
                      <w:szCs w:val="21"/>
                      <w:highlight w:val="none"/>
                      <w:lang w:val="en-US" w:eastAsia="zh-CN"/>
                    </w:rPr>
                    <w:t>措施</w:t>
                  </w:r>
                </w:p>
              </w:tc>
              <w:tc>
                <w:tcPr>
                  <w:tcW w:w="850" w:type="dxa"/>
                  <w:noWrap w:val="0"/>
                  <w:vAlign w:val="center"/>
                </w:tcPr>
                <w:p w14:paraId="3D227D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snapToGrid w:val="0"/>
                      <w:color w:val="auto"/>
                      <w:spacing w:val="-11"/>
                      <w:kern w:val="0"/>
                      <w:sz w:val="21"/>
                      <w:szCs w:val="21"/>
                      <w:highlight w:val="none"/>
                      <w:lang w:val="en-US" w:eastAsia="zh-CN"/>
                    </w:rPr>
                  </w:pPr>
                  <w:r>
                    <w:rPr>
                      <w:rFonts w:hint="eastAsia" w:ascii="Times New Roman" w:hAnsi="Times New Roman" w:eastAsia="宋体" w:cs="Times New Roman"/>
                      <w:bCs/>
                      <w:snapToGrid w:val="0"/>
                      <w:color w:val="auto"/>
                      <w:spacing w:val="-11"/>
                      <w:kern w:val="0"/>
                      <w:sz w:val="21"/>
                      <w:szCs w:val="21"/>
                      <w:highlight w:val="none"/>
                      <w:lang w:val="en-US" w:eastAsia="zh-CN"/>
                    </w:rPr>
                    <w:t>收集</w:t>
                  </w:r>
                </w:p>
                <w:p w14:paraId="048C151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ascii="Times New Roman" w:hAnsi="Times New Roman" w:eastAsia="宋体" w:cs="Times New Roman"/>
                      <w:bCs/>
                      <w:snapToGrid w:val="0"/>
                      <w:color w:val="auto"/>
                      <w:spacing w:val="-11"/>
                      <w:kern w:val="0"/>
                      <w:sz w:val="21"/>
                      <w:szCs w:val="21"/>
                      <w:highlight w:val="none"/>
                      <w:lang w:val="en-US" w:eastAsia="zh-CN"/>
                    </w:rPr>
                    <w:t>方式</w:t>
                  </w:r>
                </w:p>
              </w:tc>
              <w:tc>
                <w:tcPr>
                  <w:tcW w:w="793" w:type="dxa"/>
                  <w:noWrap w:val="0"/>
                  <w:vAlign w:val="center"/>
                </w:tcPr>
                <w:p w14:paraId="21987F4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w:t>
                  </w:r>
                </w:p>
              </w:tc>
              <w:tc>
                <w:tcPr>
                  <w:tcW w:w="704" w:type="dxa"/>
                  <w:noWrap w:val="0"/>
                  <w:vAlign w:val="center"/>
                </w:tcPr>
                <w:p w14:paraId="23118D3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w:t>
                  </w:r>
                </w:p>
              </w:tc>
              <w:tc>
                <w:tcPr>
                  <w:tcW w:w="1679" w:type="dxa"/>
                  <w:noWrap w:val="0"/>
                  <w:vAlign w:val="center"/>
                </w:tcPr>
                <w:p w14:paraId="4638508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人工投料站</w:t>
                  </w:r>
                </w:p>
              </w:tc>
              <w:tc>
                <w:tcPr>
                  <w:tcW w:w="660" w:type="dxa"/>
                  <w:noWrap w:val="0"/>
                  <w:vAlign w:val="center"/>
                </w:tcPr>
                <w:p w14:paraId="6FC8376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bCs w:val="0"/>
                      <w:snapToGrid w:val="0"/>
                      <w:color w:val="auto"/>
                      <w:spacing w:val="-11"/>
                      <w:kern w:val="0"/>
                      <w:sz w:val="21"/>
                      <w:szCs w:val="21"/>
                      <w:highlight w:val="none"/>
                      <w:lang w:val="en-US" w:eastAsia="zh-CN"/>
                    </w:rPr>
                    <w:t>/</w:t>
                  </w:r>
                </w:p>
              </w:tc>
              <w:tc>
                <w:tcPr>
                  <w:tcW w:w="660" w:type="dxa"/>
                  <w:noWrap w:val="0"/>
                  <w:vAlign w:val="center"/>
                </w:tcPr>
                <w:p w14:paraId="7DC0A27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密闭</w:t>
                  </w:r>
                </w:p>
                <w:p w14:paraId="3FEE4A3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车间</w:t>
                  </w:r>
                </w:p>
              </w:tc>
              <w:tc>
                <w:tcPr>
                  <w:tcW w:w="660" w:type="dxa"/>
                  <w:noWrap w:val="0"/>
                  <w:vAlign w:val="center"/>
                </w:tcPr>
                <w:p w14:paraId="19AB7A4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密闭</w:t>
                  </w:r>
                </w:p>
                <w:p w14:paraId="05A09E1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车间</w:t>
                  </w:r>
                </w:p>
              </w:tc>
              <w:tc>
                <w:tcPr>
                  <w:tcW w:w="660" w:type="dxa"/>
                  <w:noWrap w:val="0"/>
                  <w:vAlign w:val="center"/>
                </w:tcPr>
                <w:p w14:paraId="185FE89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bCs w:val="0"/>
                      <w:snapToGrid w:val="0"/>
                      <w:color w:val="auto"/>
                      <w:spacing w:val="-11"/>
                      <w:kern w:val="0"/>
                      <w:sz w:val="21"/>
                      <w:szCs w:val="21"/>
                      <w:highlight w:val="none"/>
                      <w:lang w:val="en-US" w:eastAsia="zh-CN"/>
                    </w:rPr>
                    <w:t>/</w:t>
                  </w:r>
                </w:p>
              </w:tc>
              <w:tc>
                <w:tcPr>
                  <w:tcW w:w="994" w:type="dxa"/>
                  <w:noWrap w:val="0"/>
                  <w:vAlign w:val="center"/>
                </w:tcPr>
                <w:p w14:paraId="0F6B356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半封闭</w:t>
                  </w:r>
                </w:p>
                <w:p w14:paraId="7E4E97A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集气罩</w:t>
                  </w:r>
                </w:p>
              </w:tc>
              <w:tc>
                <w:tcPr>
                  <w:tcW w:w="689" w:type="dxa"/>
                  <w:noWrap w:val="0"/>
                  <w:vAlign w:val="center"/>
                </w:tcPr>
                <w:p w14:paraId="662C48C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bCs w:val="0"/>
                      <w:snapToGrid w:val="0"/>
                      <w:color w:val="auto"/>
                      <w:spacing w:val="-11"/>
                      <w:kern w:val="0"/>
                      <w:sz w:val="21"/>
                      <w:szCs w:val="21"/>
                      <w:highlight w:val="none"/>
                      <w:lang w:val="en-US" w:eastAsia="zh-CN"/>
                    </w:rPr>
                    <w:t>/</w:t>
                  </w:r>
                </w:p>
              </w:tc>
            </w:tr>
            <w:tr w14:paraId="22CFA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228963C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p>
              </w:tc>
              <w:tc>
                <w:tcPr>
                  <w:tcW w:w="850" w:type="dxa"/>
                  <w:noWrap w:val="0"/>
                  <w:vAlign w:val="center"/>
                </w:tcPr>
                <w:p w14:paraId="51D4AFE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ascii="Times New Roman" w:hAnsi="Times New Roman" w:eastAsia="宋体" w:cs="Times New Roman"/>
                      <w:bCs/>
                      <w:snapToGrid w:val="0"/>
                      <w:color w:val="auto"/>
                      <w:spacing w:val="-11"/>
                      <w:kern w:val="0"/>
                      <w:sz w:val="21"/>
                      <w:szCs w:val="21"/>
                      <w:highlight w:val="none"/>
                      <w:lang w:val="en-US" w:eastAsia="zh-CN"/>
                    </w:rPr>
                    <w:t>收集效率（%）</w:t>
                  </w:r>
                </w:p>
              </w:tc>
              <w:tc>
                <w:tcPr>
                  <w:tcW w:w="793" w:type="dxa"/>
                  <w:noWrap w:val="0"/>
                  <w:vAlign w:val="center"/>
                </w:tcPr>
                <w:p w14:paraId="0C94912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w:t>
                  </w:r>
                </w:p>
              </w:tc>
              <w:tc>
                <w:tcPr>
                  <w:tcW w:w="704" w:type="dxa"/>
                  <w:noWrap w:val="0"/>
                  <w:vAlign w:val="center"/>
                </w:tcPr>
                <w:p w14:paraId="670735C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w:t>
                  </w:r>
                </w:p>
              </w:tc>
              <w:tc>
                <w:tcPr>
                  <w:tcW w:w="1679" w:type="dxa"/>
                  <w:noWrap w:val="0"/>
                  <w:vAlign w:val="center"/>
                </w:tcPr>
                <w:p w14:paraId="7C3B980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90</w:t>
                  </w:r>
                </w:p>
              </w:tc>
              <w:tc>
                <w:tcPr>
                  <w:tcW w:w="660" w:type="dxa"/>
                  <w:noWrap w:val="0"/>
                  <w:vAlign w:val="center"/>
                </w:tcPr>
                <w:p w14:paraId="02FAB00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w:t>
                  </w:r>
                </w:p>
              </w:tc>
              <w:tc>
                <w:tcPr>
                  <w:tcW w:w="660" w:type="dxa"/>
                  <w:noWrap w:val="0"/>
                  <w:vAlign w:val="center"/>
                </w:tcPr>
                <w:p w14:paraId="1747E85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90</w:t>
                  </w:r>
                </w:p>
              </w:tc>
              <w:tc>
                <w:tcPr>
                  <w:tcW w:w="660" w:type="dxa"/>
                  <w:noWrap w:val="0"/>
                  <w:vAlign w:val="center"/>
                </w:tcPr>
                <w:p w14:paraId="50B4314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90</w:t>
                  </w:r>
                </w:p>
              </w:tc>
              <w:tc>
                <w:tcPr>
                  <w:tcW w:w="660" w:type="dxa"/>
                  <w:noWrap w:val="0"/>
                  <w:vAlign w:val="center"/>
                </w:tcPr>
                <w:p w14:paraId="33164DC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w:t>
                  </w:r>
                </w:p>
              </w:tc>
              <w:tc>
                <w:tcPr>
                  <w:tcW w:w="994" w:type="dxa"/>
                  <w:noWrap w:val="0"/>
                  <w:vAlign w:val="center"/>
                </w:tcPr>
                <w:p w14:paraId="495ED01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80</w:t>
                  </w:r>
                </w:p>
              </w:tc>
              <w:tc>
                <w:tcPr>
                  <w:tcW w:w="689" w:type="dxa"/>
                  <w:noWrap w:val="0"/>
                  <w:vAlign w:val="center"/>
                </w:tcPr>
                <w:p w14:paraId="1DA7158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w:t>
                  </w:r>
                </w:p>
              </w:tc>
            </w:tr>
            <w:tr w14:paraId="6338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1FAC9F2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p>
              </w:tc>
              <w:tc>
                <w:tcPr>
                  <w:tcW w:w="850" w:type="dxa"/>
                  <w:noWrap w:val="0"/>
                  <w:vAlign w:val="center"/>
                </w:tcPr>
                <w:p w14:paraId="2B13D56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default" w:ascii="Times New Roman" w:hAnsi="Times New Roman" w:eastAsia="宋体" w:cs="Times New Roman"/>
                      <w:bCs/>
                      <w:snapToGrid w:val="0"/>
                      <w:color w:val="auto"/>
                      <w:spacing w:val="-11"/>
                      <w:kern w:val="0"/>
                      <w:sz w:val="21"/>
                      <w:szCs w:val="21"/>
                      <w:highlight w:val="none"/>
                      <w:lang w:val="en-US" w:eastAsia="zh-CN"/>
                    </w:rPr>
                    <w:t>产生量</w:t>
                  </w:r>
                  <w:r>
                    <w:rPr>
                      <w:rFonts w:hint="default" w:ascii="Times New Roman" w:hAnsi="Times New Roman" w:eastAsia="宋体" w:cs="Times New Roman"/>
                      <w:bCs/>
                      <w:snapToGrid w:val="0"/>
                      <w:color w:val="auto"/>
                      <w:spacing w:val="-11"/>
                      <w:kern w:val="0"/>
                      <w:sz w:val="21"/>
                      <w:szCs w:val="21"/>
                      <w:highlight w:val="none"/>
                    </w:rPr>
                    <w:t>（t/a）</w:t>
                  </w:r>
                </w:p>
              </w:tc>
              <w:tc>
                <w:tcPr>
                  <w:tcW w:w="793" w:type="dxa"/>
                  <w:noWrap w:val="0"/>
                  <w:vAlign w:val="center"/>
                </w:tcPr>
                <w:p w14:paraId="2A1C604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0.16</w:t>
                  </w:r>
                </w:p>
              </w:tc>
              <w:tc>
                <w:tcPr>
                  <w:tcW w:w="704" w:type="dxa"/>
                  <w:noWrap w:val="0"/>
                  <w:vAlign w:val="center"/>
                </w:tcPr>
                <w:p w14:paraId="13777A2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0.016</w:t>
                  </w:r>
                </w:p>
              </w:tc>
              <w:tc>
                <w:tcPr>
                  <w:tcW w:w="1679" w:type="dxa"/>
                  <w:noWrap w:val="0"/>
                  <w:vAlign w:val="center"/>
                </w:tcPr>
                <w:p w14:paraId="6905997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5.92</w:t>
                  </w:r>
                </w:p>
              </w:tc>
              <w:tc>
                <w:tcPr>
                  <w:tcW w:w="660" w:type="dxa"/>
                  <w:noWrap w:val="0"/>
                  <w:vAlign w:val="center"/>
                </w:tcPr>
                <w:p w14:paraId="65EE44E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0.628</w:t>
                  </w:r>
                </w:p>
              </w:tc>
              <w:tc>
                <w:tcPr>
                  <w:tcW w:w="660" w:type="dxa"/>
                  <w:noWrap w:val="0"/>
                  <w:vAlign w:val="center"/>
                </w:tcPr>
                <w:p w14:paraId="317A05E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5.65</w:t>
                  </w:r>
                </w:p>
              </w:tc>
              <w:tc>
                <w:tcPr>
                  <w:tcW w:w="660" w:type="dxa"/>
                  <w:noWrap w:val="0"/>
                  <w:vAlign w:val="center"/>
                </w:tcPr>
                <w:p w14:paraId="4949D0D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0.565</w:t>
                  </w:r>
                </w:p>
              </w:tc>
              <w:tc>
                <w:tcPr>
                  <w:tcW w:w="660" w:type="dxa"/>
                  <w:noWrap w:val="0"/>
                  <w:vAlign w:val="center"/>
                </w:tcPr>
                <w:p w14:paraId="24E48DA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0.063</w:t>
                  </w:r>
                </w:p>
              </w:tc>
              <w:tc>
                <w:tcPr>
                  <w:tcW w:w="994" w:type="dxa"/>
                  <w:noWrap w:val="0"/>
                  <w:vAlign w:val="center"/>
                </w:tcPr>
                <w:p w14:paraId="050BB2B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25.46</w:t>
                  </w:r>
                </w:p>
              </w:tc>
              <w:tc>
                <w:tcPr>
                  <w:tcW w:w="689" w:type="dxa"/>
                  <w:noWrap w:val="0"/>
                  <w:vAlign w:val="center"/>
                </w:tcPr>
                <w:p w14:paraId="20009B2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6.36</w:t>
                  </w:r>
                </w:p>
              </w:tc>
            </w:tr>
            <w:tr w14:paraId="5686A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200ED6D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p>
              </w:tc>
              <w:tc>
                <w:tcPr>
                  <w:tcW w:w="850" w:type="dxa"/>
                  <w:noWrap w:val="0"/>
                  <w:vAlign w:val="center"/>
                </w:tcPr>
                <w:p w14:paraId="0CDDF3D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default" w:ascii="Times New Roman" w:hAnsi="Times New Roman" w:eastAsia="宋体" w:cs="Times New Roman"/>
                      <w:bCs/>
                      <w:snapToGrid w:val="0"/>
                      <w:color w:val="auto"/>
                      <w:spacing w:val="-11"/>
                      <w:kern w:val="0"/>
                      <w:sz w:val="21"/>
                      <w:szCs w:val="21"/>
                      <w:highlight w:val="none"/>
                      <w:lang w:val="en-US" w:eastAsia="zh-CN"/>
                    </w:rPr>
                    <w:t>运行时间（h）</w:t>
                  </w:r>
                </w:p>
              </w:tc>
              <w:tc>
                <w:tcPr>
                  <w:tcW w:w="793" w:type="dxa"/>
                  <w:noWrap w:val="0"/>
                  <w:vAlign w:val="center"/>
                </w:tcPr>
                <w:p w14:paraId="22F5C39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2664</w:t>
                  </w:r>
                </w:p>
              </w:tc>
              <w:tc>
                <w:tcPr>
                  <w:tcW w:w="704" w:type="dxa"/>
                  <w:noWrap w:val="0"/>
                  <w:vAlign w:val="center"/>
                </w:tcPr>
                <w:p w14:paraId="524E298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2664</w:t>
                  </w:r>
                </w:p>
              </w:tc>
              <w:tc>
                <w:tcPr>
                  <w:tcW w:w="1679" w:type="dxa"/>
                  <w:noWrap w:val="0"/>
                  <w:vAlign w:val="center"/>
                </w:tcPr>
                <w:p w14:paraId="3C5D8D1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1332</w:t>
                  </w:r>
                </w:p>
              </w:tc>
              <w:tc>
                <w:tcPr>
                  <w:tcW w:w="660" w:type="dxa"/>
                  <w:noWrap w:val="0"/>
                  <w:vAlign w:val="center"/>
                </w:tcPr>
                <w:p w14:paraId="688B8B9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bidi="ar-SA"/>
                    </w:rPr>
                    <w:t>7992</w:t>
                  </w:r>
                </w:p>
              </w:tc>
              <w:tc>
                <w:tcPr>
                  <w:tcW w:w="660" w:type="dxa"/>
                  <w:noWrap w:val="0"/>
                  <w:vAlign w:val="center"/>
                </w:tcPr>
                <w:p w14:paraId="16E37B8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bidi="ar-SA"/>
                    </w:rPr>
                    <w:t>7992</w:t>
                  </w:r>
                </w:p>
              </w:tc>
              <w:tc>
                <w:tcPr>
                  <w:tcW w:w="660" w:type="dxa"/>
                  <w:noWrap w:val="0"/>
                  <w:vAlign w:val="center"/>
                </w:tcPr>
                <w:p w14:paraId="6834EC6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bidi="ar-SA"/>
                    </w:rPr>
                    <w:t>7992</w:t>
                  </w:r>
                </w:p>
              </w:tc>
              <w:tc>
                <w:tcPr>
                  <w:tcW w:w="660" w:type="dxa"/>
                  <w:noWrap w:val="0"/>
                  <w:vAlign w:val="center"/>
                </w:tcPr>
                <w:p w14:paraId="3293D71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bidi="ar-SA"/>
                    </w:rPr>
                    <w:t>7992</w:t>
                  </w:r>
                </w:p>
              </w:tc>
              <w:tc>
                <w:tcPr>
                  <w:tcW w:w="994" w:type="dxa"/>
                  <w:noWrap w:val="0"/>
                  <w:vAlign w:val="center"/>
                </w:tcPr>
                <w:p w14:paraId="64FDDF4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2664</w:t>
                  </w:r>
                </w:p>
              </w:tc>
              <w:tc>
                <w:tcPr>
                  <w:tcW w:w="689" w:type="dxa"/>
                  <w:noWrap w:val="0"/>
                  <w:vAlign w:val="center"/>
                </w:tcPr>
                <w:p w14:paraId="7F18BE3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2664</w:t>
                  </w:r>
                </w:p>
              </w:tc>
            </w:tr>
            <w:tr w14:paraId="2124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7C2492B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p>
              </w:tc>
              <w:tc>
                <w:tcPr>
                  <w:tcW w:w="850" w:type="dxa"/>
                  <w:noWrap w:val="0"/>
                  <w:vAlign w:val="center"/>
                </w:tcPr>
                <w:p w14:paraId="24BDA07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default" w:ascii="Times New Roman" w:hAnsi="Times New Roman" w:eastAsia="宋体" w:cs="Times New Roman"/>
                      <w:bCs/>
                      <w:snapToGrid w:val="0"/>
                      <w:color w:val="auto"/>
                      <w:spacing w:val="-11"/>
                      <w:kern w:val="0"/>
                      <w:sz w:val="21"/>
                      <w:szCs w:val="21"/>
                      <w:highlight w:val="none"/>
                      <w:lang w:val="en-US" w:eastAsia="zh-CN"/>
                    </w:rPr>
                    <w:t>产生</w:t>
                  </w:r>
                </w:p>
                <w:p w14:paraId="605FC9A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default" w:ascii="Times New Roman" w:hAnsi="Times New Roman" w:eastAsia="宋体" w:cs="Times New Roman"/>
                      <w:bCs/>
                      <w:snapToGrid w:val="0"/>
                      <w:color w:val="auto"/>
                      <w:spacing w:val="-11"/>
                      <w:kern w:val="0"/>
                      <w:sz w:val="21"/>
                      <w:szCs w:val="21"/>
                      <w:highlight w:val="none"/>
                      <w:lang w:val="en-US" w:eastAsia="zh-CN"/>
                    </w:rPr>
                    <w:t>速率（kg/h）</w:t>
                  </w:r>
                </w:p>
              </w:tc>
              <w:tc>
                <w:tcPr>
                  <w:tcW w:w="793" w:type="dxa"/>
                  <w:noWrap w:val="0"/>
                  <w:vAlign w:val="center"/>
                </w:tcPr>
                <w:p w14:paraId="001F994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0.06</w:t>
                  </w:r>
                </w:p>
              </w:tc>
              <w:tc>
                <w:tcPr>
                  <w:tcW w:w="704" w:type="dxa"/>
                  <w:noWrap w:val="0"/>
                  <w:vAlign w:val="center"/>
                </w:tcPr>
                <w:p w14:paraId="1EF7AC1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0.006</w:t>
                  </w:r>
                </w:p>
              </w:tc>
              <w:tc>
                <w:tcPr>
                  <w:tcW w:w="1679" w:type="dxa"/>
                  <w:noWrap w:val="0"/>
                  <w:vAlign w:val="center"/>
                </w:tcPr>
                <w:p w14:paraId="68FE448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4.44</w:t>
                  </w:r>
                </w:p>
              </w:tc>
              <w:tc>
                <w:tcPr>
                  <w:tcW w:w="660" w:type="dxa"/>
                  <w:noWrap w:val="0"/>
                  <w:vAlign w:val="center"/>
                </w:tcPr>
                <w:p w14:paraId="2C2850B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bidi="ar-SA"/>
                    </w:rPr>
                    <w:t>0.0786</w:t>
                  </w:r>
                </w:p>
              </w:tc>
              <w:tc>
                <w:tcPr>
                  <w:tcW w:w="660" w:type="dxa"/>
                  <w:noWrap w:val="0"/>
                  <w:vAlign w:val="center"/>
                </w:tcPr>
                <w:p w14:paraId="1869F2D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bidi="ar-SA"/>
                    </w:rPr>
                    <w:t>0.707</w:t>
                  </w:r>
                </w:p>
              </w:tc>
              <w:tc>
                <w:tcPr>
                  <w:tcW w:w="660" w:type="dxa"/>
                  <w:noWrap w:val="0"/>
                  <w:vAlign w:val="center"/>
                </w:tcPr>
                <w:p w14:paraId="022EE67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bidi="ar-SA"/>
                    </w:rPr>
                    <w:t>0.071</w:t>
                  </w:r>
                </w:p>
              </w:tc>
              <w:tc>
                <w:tcPr>
                  <w:tcW w:w="660" w:type="dxa"/>
                  <w:noWrap w:val="0"/>
                  <w:vAlign w:val="center"/>
                </w:tcPr>
                <w:p w14:paraId="213C5F6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bidi="ar-SA"/>
                    </w:rPr>
                    <w:t>0.008</w:t>
                  </w:r>
                </w:p>
              </w:tc>
              <w:tc>
                <w:tcPr>
                  <w:tcW w:w="994" w:type="dxa"/>
                  <w:noWrap w:val="0"/>
                  <w:vAlign w:val="center"/>
                </w:tcPr>
                <w:p w14:paraId="730CA59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9.56</w:t>
                  </w:r>
                </w:p>
              </w:tc>
              <w:tc>
                <w:tcPr>
                  <w:tcW w:w="689" w:type="dxa"/>
                  <w:noWrap w:val="0"/>
                  <w:vAlign w:val="center"/>
                </w:tcPr>
                <w:p w14:paraId="03407C4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rPr>
                    <w:t>2.39</w:t>
                  </w:r>
                </w:p>
              </w:tc>
            </w:tr>
            <w:tr w14:paraId="1C46E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0BD6098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p>
              </w:tc>
              <w:tc>
                <w:tcPr>
                  <w:tcW w:w="850" w:type="dxa"/>
                  <w:shd w:val="clear" w:color="auto" w:fill="auto"/>
                  <w:noWrap w:val="0"/>
                  <w:vAlign w:val="center"/>
                </w:tcPr>
                <w:p w14:paraId="3279084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snapToGrid w:val="0"/>
                      <w:color w:val="auto"/>
                      <w:spacing w:val="-11"/>
                      <w:kern w:val="0"/>
                      <w:sz w:val="21"/>
                      <w:szCs w:val="21"/>
                      <w:highlight w:val="none"/>
                      <w:lang w:val="en-US" w:eastAsia="zh-CN"/>
                    </w:rPr>
                  </w:pPr>
                  <w:r>
                    <w:rPr>
                      <w:rFonts w:hint="eastAsia" w:ascii="Times New Roman" w:hAnsi="Times New Roman" w:eastAsia="宋体" w:cs="Times New Roman"/>
                      <w:bCs/>
                      <w:snapToGrid w:val="0"/>
                      <w:color w:val="auto"/>
                      <w:spacing w:val="-11"/>
                      <w:kern w:val="0"/>
                      <w:sz w:val="21"/>
                      <w:szCs w:val="21"/>
                      <w:highlight w:val="none"/>
                      <w:lang w:val="en-US" w:eastAsia="zh-CN"/>
                    </w:rPr>
                    <w:t>治理</w:t>
                  </w:r>
                </w:p>
                <w:p w14:paraId="5DA1015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snapToGrid w:val="0"/>
                      <w:color w:val="auto"/>
                      <w:spacing w:val="-11"/>
                      <w:kern w:val="0"/>
                      <w:sz w:val="21"/>
                      <w:szCs w:val="21"/>
                      <w:highlight w:val="none"/>
                      <w:lang w:val="en-US" w:eastAsia="zh-CN" w:bidi="ar-SA"/>
                    </w:rPr>
                  </w:pPr>
                  <w:r>
                    <w:rPr>
                      <w:rFonts w:hint="eastAsia" w:ascii="Times New Roman" w:hAnsi="Times New Roman" w:eastAsia="宋体" w:cs="Times New Roman"/>
                      <w:bCs/>
                      <w:snapToGrid w:val="0"/>
                      <w:color w:val="auto"/>
                      <w:spacing w:val="-11"/>
                      <w:kern w:val="0"/>
                      <w:sz w:val="21"/>
                      <w:szCs w:val="21"/>
                      <w:highlight w:val="none"/>
                      <w:lang w:val="en-US" w:eastAsia="zh-CN"/>
                    </w:rPr>
                    <w:t>工艺</w:t>
                  </w:r>
                </w:p>
              </w:tc>
              <w:tc>
                <w:tcPr>
                  <w:tcW w:w="1497" w:type="dxa"/>
                  <w:gridSpan w:val="2"/>
                  <w:shd w:val="clear" w:color="auto" w:fill="auto"/>
                  <w:noWrap w:val="0"/>
                  <w:vAlign w:val="center"/>
                </w:tcPr>
                <w:p w14:paraId="23C2BD98">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default" w:ascii="Times New Roman" w:hAnsi="Times New Roman" w:eastAsia="宋体" w:cs="Times New Roman"/>
                      <w:bCs/>
                      <w:snapToGrid w:val="0"/>
                      <w:color w:val="auto"/>
                      <w:spacing w:val="-11"/>
                      <w:kern w:val="0"/>
                      <w:sz w:val="21"/>
                      <w:szCs w:val="21"/>
                      <w:highlight w:val="none"/>
                      <w:lang w:val="en-US" w:eastAsia="zh-CN" w:bidi="ar-SA"/>
                    </w:rPr>
                    <w:t>发酵密封发酵并采取发酵罐及时清洗、加强通风、开罐和搅拌期间喷洒除臭剂</w:t>
                  </w:r>
                  <w:r>
                    <w:rPr>
                      <w:rFonts w:hint="eastAsia" w:cs="Times New Roman"/>
                      <w:bCs/>
                      <w:snapToGrid w:val="0"/>
                      <w:color w:val="auto"/>
                      <w:spacing w:val="-11"/>
                      <w:kern w:val="0"/>
                      <w:sz w:val="21"/>
                      <w:szCs w:val="21"/>
                      <w:highlight w:val="none"/>
                      <w:lang w:val="en-US" w:eastAsia="zh-CN" w:bidi="ar-SA"/>
                    </w:rPr>
                    <w:t>。</w:t>
                  </w:r>
                </w:p>
              </w:tc>
              <w:tc>
                <w:tcPr>
                  <w:tcW w:w="1679" w:type="dxa"/>
                  <w:shd w:val="clear" w:color="auto" w:fill="auto"/>
                  <w:noWrap w:val="0"/>
                  <w:vAlign w:val="center"/>
                </w:tcPr>
                <w:p w14:paraId="50801350">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default" w:ascii="Times New Roman" w:hAnsi="Times New Roman" w:eastAsia="宋体" w:cs="Times New Roman"/>
                      <w:bCs/>
                      <w:snapToGrid w:val="0"/>
                      <w:color w:val="auto"/>
                      <w:spacing w:val="-11"/>
                      <w:kern w:val="0"/>
                      <w:sz w:val="21"/>
                      <w:szCs w:val="21"/>
                      <w:highlight w:val="none"/>
                      <w:lang w:val="en-US" w:eastAsia="zh-CN" w:bidi="ar-SA"/>
                    </w:rPr>
                    <w:t>人工投料站（滤芯除尘）</w:t>
                  </w:r>
                  <w:r>
                    <w:rPr>
                      <w:rFonts w:hint="eastAsia" w:cs="Times New Roman"/>
                      <w:bCs/>
                      <w:snapToGrid w:val="0"/>
                      <w:color w:val="auto"/>
                      <w:spacing w:val="-11"/>
                      <w:kern w:val="0"/>
                      <w:sz w:val="21"/>
                      <w:szCs w:val="21"/>
                      <w:highlight w:val="none"/>
                      <w:lang w:val="en-US" w:eastAsia="zh-CN" w:bidi="ar-SA"/>
                    </w:rPr>
                    <w:t>+</w:t>
                  </w:r>
                  <w:r>
                    <w:rPr>
                      <w:rFonts w:hint="default" w:ascii="Times New Roman" w:hAnsi="Times New Roman" w:eastAsia="宋体" w:cs="Times New Roman"/>
                      <w:bCs/>
                      <w:snapToGrid w:val="0"/>
                      <w:color w:val="auto"/>
                      <w:spacing w:val="-11"/>
                      <w:kern w:val="0"/>
                      <w:sz w:val="21"/>
                      <w:szCs w:val="21"/>
                      <w:highlight w:val="none"/>
                      <w:lang w:val="en-US" w:eastAsia="zh-CN" w:bidi="ar-SA"/>
                    </w:rPr>
                    <w:t>封闭厂房（预留进出口）</w:t>
                  </w:r>
                </w:p>
              </w:tc>
              <w:tc>
                <w:tcPr>
                  <w:tcW w:w="660" w:type="dxa"/>
                  <w:shd w:val="clear" w:color="auto" w:fill="auto"/>
                  <w:noWrap w:val="0"/>
                  <w:vAlign w:val="center"/>
                </w:tcPr>
                <w:p w14:paraId="4442CDF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bidi="ar-SA"/>
                    </w:rPr>
                    <w:t>定期喷洒除臭剂</w:t>
                  </w:r>
                </w:p>
              </w:tc>
              <w:tc>
                <w:tcPr>
                  <w:tcW w:w="1320" w:type="dxa"/>
                  <w:gridSpan w:val="2"/>
                  <w:shd w:val="clear" w:color="auto" w:fill="auto"/>
                  <w:noWrap w:val="0"/>
                  <w:vAlign w:val="center"/>
                </w:tcPr>
                <w:p w14:paraId="2364875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bidi="ar-SA"/>
                    </w:rPr>
                    <w:t>密闭车间+负压抽风+生物过滤除臭+15m排气筒</w:t>
                  </w:r>
                </w:p>
              </w:tc>
              <w:tc>
                <w:tcPr>
                  <w:tcW w:w="660" w:type="dxa"/>
                  <w:shd w:val="clear" w:color="auto" w:fill="auto"/>
                  <w:noWrap w:val="0"/>
                  <w:vAlign w:val="center"/>
                </w:tcPr>
                <w:p w14:paraId="492E4AB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bidi="ar-SA"/>
                    </w:rPr>
                    <w:t>定期喷洒除臭剂</w:t>
                  </w:r>
                </w:p>
              </w:tc>
              <w:tc>
                <w:tcPr>
                  <w:tcW w:w="994" w:type="dxa"/>
                  <w:shd w:val="clear" w:color="auto" w:fill="auto"/>
                  <w:noWrap w:val="0"/>
                  <w:vAlign w:val="center"/>
                </w:tcPr>
                <w:p w14:paraId="43E3507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bidi="ar-SA"/>
                    </w:rPr>
                    <w:t>半密闭集气罩+布袋除尘+15m排气筒</w:t>
                  </w:r>
                </w:p>
              </w:tc>
              <w:tc>
                <w:tcPr>
                  <w:tcW w:w="689" w:type="dxa"/>
                  <w:shd w:val="clear" w:color="auto" w:fill="auto"/>
                  <w:noWrap w:val="0"/>
                  <w:vAlign w:val="center"/>
                </w:tcPr>
                <w:p w14:paraId="167688C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bidi="ar-SA"/>
                    </w:rPr>
                  </w:pPr>
                  <w:r>
                    <w:rPr>
                      <w:rFonts w:hint="default" w:ascii="Times New Roman" w:hAnsi="Times New Roman" w:eastAsia="宋体" w:cs="Times New Roman"/>
                      <w:bCs/>
                      <w:snapToGrid w:val="0"/>
                      <w:color w:val="auto"/>
                      <w:spacing w:val="-11"/>
                      <w:kern w:val="0"/>
                      <w:sz w:val="21"/>
                      <w:szCs w:val="21"/>
                      <w:highlight w:val="none"/>
                      <w:lang w:val="en-US" w:eastAsia="zh-CN" w:bidi="ar-SA"/>
                    </w:rPr>
                    <w:t>封闭厂房（预留进出口）</w:t>
                  </w:r>
                </w:p>
              </w:tc>
            </w:tr>
            <w:tr w14:paraId="1649C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26BD3FB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p>
              </w:tc>
              <w:tc>
                <w:tcPr>
                  <w:tcW w:w="850" w:type="dxa"/>
                  <w:shd w:val="clear" w:color="auto" w:fill="auto"/>
                  <w:noWrap w:val="0"/>
                  <w:vAlign w:val="center"/>
                </w:tcPr>
                <w:p w14:paraId="5479D68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leftChars="0" w:right="0" w:rightChars="0"/>
                    <w:jc w:val="center"/>
                    <w:textAlignment w:val="auto"/>
                    <w:rPr>
                      <w:rFonts w:hint="eastAsia" w:ascii="Times New Roman" w:hAnsi="Times New Roman" w:eastAsia="宋体" w:cs="Times New Roman"/>
                      <w:bCs/>
                      <w:color w:val="auto"/>
                      <w:spacing w:val="-11"/>
                      <w:kern w:val="0"/>
                      <w:sz w:val="21"/>
                      <w:szCs w:val="21"/>
                      <w:highlight w:val="none"/>
                      <w:lang w:val="en-US" w:eastAsia="zh-CN" w:bidi="ar-SA"/>
                    </w:rPr>
                  </w:pPr>
                  <w:r>
                    <w:rPr>
                      <w:rFonts w:hint="default" w:ascii="Times New Roman" w:hAnsi="Times New Roman" w:eastAsia="宋体" w:cs="Times New Roman"/>
                      <w:bCs/>
                      <w:color w:val="auto"/>
                      <w:spacing w:val="-11"/>
                      <w:kern w:val="0"/>
                      <w:sz w:val="21"/>
                      <w:szCs w:val="21"/>
                      <w:highlight w:val="none"/>
                      <w:lang w:val="en-US" w:eastAsia="zh-CN" w:bidi="ar"/>
                    </w:rPr>
                    <w:t>风量m</w:t>
                  </w:r>
                  <w:r>
                    <w:rPr>
                      <w:rFonts w:hint="default" w:ascii="Times New Roman" w:hAnsi="Times New Roman" w:eastAsia="宋体" w:cs="Times New Roman"/>
                      <w:bCs/>
                      <w:color w:val="auto"/>
                      <w:spacing w:val="-11"/>
                      <w:kern w:val="0"/>
                      <w:sz w:val="21"/>
                      <w:szCs w:val="21"/>
                      <w:highlight w:val="none"/>
                      <w:vertAlign w:val="superscript"/>
                      <w:lang w:val="en-US" w:eastAsia="zh-CN" w:bidi="ar"/>
                    </w:rPr>
                    <w:t>3</w:t>
                  </w:r>
                  <w:r>
                    <w:rPr>
                      <w:rFonts w:hint="default" w:ascii="Times New Roman" w:hAnsi="Times New Roman" w:eastAsia="宋体" w:cs="Times New Roman"/>
                      <w:bCs/>
                      <w:color w:val="auto"/>
                      <w:spacing w:val="-11"/>
                      <w:kern w:val="0"/>
                      <w:sz w:val="21"/>
                      <w:szCs w:val="21"/>
                      <w:highlight w:val="none"/>
                      <w:lang w:val="en-US" w:eastAsia="zh-CN" w:bidi="ar"/>
                    </w:rPr>
                    <w:t>/h</w:t>
                  </w:r>
                </w:p>
              </w:tc>
              <w:tc>
                <w:tcPr>
                  <w:tcW w:w="1497" w:type="dxa"/>
                  <w:gridSpan w:val="2"/>
                  <w:shd w:val="clear" w:color="auto" w:fill="auto"/>
                  <w:noWrap w:val="0"/>
                  <w:vAlign w:val="center"/>
                </w:tcPr>
                <w:p w14:paraId="3A6FAD0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ascii="Times New Roman" w:hAnsi="Times New Roman" w:eastAsia="宋体" w:cs="Times New Roman"/>
                      <w:bCs/>
                      <w:snapToGrid w:val="0"/>
                      <w:color w:val="auto"/>
                      <w:spacing w:val="-11"/>
                      <w:kern w:val="0"/>
                      <w:sz w:val="21"/>
                      <w:szCs w:val="21"/>
                      <w:highlight w:val="none"/>
                      <w:lang w:val="en-US" w:eastAsia="zh-CN"/>
                    </w:rPr>
                    <w:t>/</w:t>
                  </w:r>
                </w:p>
              </w:tc>
              <w:tc>
                <w:tcPr>
                  <w:tcW w:w="1679" w:type="dxa"/>
                  <w:shd w:val="clear" w:color="auto" w:fill="auto"/>
                  <w:noWrap w:val="0"/>
                  <w:vAlign w:val="center"/>
                </w:tcPr>
                <w:p w14:paraId="6AB53FA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ascii="Times New Roman" w:hAnsi="Times New Roman" w:eastAsia="宋体" w:cs="Times New Roman"/>
                      <w:bCs/>
                      <w:snapToGrid w:val="0"/>
                      <w:color w:val="auto"/>
                      <w:spacing w:val="-11"/>
                      <w:kern w:val="0"/>
                      <w:sz w:val="21"/>
                      <w:szCs w:val="21"/>
                      <w:highlight w:val="none"/>
                      <w:lang w:val="en-US" w:eastAsia="zh-CN"/>
                    </w:rPr>
                    <w:t>/</w:t>
                  </w:r>
                </w:p>
              </w:tc>
              <w:tc>
                <w:tcPr>
                  <w:tcW w:w="660" w:type="dxa"/>
                  <w:shd w:val="clear" w:color="auto" w:fill="auto"/>
                  <w:noWrap w:val="0"/>
                  <w:vAlign w:val="center"/>
                </w:tcPr>
                <w:p w14:paraId="03BF0A0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snapToGrid w:val="0"/>
                      <w:color w:val="auto"/>
                      <w:spacing w:val="-11"/>
                      <w:kern w:val="0"/>
                      <w:sz w:val="21"/>
                      <w:szCs w:val="21"/>
                      <w:highlight w:val="none"/>
                      <w:lang w:val="en-US" w:eastAsia="zh-CN" w:bidi="ar-SA"/>
                    </w:rPr>
                  </w:pPr>
                  <w:r>
                    <w:rPr>
                      <w:rFonts w:hint="eastAsia" w:ascii="Times New Roman" w:hAnsi="Times New Roman" w:eastAsia="宋体" w:cs="Times New Roman"/>
                      <w:bCs/>
                      <w:snapToGrid w:val="0"/>
                      <w:color w:val="auto"/>
                      <w:spacing w:val="-11"/>
                      <w:kern w:val="0"/>
                      <w:sz w:val="21"/>
                      <w:szCs w:val="21"/>
                      <w:highlight w:val="none"/>
                      <w:lang w:val="en-US" w:eastAsia="zh-CN"/>
                    </w:rPr>
                    <w:t>/</w:t>
                  </w:r>
                </w:p>
              </w:tc>
              <w:tc>
                <w:tcPr>
                  <w:tcW w:w="1320" w:type="dxa"/>
                  <w:gridSpan w:val="2"/>
                  <w:shd w:val="clear" w:color="auto" w:fill="auto"/>
                  <w:noWrap w:val="0"/>
                  <w:vAlign w:val="center"/>
                </w:tcPr>
                <w:p w14:paraId="786A92E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16000</w:t>
                  </w:r>
                </w:p>
              </w:tc>
              <w:tc>
                <w:tcPr>
                  <w:tcW w:w="660" w:type="dxa"/>
                  <w:shd w:val="clear" w:color="auto" w:fill="auto"/>
                  <w:noWrap w:val="0"/>
                  <w:vAlign w:val="center"/>
                </w:tcPr>
                <w:p w14:paraId="373F94F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snapToGrid w:val="0"/>
                      <w:color w:val="auto"/>
                      <w:spacing w:val="-11"/>
                      <w:kern w:val="0"/>
                      <w:sz w:val="21"/>
                      <w:szCs w:val="21"/>
                      <w:highlight w:val="none"/>
                      <w:lang w:val="en-US" w:eastAsia="zh-CN" w:bidi="ar-SA"/>
                    </w:rPr>
                  </w:pPr>
                  <w:r>
                    <w:rPr>
                      <w:rFonts w:hint="eastAsia" w:ascii="Times New Roman" w:hAnsi="Times New Roman" w:eastAsia="宋体" w:cs="Times New Roman"/>
                      <w:bCs/>
                      <w:snapToGrid w:val="0"/>
                      <w:color w:val="auto"/>
                      <w:spacing w:val="-11"/>
                      <w:kern w:val="0"/>
                      <w:sz w:val="21"/>
                      <w:szCs w:val="21"/>
                      <w:highlight w:val="none"/>
                      <w:lang w:val="en-US" w:eastAsia="zh-CN"/>
                    </w:rPr>
                    <w:t>/</w:t>
                  </w:r>
                </w:p>
              </w:tc>
              <w:tc>
                <w:tcPr>
                  <w:tcW w:w="994" w:type="dxa"/>
                  <w:shd w:val="clear" w:color="auto" w:fill="auto"/>
                  <w:noWrap w:val="0"/>
                  <w:vAlign w:val="center"/>
                </w:tcPr>
                <w:p w14:paraId="2153472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21384</w:t>
                  </w:r>
                </w:p>
              </w:tc>
              <w:tc>
                <w:tcPr>
                  <w:tcW w:w="689" w:type="dxa"/>
                  <w:shd w:val="clear" w:color="auto" w:fill="auto"/>
                  <w:noWrap w:val="0"/>
                  <w:vAlign w:val="center"/>
                </w:tcPr>
                <w:p w14:paraId="03DB105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w:t>
                  </w:r>
                </w:p>
              </w:tc>
            </w:tr>
            <w:tr w14:paraId="16D6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399F9C3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p>
              </w:tc>
              <w:tc>
                <w:tcPr>
                  <w:tcW w:w="850" w:type="dxa"/>
                  <w:noWrap w:val="0"/>
                  <w:vAlign w:val="center"/>
                </w:tcPr>
                <w:p w14:paraId="5B6D52F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leftChars="0" w:right="0" w:rightChars="0"/>
                    <w:jc w:val="center"/>
                    <w:textAlignment w:val="auto"/>
                    <w:rPr>
                      <w:rFonts w:hint="default" w:ascii="Times New Roman" w:hAnsi="Times New Roman" w:eastAsia="宋体" w:cs="Times New Roman"/>
                      <w:bCs/>
                      <w:color w:val="auto"/>
                      <w:spacing w:val="-11"/>
                      <w:kern w:val="0"/>
                      <w:sz w:val="21"/>
                      <w:szCs w:val="21"/>
                      <w:highlight w:val="none"/>
                      <w:lang w:val="en-US" w:eastAsia="zh-CN" w:bidi="ar"/>
                    </w:rPr>
                  </w:pPr>
                  <w:r>
                    <w:rPr>
                      <w:rFonts w:hint="default" w:ascii="Times New Roman" w:hAnsi="Times New Roman" w:eastAsia="宋体" w:cs="Times New Roman"/>
                      <w:bCs/>
                      <w:color w:val="auto"/>
                      <w:spacing w:val="-11"/>
                      <w:kern w:val="0"/>
                      <w:sz w:val="21"/>
                      <w:szCs w:val="21"/>
                      <w:highlight w:val="none"/>
                      <w:lang w:val="en-US" w:eastAsia="zh-CN" w:bidi="ar"/>
                    </w:rPr>
                    <w:t>进口</w:t>
                  </w:r>
                </w:p>
                <w:p w14:paraId="4E60D49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leftChars="0" w:right="0" w:rightChars="0"/>
                    <w:jc w:val="center"/>
                    <w:textAlignment w:val="auto"/>
                    <w:rPr>
                      <w:rFonts w:hint="default" w:ascii="Times New Roman" w:hAnsi="Times New Roman" w:eastAsia="宋体" w:cs="Times New Roman"/>
                      <w:bCs/>
                      <w:color w:val="auto"/>
                      <w:spacing w:val="-11"/>
                      <w:kern w:val="0"/>
                      <w:sz w:val="21"/>
                      <w:szCs w:val="21"/>
                      <w:highlight w:val="none"/>
                      <w:lang w:val="en-US" w:eastAsia="zh-CN" w:bidi="ar"/>
                    </w:rPr>
                  </w:pPr>
                  <w:r>
                    <w:rPr>
                      <w:rFonts w:hint="default" w:ascii="Times New Roman" w:hAnsi="Times New Roman" w:eastAsia="宋体" w:cs="Times New Roman"/>
                      <w:bCs/>
                      <w:color w:val="auto"/>
                      <w:spacing w:val="-11"/>
                      <w:kern w:val="0"/>
                      <w:sz w:val="21"/>
                      <w:szCs w:val="21"/>
                      <w:highlight w:val="none"/>
                      <w:lang w:val="en-US" w:eastAsia="zh-CN" w:bidi="ar"/>
                    </w:rPr>
                    <w:t>浓度</w:t>
                  </w:r>
                  <w:r>
                    <w:rPr>
                      <w:rFonts w:hint="default" w:ascii="Times New Roman" w:hAnsi="Times New Roman" w:eastAsia="宋体" w:cs="Times New Roman"/>
                      <w:color w:val="auto"/>
                      <w:spacing w:val="-11"/>
                      <w:kern w:val="0"/>
                      <w:sz w:val="21"/>
                      <w:szCs w:val="21"/>
                      <w:highlight w:val="none"/>
                      <w:lang w:val="en-US" w:eastAsia="zh-CN" w:bidi="ar"/>
                    </w:rPr>
                    <w:t>(mg/m</w:t>
                  </w:r>
                  <w:r>
                    <w:rPr>
                      <w:rFonts w:hint="default" w:ascii="Times New Roman" w:hAnsi="Times New Roman" w:eastAsia="宋体" w:cs="Times New Roman"/>
                      <w:color w:val="auto"/>
                      <w:spacing w:val="-11"/>
                      <w:kern w:val="0"/>
                      <w:sz w:val="21"/>
                      <w:szCs w:val="21"/>
                      <w:highlight w:val="none"/>
                      <w:vertAlign w:val="superscript"/>
                      <w:lang w:val="en-US" w:eastAsia="zh-CN" w:bidi="ar"/>
                    </w:rPr>
                    <w:t>3</w:t>
                  </w:r>
                  <w:r>
                    <w:rPr>
                      <w:rFonts w:hint="default" w:ascii="Times New Roman" w:hAnsi="Times New Roman" w:eastAsia="宋体" w:cs="Times New Roman"/>
                      <w:color w:val="auto"/>
                      <w:spacing w:val="-11"/>
                      <w:kern w:val="0"/>
                      <w:sz w:val="21"/>
                      <w:szCs w:val="21"/>
                      <w:highlight w:val="none"/>
                      <w:lang w:val="en-US" w:eastAsia="zh-CN" w:bidi="ar"/>
                    </w:rPr>
                    <w:t>)</w:t>
                  </w:r>
                </w:p>
              </w:tc>
              <w:tc>
                <w:tcPr>
                  <w:tcW w:w="1497" w:type="dxa"/>
                  <w:gridSpan w:val="2"/>
                  <w:noWrap w:val="0"/>
                  <w:vAlign w:val="center"/>
                </w:tcPr>
                <w:p w14:paraId="789F3A4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w:t>
                  </w:r>
                </w:p>
              </w:tc>
              <w:tc>
                <w:tcPr>
                  <w:tcW w:w="1679" w:type="dxa"/>
                  <w:noWrap w:val="0"/>
                  <w:vAlign w:val="center"/>
                </w:tcPr>
                <w:p w14:paraId="2FCE88C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w:t>
                  </w:r>
                </w:p>
              </w:tc>
              <w:tc>
                <w:tcPr>
                  <w:tcW w:w="660" w:type="dxa"/>
                  <w:noWrap w:val="0"/>
                  <w:vAlign w:val="center"/>
                </w:tcPr>
                <w:p w14:paraId="4D82468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w:t>
                  </w:r>
                </w:p>
              </w:tc>
              <w:tc>
                <w:tcPr>
                  <w:tcW w:w="660" w:type="dxa"/>
                  <w:noWrap w:val="0"/>
                  <w:vAlign w:val="center"/>
                </w:tcPr>
                <w:p w14:paraId="5B9A32E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44.2</w:t>
                  </w:r>
                </w:p>
              </w:tc>
              <w:tc>
                <w:tcPr>
                  <w:tcW w:w="660" w:type="dxa"/>
                  <w:noWrap w:val="0"/>
                  <w:vAlign w:val="center"/>
                </w:tcPr>
                <w:p w14:paraId="7593D7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4.44</w:t>
                  </w:r>
                </w:p>
              </w:tc>
              <w:tc>
                <w:tcPr>
                  <w:tcW w:w="660" w:type="dxa"/>
                  <w:noWrap w:val="0"/>
                  <w:vAlign w:val="center"/>
                </w:tcPr>
                <w:p w14:paraId="6AA4387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w:t>
                  </w:r>
                </w:p>
              </w:tc>
              <w:tc>
                <w:tcPr>
                  <w:tcW w:w="994" w:type="dxa"/>
                  <w:noWrap w:val="0"/>
                  <w:vAlign w:val="center"/>
                </w:tcPr>
                <w:p w14:paraId="5BE6E83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447.1</w:t>
                  </w:r>
                </w:p>
              </w:tc>
              <w:tc>
                <w:tcPr>
                  <w:tcW w:w="689" w:type="dxa"/>
                  <w:noWrap w:val="0"/>
                  <w:vAlign w:val="center"/>
                </w:tcPr>
                <w:p w14:paraId="40C8608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w:t>
                  </w:r>
                </w:p>
              </w:tc>
            </w:tr>
            <w:tr w14:paraId="61F7A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349BBD2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p>
              </w:tc>
              <w:tc>
                <w:tcPr>
                  <w:tcW w:w="850" w:type="dxa"/>
                  <w:shd w:val="clear" w:color="auto" w:fill="auto"/>
                  <w:noWrap w:val="0"/>
                  <w:vAlign w:val="center"/>
                </w:tcPr>
                <w:p w14:paraId="7848335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rPr>
                    <w:t>去除效率（%）</w:t>
                  </w:r>
                </w:p>
              </w:tc>
              <w:tc>
                <w:tcPr>
                  <w:tcW w:w="1497" w:type="dxa"/>
                  <w:gridSpan w:val="2"/>
                  <w:shd w:val="clear" w:color="auto" w:fill="auto"/>
                  <w:noWrap w:val="0"/>
                  <w:vAlign w:val="center"/>
                </w:tcPr>
                <w:p w14:paraId="13D27FE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bidi="ar-SA"/>
                    </w:rPr>
                    <w:t>70</w:t>
                  </w:r>
                </w:p>
              </w:tc>
              <w:tc>
                <w:tcPr>
                  <w:tcW w:w="1679" w:type="dxa"/>
                  <w:shd w:val="clear" w:color="auto" w:fill="auto"/>
                  <w:noWrap w:val="0"/>
                  <w:vAlign w:val="center"/>
                </w:tcPr>
                <w:p w14:paraId="190DA8EF">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bidi="ar-SA"/>
                    </w:rPr>
                    <w:t>封闭车间80%，滤芯除尘90%</w:t>
                  </w:r>
                </w:p>
              </w:tc>
              <w:tc>
                <w:tcPr>
                  <w:tcW w:w="660" w:type="dxa"/>
                  <w:shd w:val="clear" w:color="auto" w:fill="auto"/>
                  <w:noWrap w:val="0"/>
                  <w:vAlign w:val="center"/>
                </w:tcPr>
                <w:p w14:paraId="0043E2B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bidi="ar-SA"/>
                    </w:rPr>
                    <w:t>70</w:t>
                  </w:r>
                </w:p>
              </w:tc>
              <w:tc>
                <w:tcPr>
                  <w:tcW w:w="660" w:type="dxa"/>
                  <w:shd w:val="clear" w:color="auto" w:fill="auto"/>
                  <w:noWrap w:val="0"/>
                  <w:vAlign w:val="center"/>
                </w:tcPr>
                <w:p w14:paraId="6120DB2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bidi="ar-SA"/>
                    </w:rPr>
                    <w:t>88</w:t>
                  </w:r>
                </w:p>
              </w:tc>
              <w:tc>
                <w:tcPr>
                  <w:tcW w:w="660" w:type="dxa"/>
                  <w:shd w:val="clear" w:color="auto" w:fill="auto"/>
                  <w:noWrap w:val="0"/>
                  <w:vAlign w:val="center"/>
                </w:tcPr>
                <w:p w14:paraId="455F663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bidi="ar-SA"/>
                    </w:rPr>
                    <w:t>70</w:t>
                  </w:r>
                </w:p>
              </w:tc>
              <w:tc>
                <w:tcPr>
                  <w:tcW w:w="660" w:type="dxa"/>
                  <w:shd w:val="clear" w:color="auto" w:fill="auto"/>
                  <w:noWrap w:val="0"/>
                  <w:vAlign w:val="center"/>
                </w:tcPr>
                <w:p w14:paraId="7A6A9CB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cs="Times New Roman"/>
                      <w:b w:val="0"/>
                      <w:bCs/>
                      <w:snapToGrid w:val="0"/>
                      <w:color w:val="auto"/>
                      <w:spacing w:val="-11"/>
                      <w:kern w:val="0"/>
                      <w:sz w:val="21"/>
                      <w:szCs w:val="21"/>
                      <w:highlight w:val="none"/>
                      <w:lang w:val="en-US" w:eastAsia="zh-CN" w:bidi="ar-SA"/>
                    </w:rPr>
                    <w:t>98</w:t>
                  </w:r>
                </w:p>
              </w:tc>
              <w:tc>
                <w:tcPr>
                  <w:tcW w:w="994" w:type="dxa"/>
                  <w:shd w:val="clear" w:color="auto" w:fill="auto"/>
                  <w:noWrap w:val="0"/>
                  <w:vAlign w:val="center"/>
                </w:tcPr>
                <w:p w14:paraId="0D98218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bidi="ar-SA"/>
                    </w:rPr>
                    <w:t>80</w:t>
                  </w:r>
                </w:p>
              </w:tc>
              <w:tc>
                <w:tcPr>
                  <w:tcW w:w="689" w:type="dxa"/>
                  <w:noWrap w:val="0"/>
                  <w:vAlign w:val="center"/>
                </w:tcPr>
                <w:p w14:paraId="18B7FBF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s="Times New Roman"/>
                      <w:bCs/>
                      <w:snapToGrid w:val="0"/>
                      <w:color w:val="auto"/>
                      <w:spacing w:val="-11"/>
                      <w:kern w:val="0"/>
                      <w:sz w:val="21"/>
                      <w:szCs w:val="21"/>
                      <w:highlight w:val="none"/>
                      <w:lang w:val="en-US" w:eastAsia="zh-CN"/>
                    </w:rPr>
                  </w:pPr>
                </w:p>
              </w:tc>
            </w:tr>
            <w:tr w14:paraId="37FDD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19E066A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p>
              </w:tc>
              <w:tc>
                <w:tcPr>
                  <w:tcW w:w="850" w:type="dxa"/>
                  <w:noWrap w:val="0"/>
                  <w:vAlign w:val="center"/>
                </w:tcPr>
                <w:p w14:paraId="1E5B6FC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center"/>
                    <w:textAlignment w:val="auto"/>
                    <w:rPr>
                      <w:rFonts w:hint="default" w:ascii="Times New Roman" w:hAnsi="Times New Roman" w:eastAsia="宋体" w:cs="Times New Roman"/>
                      <w:bCs/>
                      <w:color w:val="auto"/>
                      <w:spacing w:val="-11"/>
                      <w:kern w:val="0"/>
                      <w:sz w:val="21"/>
                      <w:szCs w:val="21"/>
                      <w:highlight w:val="none"/>
                      <w:lang w:val="en-US" w:eastAsia="zh-CN" w:bidi="ar"/>
                    </w:rPr>
                  </w:pPr>
                  <w:r>
                    <w:rPr>
                      <w:rFonts w:hint="default" w:ascii="Times New Roman" w:hAnsi="Times New Roman" w:eastAsia="宋体" w:cs="Times New Roman"/>
                      <w:bCs/>
                      <w:color w:val="auto"/>
                      <w:spacing w:val="-11"/>
                      <w:kern w:val="0"/>
                      <w:sz w:val="21"/>
                      <w:szCs w:val="21"/>
                      <w:highlight w:val="none"/>
                      <w:lang w:val="en-US" w:eastAsia="zh-CN" w:bidi="ar"/>
                    </w:rPr>
                    <w:t>是否</w:t>
                  </w:r>
                </w:p>
                <w:p w14:paraId="13D44BF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center"/>
                    <w:textAlignment w:val="auto"/>
                    <w:rPr>
                      <w:rFonts w:hint="default" w:ascii="Times New Roman" w:hAnsi="Times New Roman" w:eastAsia="宋体" w:cs="Times New Roman"/>
                      <w:bCs/>
                      <w:color w:val="auto"/>
                      <w:spacing w:val="-11"/>
                      <w:kern w:val="0"/>
                      <w:sz w:val="21"/>
                      <w:szCs w:val="21"/>
                      <w:highlight w:val="none"/>
                      <w:lang w:val="en-US" w:eastAsia="zh-CN" w:bidi="ar-SA"/>
                    </w:rPr>
                  </w:pPr>
                  <w:r>
                    <w:rPr>
                      <w:rFonts w:hint="default" w:ascii="Times New Roman" w:hAnsi="Times New Roman" w:eastAsia="宋体" w:cs="Times New Roman"/>
                      <w:bCs/>
                      <w:color w:val="auto"/>
                      <w:spacing w:val="-11"/>
                      <w:kern w:val="0"/>
                      <w:sz w:val="21"/>
                      <w:szCs w:val="21"/>
                      <w:highlight w:val="none"/>
                      <w:lang w:val="en-US" w:eastAsia="zh-CN" w:bidi="ar"/>
                    </w:rPr>
                    <w:t>可行</w:t>
                  </w:r>
                </w:p>
              </w:tc>
              <w:tc>
                <w:tcPr>
                  <w:tcW w:w="7499" w:type="dxa"/>
                  <w:gridSpan w:val="9"/>
                  <w:noWrap w:val="0"/>
                  <w:vAlign w:val="center"/>
                </w:tcPr>
                <w:p w14:paraId="7D5DD99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ascii="Times New Roman" w:hAnsi="Times New Roman" w:eastAsia="宋体" w:cs="Times New Roman"/>
                      <w:bCs/>
                      <w:snapToGrid w:val="0"/>
                      <w:color w:val="auto"/>
                      <w:spacing w:val="-11"/>
                      <w:kern w:val="0"/>
                      <w:sz w:val="21"/>
                      <w:szCs w:val="21"/>
                      <w:highlight w:val="none"/>
                      <w:lang w:val="en-US" w:eastAsia="zh-CN"/>
                    </w:rPr>
                    <w:t>是</w:t>
                  </w:r>
                </w:p>
              </w:tc>
            </w:tr>
            <w:tr w14:paraId="47437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restart"/>
                  <w:noWrap w:val="0"/>
                  <w:vAlign w:val="center"/>
                </w:tcPr>
                <w:p w14:paraId="0ACF571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default" w:ascii="Times New Roman" w:hAnsi="Times New Roman" w:eastAsia="宋体" w:cs="Times New Roman"/>
                      <w:bCs/>
                      <w:snapToGrid w:val="0"/>
                      <w:color w:val="auto"/>
                      <w:spacing w:val="-11"/>
                      <w:kern w:val="0"/>
                      <w:sz w:val="21"/>
                      <w:szCs w:val="21"/>
                      <w:highlight w:val="none"/>
                    </w:rPr>
                    <w:t>排放量</w:t>
                  </w:r>
                </w:p>
              </w:tc>
              <w:tc>
                <w:tcPr>
                  <w:tcW w:w="850" w:type="dxa"/>
                  <w:noWrap w:val="0"/>
                  <w:vAlign w:val="center"/>
                </w:tcPr>
                <w:p w14:paraId="58F5654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color w:val="auto"/>
                      <w:spacing w:val="-11"/>
                      <w:kern w:val="0"/>
                      <w:sz w:val="21"/>
                      <w:szCs w:val="21"/>
                      <w:highlight w:val="none"/>
                      <w:lang w:val="en-US" w:eastAsia="zh-CN" w:bidi="ar"/>
                    </w:rPr>
                  </w:pPr>
                  <w:r>
                    <w:rPr>
                      <w:rFonts w:hint="eastAsia" w:ascii="Times New Roman" w:hAnsi="Times New Roman" w:eastAsia="宋体" w:cs="Times New Roman"/>
                      <w:bCs/>
                      <w:color w:val="auto"/>
                      <w:spacing w:val="-11"/>
                      <w:kern w:val="0"/>
                      <w:sz w:val="21"/>
                      <w:szCs w:val="21"/>
                      <w:highlight w:val="none"/>
                      <w:lang w:val="en-US" w:eastAsia="zh-CN" w:bidi="ar"/>
                    </w:rPr>
                    <w:t>排放</w:t>
                  </w:r>
                </w:p>
                <w:p w14:paraId="0592EF6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default" w:ascii="Times New Roman" w:hAnsi="Times New Roman" w:eastAsia="宋体" w:cs="Times New Roman"/>
                      <w:bCs/>
                      <w:color w:val="auto"/>
                      <w:spacing w:val="-11"/>
                      <w:kern w:val="0"/>
                      <w:sz w:val="21"/>
                      <w:szCs w:val="21"/>
                      <w:highlight w:val="none"/>
                      <w:lang w:val="en-US" w:eastAsia="zh-CN" w:bidi="ar"/>
                    </w:rPr>
                    <w:t>浓度</w:t>
                  </w:r>
                  <w:r>
                    <w:rPr>
                      <w:rFonts w:hint="default" w:ascii="Times New Roman" w:hAnsi="Times New Roman" w:eastAsia="宋体" w:cs="Times New Roman"/>
                      <w:color w:val="auto"/>
                      <w:spacing w:val="-11"/>
                      <w:kern w:val="0"/>
                      <w:sz w:val="21"/>
                      <w:szCs w:val="21"/>
                      <w:highlight w:val="none"/>
                      <w:lang w:val="en-US" w:eastAsia="zh-CN" w:bidi="ar"/>
                    </w:rPr>
                    <w:t>(mg/m</w:t>
                  </w:r>
                  <w:r>
                    <w:rPr>
                      <w:rFonts w:hint="default" w:ascii="Times New Roman" w:hAnsi="Times New Roman" w:eastAsia="宋体" w:cs="Times New Roman"/>
                      <w:color w:val="auto"/>
                      <w:spacing w:val="-11"/>
                      <w:kern w:val="0"/>
                      <w:sz w:val="21"/>
                      <w:szCs w:val="21"/>
                      <w:highlight w:val="none"/>
                      <w:vertAlign w:val="superscript"/>
                      <w:lang w:val="en-US" w:eastAsia="zh-CN" w:bidi="ar"/>
                    </w:rPr>
                    <w:t>3</w:t>
                  </w:r>
                  <w:r>
                    <w:rPr>
                      <w:rFonts w:hint="default" w:ascii="Times New Roman" w:hAnsi="Times New Roman" w:eastAsia="宋体" w:cs="Times New Roman"/>
                      <w:color w:val="auto"/>
                      <w:spacing w:val="-11"/>
                      <w:kern w:val="0"/>
                      <w:sz w:val="21"/>
                      <w:szCs w:val="21"/>
                      <w:highlight w:val="none"/>
                      <w:lang w:val="en-US" w:eastAsia="zh-CN" w:bidi="ar"/>
                    </w:rPr>
                    <w:t>)</w:t>
                  </w:r>
                </w:p>
              </w:tc>
              <w:tc>
                <w:tcPr>
                  <w:tcW w:w="793" w:type="dxa"/>
                  <w:noWrap w:val="0"/>
                  <w:vAlign w:val="center"/>
                </w:tcPr>
                <w:p w14:paraId="6F6E6B3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w:t>
                  </w:r>
                </w:p>
              </w:tc>
              <w:tc>
                <w:tcPr>
                  <w:tcW w:w="704" w:type="dxa"/>
                  <w:noWrap w:val="0"/>
                  <w:vAlign w:val="center"/>
                </w:tcPr>
                <w:p w14:paraId="5A5A1D5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w:t>
                  </w:r>
                </w:p>
              </w:tc>
              <w:tc>
                <w:tcPr>
                  <w:tcW w:w="1679" w:type="dxa"/>
                  <w:noWrap w:val="0"/>
                  <w:vAlign w:val="center"/>
                </w:tcPr>
                <w:p w14:paraId="347D16E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w:t>
                  </w:r>
                </w:p>
              </w:tc>
              <w:tc>
                <w:tcPr>
                  <w:tcW w:w="660" w:type="dxa"/>
                  <w:noWrap w:val="0"/>
                  <w:vAlign w:val="center"/>
                </w:tcPr>
                <w:p w14:paraId="6EE3075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w:t>
                  </w:r>
                </w:p>
              </w:tc>
              <w:tc>
                <w:tcPr>
                  <w:tcW w:w="660" w:type="dxa"/>
                  <w:noWrap w:val="0"/>
                  <w:vAlign w:val="center"/>
                </w:tcPr>
                <w:p w14:paraId="1759861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5.304</w:t>
                  </w:r>
                </w:p>
              </w:tc>
              <w:tc>
                <w:tcPr>
                  <w:tcW w:w="660" w:type="dxa"/>
                  <w:noWrap w:val="0"/>
                  <w:vAlign w:val="center"/>
                </w:tcPr>
                <w:p w14:paraId="03434C4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0.533</w:t>
                  </w:r>
                </w:p>
              </w:tc>
              <w:tc>
                <w:tcPr>
                  <w:tcW w:w="660" w:type="dxa"/>
                  <w:noWrap w:val="0"/>
                  <w:vAlign w:val="center"/>
                </w:tcPr>
                <w:p w14:paraId="4334ED8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w:t>
                  </w:r>
                </w:p>
              </w:tc>
              <w:tc>
                <w:tcPr>
                  <w:tcW w:w="994" w:type="dxa"/>
                  <w:noWrap w:val="0"/>
                  <w:vAlign w:val="center"/>
                </w:tcPr>
                <w:p w14:paraId="50F4E78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8.94</w:t>
                  </w:r>
                </w:p>
              </w:tc>
              <w:tc>
                <w:tcPr>
                  <w:tcW w:w="689" w:type="dxa"/>
                  <w:noWrap w:val="0"/>
                  <w:vAlign w:val="center"/>
                </w:tcPr>
                <w:p w14:paraId="12BCC67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w:t>
                  </w:r>
                </w:p>
              </w:tc>
            </w:tr>
            <w:tr w14:paraId="693D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29AC464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rPr>
                  </w:pPr>
                </w:p>
              </w:tc>
              <w:tc>
                <w:tcPr>
                  <w:tcW w:w="850" w:type="dxa"/>
                  <w:shd w:val="clear" w:color="auto" w:fill="auto"/>
                  <w:noWrap w:val="0"/>
                  <w:vAlign w:val="center"/>
                </w:tcPr>
                <w:p w14:paraId="09F90FB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snapToGrid w:val="0"/>
                      <w:color w:val="auto"/>
                      <w:spacing w:val="-11"/>
                      <w:kern w:val="0"/>
                      <w:sz w:val="21"/>
                      <w:szCs w:val="21"/>
                      <w:highlight w:val="none"/>
                      <w:lang w:val="en-US" w:eastAsia="zh-CN" w:bidi="ar-SA"/>
                    </w:rPr>
                  </w:pPr>
                  <w:r>
                    <w:rPr>
                      <w:rFonts w:hint="default" w:ascii="Times New Roman" w:hAnsi="Times New Roman" w:eastAsia="宋体" w:cs="Times New Roman"/>
                      <w:bCs/>
                      <w:snapToGrid w:val="0"/>
                      <w:color w:val="auto"/>
                      <w:spacing w:val="-11"/>
                      <w:kern w:val="0"/>
                      <w:sz w:val="21"/>
                      <w:szCs w:val="21"/>
                      <w:highlight w:val="none"/>
                    </w:rPr>
                    <w:t>排放速率</w:t>
                  </w:r>
                  <w:r>
                    <w:rPr>
                      <w:rFonts w:hint="default" w:ascii="Times New Roman" w:hAnsi="Times New Roman" w:eastAsia="宋体" w:cs="Times New Roman"/>
                      <w:snapToGrid w:val="0"/>
                      <w:color w:val="auto"/>
                      <w:spacing w:val="-11"/>
                      <w:kern w:val="0"/>
                      <w:sz w:val="21"/>
                      <w:szCs w:val="21"/>
                      <w:highlight w:val="none"/>
                    </w:rPr>
                    <w:t>(kg/h)</w:t>
                  </w:r>
                </w:p>
              </w:tc>
              <w:tc>
                <w:tcPr>
                  <w:tcW w:w="793" w:type="dxa"/>
                  <w:shd w:val="clear" w:color="auto" w:fill="auto"/>
                  <w:noWrap w:val="0"/>
                  <w:vAlign w:val="center"/>
                </w:tcPr>
                <w:p w14:paraId="60F22CD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bidi="ar-SA"/>
                    </w:rPr>
                    <w:t>0.018</w:t>
                  </w:r>
                </w:p>
              </w:tc>
              <w:tc>
                <w:tcPr>
                  <w:tcW w:w="704" w:type="dxa"/>
                  <w:shd w:val="clear" w:color="auto" w:fill="auto"/>
                  <w:noWrap w:val="0"/>
                  <w:vAlign w:val="center"/>
                </w:tcPr>
                <w:p w14:paraId="4072047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bidi="ar-SA"/>
                    </w:rPr>
                    <w:t>0.002</w:t>
                  </w:r>
                </w:p>
              </w:tc>
              <w:tc>
                <w:tcPr>
                  <w:tcW w:w="1679" w:type="dxa"/>
                  <w:noWrap w:val="0"/>
                  <w:vAlign w:val="center"/>
                </w:tcPr>
                <w:p w14:paraId="59267DF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0.169</w:t>
                  </w:r>
                </w:p>
              </w:tc>
              <w:tc>
                <w:tcPr>
                  <w:tcW w:w="660" w:type="dxa"/>
                  <w:noWrap w:val="0"/>
                  <w:vAlign w:val="center"/>
                </w:tcPr>
                <w:p w14:paraId="49961E2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0.0236</w:t>
                  </w:r>
                </w:p>
              </w:tc>
              <w:tc>
                <w:tcPr>
                  <w:tcW w:w="660" w:type="dxa"/>
                  <w:noWrap w:val="0"/>
                  <w:vAlign w:val="center"/>
                </w:tcPr>
                <w:p w14:paraId="715F3B8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0.0848</w:t>
                  </w:r>
                </w:p>
              </w:tc>
              <w:tc>
                <w:tcPr>
                  <w:tcW w:w="660" w:type="dxa"/>
                  <w:noWrap w:val="0"/>
                  <w:vAlign w:val="center"/>
                </w:tcPr>
                <w:p w14:paraId="1E0A468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0.0085</w:t>
                  </w:r>
                </w:p>
              </w:tc>
              <w:tc>
                <w:tcPr>
                  <w:tcW w:w="660" w:type="dxa"/>
                  <w:noWrap w:val="0"/>
                  <w:vAlign w:val="center"/>
                </w:tcPr>
                <w:p w14:paraId="2E84A1A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0.0024</w:t>
                  </w:r>
                </w:p>
              </w:tc>
              <w:tc>
                <w:tcPr>
                  <w:tcW w:w="994" w:type="dxa"/>
                  <w:noWrap w:val="0"/>
                  <w:vAlign w:val="center"/>
                </w:tcPr>
                <w:p w14:paraId="4D6F808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0.191</w:t>
                  </w:r>
                </w:p>
              </w:tc>
              <w:tc>
                <w:tcPr>
                  <w:tcW w:w="689" w:type="dxa"/>
                  <w:noWrap w:val="0"/>
                  <w:vAlign w:val="center"/>
                </w:tcPr>
                <w:p w14:paraId="39B91B9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0.478</w:t>
                  </w:r>
                </w:p>
              </w:tc>
            </w:tr>
            <w:tr w14:paraId="3B321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435A2D4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rPr>
                  </w:pPr>
                </w:p>
              </w:tc>
              <w:tc>
                <w:tcPr>
                  <w:tcW w:w="850" w:type="dxa"/>
                  <w:noWrap w:val="0"/>
                  <w:vAlign w:val="center"/>
                </w:tcPr>
                <w:p w14:paraId="08C9F59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default" w:ascii="Times New Roman" w:hAnsi="Times New Roman" w:eastAsia="宋体" w:cs="Times New Roman"/>
                      <w:bCs/>
                      <w:snapToGrid w:val="0"/>
                      <w:color w:val="auto"/>
                      <w:spacing w:val="-11"/>
                      <w:kern w:val="0"/>
                      <w:sz w:val="21"/>
                      <w:szCs w:val="21"/>
                      <w:highlight w:val="none"/>
                    </w:rPr>
                    <w:t>排放量（t/a）</w:t>
                  </w:r>
                </w:p>
              </w:tc>
              <w:tc>
                <w:tcPr>
                  <w:tcW w:w="793" w:type="dxa"/>
                  <w:noWrap w:val="0"/>
                  <w:vAlign w:val="center"/>
                </w:tcPr>
                <w:p w14:paraId="0937F1F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bidi="ar-SA"/>
                    </w:rPr>
                    <w:t>0.048</w:t>
                  </w:r>
                </w:p>
              </w:tc>
              <w:tc>
                <w:tcPr>
                  <w:tcW w:w="704" w:type="dxa"/>
                  <w:noWrap w:val="0"/>
                  <w:vAlign w:val="center"/>
                </w:tcPr>
                <w:p w14:paraId="733CC61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bidi="ar-SA"/>
                    </w:rPr>
                    <w:t>0.005</w:t>
                  </w:r>
                </w:p>
              </w:tc>
              <w:tc>
                <w:tcPr>
                  <w:tcW w:w="1679" w:type="dxa"/>
                  <w:noWrap w:val="0"/>
                  <w:vAlign w:val="center"/>
                </w:tcPr>
                <w:p w14:paraId="0FA4E03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bidi="ar-SA"/>
                    </w:rPr>
                    <w:t>0.225</w:t>
                  </w:r>
                </w:p>
              </w:tc>
              <w:tc>
                <w:tcPr>
                  <w:tcW w:w="660" w:type="dxa"/>
                  <w:noWrap w:val="0"/>
                  <w:vAlign w:val="center"/>
                </w:tcPr>
                <w:p w14:paraId="751D781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bidi="ar-SA"/>
                    </w:rPr>
                    <w:t>0.188</w:t>
                  </w:r>
                </w:p>
              </w:tc>
              <w:tc>
                <w:tcPr>
                  <w:tcW w:w="660" w:type="dxa"/>
                  <w:noWrap w:val="0"/>
                  <w:vAlign w:val="center"/>
                </w:tcPr>
                <w:p w14:paraId="4227F9C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bidi="ar-SA"/>
                    </w:rPr>
                    <w:t>0.678</w:t>
                  </w:r>
                </w:p>
              </w:tc>
              <w:tc>
                <w:tcPr>
                  <w:tcW w:w="660" w:type="dxa"/>
                  <w:noWrap w:val="0"/>
                  <w:vAlign w:val="center"/>
                </w:tcPr>
                <w:p w14:paraId="09A86D7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bidi="ar-SA"/>
                    </w:rPr>
                    <w:t>0.068</w:t>
                  </w:r>
                </w:p>
              </w:tc>
              <w:tc>
                <w:tcPr>
                  <w:tcW w:w="660" w:type="dxa"/>
                  <w:noWrap w:val="0"/>
                  <w:vAlign w:val="center"/>
                </w:tcPr>
                <w:p w14:paraId="01CB93B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bidi="ar-SA"/>
                    </w:rPr>
                    <w:t>0.019</w:t>
                  </w:r>
                </w:p>
              </w:tc>
              <w:tc>
                <w:tcPr>
                  <w:tcW w:w="994" w:type="dxa"/>
                  <w:noWrap w:val="0"/>
                  <w:vAlign w:val="center"/>
                </w:tcPr>
                <w:p w14:paraId="039A242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bidi="ar-SA"/>
                    </w:rPr>
                    <w:t>0.509</w:t>
                  </w:r>
                </w:p>
              </w:tc>
              <w:tc>
                <w:tcPr>
                  <w:tcW w:w="689" w:type="dxa"/>
                  <w:noWrap w:val="0"/>
                  <w:vAlign w:val="center"/>
                </w:tcPr>
                <w:p w14:paraId="65AD448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cs="Times New Roman"/>
                      <w:bCs/>
                      <w:snapToGrid w:val="0"/>
                      <w:color w:val="auto"/>
                      <w:spacing w:val="-11"/>
                      <w:kern w:val="0"/>
                      <w:sz w:val="21"/>
                      <w:szCs w:val="21"/>
                      <w:highlight w:val="none"/>
                      <w:lang w:val="en-US" w:eastAsia="zh-CN" w:bidi="ar-SA"/>
                    </w:rPr>
                    <w:t>1.272</w:t>
                  </w:r>
                </w:p>
              </w:tc>
            </w:tr>
            <w:tr w14:paraId="26057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4142AC1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p>
              </w:tc>
              <w:tc>
                <w:tcPr>
                  <w:tcW w:w="850" w:type="dxa"/>
                  <w:noWrap w:val="0"/>
                  <w:vAlign w:val="center"/>
                </w:tcPr>
                <w:p w14:paraId="549EB71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rPr>
                  </w:pPr>
                  <w:r>
                    <w:rPr>
                      <w:rFonts w:hint="default" w:ascii="Times New Roman" w:hAnsi="Times New Roman" w:eastAsia="宋体" w:cs="Times New Roman"/>
                      <w:bCs/>
                      <w:snapToGrid w:val="0"/>
                      <w:color w:val="auto"/>
                      <w:spacing w:val="-11"/>
                      <w:kern w:val="0"/>
                      <w:sz w:val="21"/>
                      <w:szCs w:val="21"/>
                      <w:highlight w:val="none"/>
                    </w:rPr>
                    <w:t>执行</w:t>
                  </w:r>
                </w:p>
                <w:p w14:paraId="49A1CFE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default" w:ascii="Times New Roman" w:hAnsi="Times New Roman" w:eastAsia="宋体" w:cs="Times New Roman"/>
                      <w:bCs/>
                      <w:snapToGrid w:val="0"/>
                      <w:color w:val="auto"/>
                      <w:spacing w:val="-11"/>
                      <w:kern w:val="0"/>
                      <w:sz w:val="21"/>
                      <w:szCs w:val="21"/>
                      <w:highlight w:val="none"/>
                    </w:rPr>
                    <w:t>标准</w:t>
                  </w:r>
                </w:p>
              </w:tc>
              <w:tc>
                <w:tcPr>
                  <w:tcW w:w="1497" w:type="dxa"/>
                  <w:gridSpan w:val="2"/>
                  <w:noWrap w:val="0"/>
                  <w:vAlign w:val="center"/>
                </w:tcPr>
                <w:p w14:paraId="285A8B2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rPr>
                  </w:pPr>
                  <w:r>
                    <w:rPr>
                      <w:rFonts w:hint="default" w:ascii="Times New Roman" w:hAnsi="Times New Roman" w:eastAsia="宋体" w:cs="Times New Roman"/>
                      <w:b w:val="0"/>
                      <w:bCs/>
                      <w:snapToGrid w:val="0"/>
                      <w:color w:val="auto"/>
                      <w:spacing w:val="-11"/>
                      <w:kern w:val="0"/>
                      <w:sz w:val="21"/>
                      <w:szCs w:val="21"/>
                      <w:highlight w:val="none"/>
                      <w:lang w:val="en-US" w:eastAsia="zh-CN"/>
                    </w:rPr>
                    <w:t>《恶臭污染物排放标准》（GB14554-93）</w:t>
                  </w:r>
                </w:p>
              </w:tc>
              <w:tc>
                <w:tcPr>
                  <w:tcW w:w="1679" w:type="dxa"/>
                  <w:noWrap w:val="0"/>
                  <w:vAlign w:val="center"/>
                </w:tcPr>
                <w:p w14:paraId="44054AD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rPr>
                  </w:pPr>
                  <w:r>
                    <w:rPr>
                      <w:rFonts w:hint="default" w:ascii="Times New Roman" w:hAnsi="Times New Roman" w:eastAsia="宋体" w:cs="Times New Roman"/>
                      <w:b w:val="0"/>
                      <w:bCs/>
                      <w:snapToGrid w:val="0"/>
                      <w:color w:val="auto"/>
                      <w:spacing w:val="-11"/>
                      <w:kern w:val="0"/>
                      <w:sz w:val="21"/>
                      <w:szCs w:val="21"/>
                      <w:highlight w:val="none"/>
                      <w:lang w:val="en-US" w:eastAsia="zh-CN"/>
                    </w:rPr>
                    <w:t>《大气污染物综合排放标准》（GB16297-1996）</w:t>
                  </w:r>
                </w:p>
              </w:tc>
              <w:tc>
                <w:tcPr>
                  <w:tcW w:w="2640" w:type="dxa"/>
                  <w:gridSpan w:val="4"/>
                  <w:noWrap w:val="0"/>
                  <w:vAlign w:val="center"/>
                </w:tcPr>
                <w:p w14:paraId="1338451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rPr>
                  </w:pPr>
                  <w:r>
                    <w:rPr>
                      <w:rFonts w:hint="default" w:ascii="Times New Roman" w:hAnsi="Times New Roman" w:eastAsia="宋体" w:cs="Times New Roman"/>
                      <w:b w:val="0"/>
                      <w:bCs/>
                      <w:snapToGrid w:val="0"/>
                      <w:color w:val="auto"/>
                      <w:spacing w:val="-11"/>
                      <w:kern w:val="0"/>
                      <w:sz w:val="21"/>
                      <w:szCs w:val="21"/>
                      <w:highlight w:val="none"/>
                      <w:lang w:val="en-US" w:eastAsia="zh-CN"/>
                    </w:rPr>
                    <w:t>《恶臭污染物排放标准》（GB14554-93）</w:t>
                  </w:r>
                </w:p>
              </w:tc>
              <w:tc>
                <w:tcPr>
                  <w:tcW w:w="1683" w:type="dxa"/>
                  <w:gridSpan w:val="2"/>
                  <w:noWrap w:val="0"/>
                  <w:vAlign w:val="center"/>
                </w:tcPr>
                <w:p w14:paraId="11566F2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rPr>
                  </w:pPr>
                  <w:r>
                    <w:rPr>
                      <w:rFonts w:hint="default" w:ascii="Times New Roman" w:hAnsi="Times New Roman" w:eastAsia="宋体" w:cs="Times New Roman"/>
                      <w:b w:val="0"/>
                      <w:bCs/>
                      <w:snapToGrid w:val="0"/>
                      <w:color w:val="auto"/>
                      <w:spacing w:val="-11"/>
                      <w:kern w:val="0"/>
                      <w:sz w:val="21"/>
                      <w:szCs w:val="21"/>
                      <w:highlight w:val="none"/>
                      <w:lang w:val="en-US" w:eastAsia="zh-CN"/>
                    </w:rPr>
                    <w:t>《大气污染物综合排放标准》（GB16297-1996）</w:t>
                  </w:r>
                </w:p>
              </w:tc>
            </w:tr>
            <w:tr w14:paraId="430D8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2D4D091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p>
              </w:tc>
              <w:tc>
                <w:tcPr>
                  <w:tcW w:w="850" w:type="dxa"/>
                  <w:noWrap w:val="0"/>
                  <w:vAlign w:val="center"/>
                </w:tcPr>
                <w:p w14:paraId="6382F81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rPr>
                  </w:pPr>
                  <w:r>
                    <w:rPr>
                      <w:rFonts w:hint="default" w:ascii="Times New Roman" w:hAnsi="Times New Roman" w:eastAsia="宋体" w:cs="Times New Roman"/>
                      <w:bCs/>
                      <w:snapToGrid w:val="0"/>
                      <w:color w:val="auto"/>
                      <w:spacing w:val="-11"/>
                      <w:kern w:val="0"/>
                      <w:sz w:val="21"/>
                      <w:szCs w:val="21"/>
                      <w:highlight w:val="none"/>
                    </w:rPr>
                    <w:t>标准</w:t>
                  </w:r>
                </w:p>
                <w:p w14:paraId="6551B3E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default" w:ascii="Times New Roman" w:hAnsi="Times New Roman" w:eastAsia="宋体" w:cs="Times New Roman"/>
                      <w:bCs/>
                      <w:snapToGrid w:val="0"/>
                      <w:color w:val="auto"/>
                      <w:spacing w:val="-11"/>
                      <w:kern w:val="0"/>
                      <w:sz w:val="21"/>
                      <w:szCs w:val="21"/>
                      <w:highlight w:val="none"/>
                    </w:rPr>
                    <w:t>限值</w:t>
                  </w:r>
                  <w:r>
                    <w:rPr>
                      <w:rFonts w:hint="default" w:ascii="Times New Roman" w:hAnsi="Times New Roman" w:eastAsia="宋体" w:cs="Times New Roman"/>
                      <w:color w:val="auto"/>
                      <w:spacing w:val="-11"/>
                      <w:kern w:val="0"/>
                      <w:sz w:val="21"/>
                      <w:szCs w:val="21"/>
                      <w:highlight w:val="none"/>
                      <w:lang w:val="en-US" w:eastAsia="zh-CN" w:bidi="ar"/>
                    </w:rPr>
                    <w:t>(mg/m</w:t>
                  </w:r>
                  <w:r>
                    <w:rPr>
                      <w:rFonts w:hint="default" w:ascii="Times New Roman" w:hAnsi="Times New Roman" w:eastAsia="宋体" w:cs="Times New Roman"/>
                      <w:color w:val="auto"/>
                      <w:spacing w:val="-11"/>
                      <w:kern w:val="0"/>
                      <w:sz w:val="21"/>
                      <w:szCs w:val="21"/>
                      <w:highlight w:val="none"/>
                      <w:vertAlign w:val="superscript"/>
                      <w:lang w:val="en-US" w:eastAsia="zh-CN" w:bidi="ar"/>
                    </w:rPr>
                    <w:t>3</w:t>
                  </w:r>
                  <w:r>
                    <w:rPr>
                      <w:rFonts w:hint="default" w:ascii="Times New Roman" w:hAnsi="Times New Roman" w:eastAsia="宋体" w:cs="Times New Roman"/>
                      <w:color w:val="auto"/>
                      <w:spacing w:val="-11"/>
                      <w:kern w:val="0"/>
                      <w:sz w:val="21"/>
                      <w:szCs w:val="21"/>
                      <w:highlight w:val="none"/>
                      <w:lang w:val="en-US" w:eastAsia="zh-CN" w:bidi="ar"/>
                    </w:rPr>
                    <w:t>)</w:t>
                  </w:r>
                </w:p>
              </w:tc>
              <w:tc>
                <w:tcPr>
                  <w:tcW w:w="793" w:type="dxa"/>
                  <w:noWrap w:val="0"/>
                  <w:vAlign w:val="center"/>
                </w:tcPr>
                <w:p w14:paraId="357DAEC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1.5</w:t>
                  </w:r>
                </w:p>
              </w:tc>
              <w:tc>
                <w:tcPr>
                  <w:tcW w:w="704" w:type="dxa"/>
                  <w:noWrap w:val="0"/>
                  <w:vAlign w:val="center"/>
                </w:tcPr>
                <w:p w14:paraId="09198D7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0.06</w:t>
                  </w:r>
                </w:p>
              </w:tc>
              <w:tc>
                <w:tcPr>
                  <w:tcW w:w="1679" w:type="dxa"/>
                  <w:noWrap w:val="0"/>
                  <w:vAlign w:val="center"/>
                </w:tcPr>
                <w:p w14:paraId="5F90133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1.0</w:t>
                  </w:r>
                </w:p>
              </w:tc>
              <w:tc>
                <w:tcPr>
                  <w:tcW w:w="660" w:type="dxa"/>
                  <w:noWrap w:val="0"/>
                  <w:vAlign w:val="center"/>
                </w:tcPr>
                <w:p w14:paraId="53399F5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1.5</w:t>
                  </w:r>
                </w:p>
              </w:tc>
              <w:tc>
                <w:tcPr>
                  <w:tcW w:w="660" w:type="dxa"/>
                  <w:noWrap w:val="0"/>
                  <w:vAlign w:val="center"/>
                </w:tcPr>
                <w:p w14:paraId="6CD2CBD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4.9</w:t>
                  </w:r>
                </w:p>
                <w:p w14:paraId="31C23B7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kg/h</w:t>
                  </w:r>
                </w:p>
              </w:tc>
              <w:tc>
                <w:tcPr>
                  <w:tcW w:w="660" w:type="dxa"/>
                  <w:noWrap w:val="0"/>
                  <w:vAlign w:val="center"/>
                </w:tcPr>
                <w:p w14:paraId="2B52306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0.33</w:t>
                  </w:r>
                </w:p>
                <w:p w14:paraId="4126B85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kg/h</w:t>
                  </w:r>
                </w:p>
              </w:tc>
              <w:tc>
                <w:tcPr>
                  <w:tcW w:w="660" w:type="dxa"/>
                  <w:noWrap w:val="0"/>
                  <w:vAlign w:val="center"/>
                </w:tcPr>
                <w:p w14:paraId="6BF786B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0.06</w:t>
                  </w:r>
                </w:p>
              </w:tc>
              <w:tc>
                <w:tcPr>
                  <w:tcW w:w="994" w:type="dxa"/>
                  <w:noWrap w:val="0"/>
                  <w:vAlign w:val="center"/>
                </w:tcPr>
                <w:p w14:paraId="1008C81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120</w:t>
                  </w:r>
                </w:p>
              </w:tc>
              <w:tc>
                <w:tcPr>
                  <w:tcW w:w="689" w:type="dxa"/>
                  <w:noWrap w:val="0"/>
                  <w:vAlign w:val="center"/>
                </w:tcPr>
                <w:p w14:paraId="498CC99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cs="Times New Roman"/>
                      <w:bCs/>
                      <w:snapToGrid w:val="0"/>
                      <w:color w:val="auto"/>
                      <w:spacing w:val="-11"/>
                      <w:kern w:val="0"/>
                      <w:sz w:val="21"/>
                      <w:szCs w:val="21"/>
                      <w:highlight w:val="none"/>
                      <w:lang w:val="en-US" w:eastAsia="zh-CN"/>
                    </w:rPr>
                    <w:t>1.0</w:t>
                  </w:r>
                </w:p>
              </w:tc>
            </w:tr>
            <w:tr w14:paraId="218E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restart"/>
                  <w:noWrap w:val="0"/>
                  <w:vAlign w:val="center"/>
                </w:tcPr>
                <w:p w14:paraId="4E9D695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eastAsia" w:ascii="Times New Roman" w:hAnsi="Times New Roman" w:eastAsia="宋体" w:cs="Times New Roman"/>
                      <w:bCs/>
                      <w:snapToGrid w:val="0"/>
                      <w:color w:val="auto"/>
                      <w:spacing w:val="-11"/>
                      <w:kern w:val="0"/>
                      <w:sz w:val="21"/>
                      <w:szCs w:val="21"/>
                      <w:highlight w:val="none"/>
                      <w:lang w:val="en-US" w:eastAsia="zh-CN"/>
                    </w:rPr>
                    <w:t>排放口信息</w:t>
                  </w:r>
                </w:p>
              </w:tc>
              <w:tc>
                <w:tcPr>
                  <w:tcW w:w="850" w:type="dxa"/>
                  <w:noWrap w:val="0"/>
                  <w:vAlign w:val="center"/>
                </w:tcPr>
                <w:p w14:paraId="10B250E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rPr>
                  </w:pPr>
                  <w:r>
                    <w:rPr>
                      <w:rFonts w:hint="default" w:ascii="Times New Roman" w:hAnsi="Times New Roman" w:eastAsia="宋体" w:cs="Times New Roman"/>
                      <w:bCs/>
                      <w:snapToGrid w:val="0"/>
                      <w:color w:val="auto"/>
                      <w:spacing w:val="-11"/>
                      <w:kern w:val="0"/>
                      <w:sz w:val="21"/>
                      <w:szCs w:val="21"/>
                      <w:highlight w:val="none"/>
                    </w:rPr>
                    <w:t>编号</w:t>
                  </w:r>
                </w:p>
              </w:tc>
              <w:tc>
                <w:tcPr>
                  <w:tcW w:w="3836" w:type="dxa"/>
                  <w:gridSpan w:val="4"/>
                  <w:noWrap w:val="0"/>
                  <w:vAlign w:val="center"/>
                </w:tcPr>
                <w:p w14:paraId="7D44034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 w:val="0"/>
                      <w:bCs/>
                      <w:snapToGrid w:val="0"/>
                      <w:color w:val="auto"/>
                      <w:spacing w:val="-11"/>
                      <w:kern w:val="0"/>
                      <w:sz w:val="21"/>
                      <w:szCs w:val="21"/>
                      <w:highlight w:val="none"/>
                      <w:lang w:val="en-US" w:eastAsia="zh-CN"/>
                    </w:rPr>
                  </w:pPr>
                  <w:r>
                    <w:rPr>
                      <w:rFonts w:hint="eastAsia" w:ascii="Times New Roman" w:hAnsi="Times New Roman" w:eastAsia="宋体" w:cs="Times New Roman"/>
                      <w:b w:val="0"/>
                      <w:bCs/>
                      <w:snapToGrid w:val="0"/>
                      <w:color w:val="auto"/>
                      <w:spacing w:val="-11"/>
                      <w:kern w:val="0"/>
                      <w:sz w:val="21"/>
                      <w:szCs w:val="21"/>
                      <w:highlight w:val="none"/>
                      <w:lang w:val="en-US" w:eastAsia="zh-CN"/>
                    </w:rPr>
                    <w:t>/</w:t>
                  </w:r>
                </w:p>
              </w:tc>
              <w:tc>
                <w:tcPr>
                  <w:tcW w:w="1320" w:type="dxa"/>
                  <w:gridSpan w:val="2"/>
                  <w:noWrap w:val="0"/>
                  <w:vAlign w:val="center"/>
                </w:tcPr>
                <w:p w14:paraId="6ACD515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DA003</w:t>
                  </w:r>
                </w:p>
              </w:tc>
              <w:tc>
                <w:tcPr>
                  <w:tcW w:w="660" w:type="dxa"/>
                  <w:noWrap w:val="0"/>
                  <w:vAlign w:val="center"/>
                </w:tcPr>
                <w:p w14:paraId="03455AC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w:t>
                  </w:r>
                </w:p>
              </w:tc>
              <w:tc>
                <w:tcPr>
                  <w:tcW w:w="994" w:type="dxa"/>
                  <w:noWrap w:val="0"/>
                  <w:vAlign w:val="center"/>
                </w:tcPr>
                <w:p w14:paraId="0460E27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rPr>
                  </w:pPr>
                  <w:r>
                    <w:rPr>
                      <w:rFonts w:hint="eastAsia" w:ascii="Times New Roman" w:hAnsi="Times New Roman" w:eastAsia="宋体" w:cs="Times New Roman"/>
                      <w:b w:val="0"/>
                      <w:bCs/>
                      <w:snapToGrid w:val="0"/>
                      <w:color w:val="auto"/>
                      <w:spacing w:val="-11"/>
                      <w:kern w:val="0"/>
                      <w:sz w:val="21"/>
                      <w:szCs w:val="21"/>
                      <w:highlight w:val="none"/>
                      <w:lang w:val="en-US" w:eastAsia="zh-CN"/>
                    </w:rPr>
                    <w:t>DA00</w:t>
                  </w:r>
                  <w:r>
                    <w:rPr>
                      <w:rFonts w:hint="eastAsia" w:cs="Times New Roman"/>
                      <w:b w:val="0"/>
                      <w:bCs/>
                      <w:snapToGrid w:val="0"/>
                      <w:color w:val="auto"/>
                      <w:spacing w:val="-11"/>
                      <w:kern w:val="0"/>
                      <w:sz w:val="21"/>
                      <w:szCs w:val="21"/>
                      <w:highlight w:val="none"/>
                      <w:lang w:val="en-US" w:eastAsia="zh-CN"/>
                    </w:rPr>
                    <w:t>4</w:t>
                  </w:r>
                </w:p>
              </w:tc>
              <w:tc>
                <w:tcPr>
                  <w:tcW w:w="689" w:type="dxa"/>
                  <w:noWrap w:val="0"/>
                  <w:vAlign w:val="center"/>
                </w:tcPr>
                <w:p w14:paraId="53B4773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w:t>
                  </w:r>
                </w:p>
              </w:tc>
            </w:tr>
            <w:tr w14:paraId="1EEC6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6F43F9F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snapToGrid w:val="0"/>
                      <w:color w:val="auto"/>
                      <w:spacing w:val="-11"/>
                      <w:kern w:val="0"/>
                      <w:sz w:val="21"/>
                      <w:szCs w:val="21"/>
                      <w:highlight w:val="none"/>
                      <w:lang w:val="en-US" w:eastAsia="zh-CN"/>
                    </w:rPr>
                  </w:pPr>
                </w:p>
              </w:tc>
              <w:tc>
                <w:tcPr>
                  <w:tcW w:w="850" w:type="dxa"/>
                  <w:shd w:val="clear" w:color="auto" w:fill="auto"/>
                  <w:noWrap w:val="0"/>
                  <w:vAlign w:val="center"/>
                </w:tcPr>
                <w:p w14:paraId="6FF1AD6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eastAsia" w:ascii="Times New Roman" w:hAnsi="Times New Roman" w:eastAsia="宋体" w:cs="Times New Roman"/>
                      <w:bCs/>
                      <w:snapToGrid w:val="0"/>
                      <w:color w:val="auto"/>
                      <w:spacing w:val="-11"/>
                      <w:kern w:val="0"/>
                      <w:sz w:val="21"/>
                      <w:szCs w:val="21"/>
                      <w:highlight w:val="none"/>
                      <w:lang w:val="en-US" w:eastAsia="zh-CN"/>
                    </w:rPr>
                    <w:t>材质</w:t>
                  </w:r>
                </w:p>
              </w:tc>
              <w:tc>
                <w:tcPr>
                  <w:tcW w:w="3836" w:type="dxa"/>
                  <w:gridSpan w:val="4"/>
                  <w:noWrap w:val="0"/>
                  <w:vAlign w:val="center"/>
                </w:tcPr>
                <w:p w14:paraId="46F15F2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w:t>
                  </w:r>
                </w:p>
              </w:tc>
              <w:tc>
                <w:tcPr>
                  <w:tcW w:w="1320" w:type="dxa"/>
                  <w:gridSpan w:val="2"/>
                  <w:shd w:val="clear" w:color="auto" w:fill="auto"/>
                  <w:noWrap w:val="0"/>
                  <w:vAlign w:val="center"/>
                </w:tcPr>
                <w:p w14:paraId="0781EC6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ascii="Times New Roman" w:hAnsi="Times New Roman" w:eastAsia="宋体" w:cs="Times New Roman"/>
                      <w:b w:val="0"/>
                      <w:bCs/>
                      <w:snapToGrid w:val="0"/>
                      <w:color w:val="auto"/>
                      <w:spacing w:val="-11"/>
                      <w:kern w:val="0"/>
                      <w:sz w:val="21"/>
                      <w:szCs w:val="21"/>
                      <w:highlight w:val="none"/>
                      <w:lang w:val="en-US" w:eastAsia="zh-CN"/>
                    </w:rPr>
                    <w:t>不锈钢</w:t>
                  </w:r>
                </w:p>
              </w:tc>
              <w:tc>
                <w:tcPr>
                  <w:tcW w:w="660" w:type="dxa"/>
                  <w:noWrap w:val="0"/>
                  <w:vAlign w:val="center"/>
                </w:tcPr>
                <w:p w14:paraId="004FE71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w:t>
                  </w:r>
                </w:p>
              </w:tc>
              <w:tc>
                <w:tcPr>
                  <w:tcW w:w="994" w:type="dxa"/>
                  <w:noWrap w:val="0"/>
                  <w:vAlign w:val="center"/>
                </w:tcPr>
                <w:p w14:paraId="6DDD9C3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 w:val="0"/>
                      <w:bCs/>
                      <w:snapToGrid w:val="0"/>
                      <w:color w:val="auto"/>
                      <w:spacing w:val="-11"/>
                      <w:kern w:val="0"/>
                      <w:sz w:val="21"/>
                      <w:szCs w:val="21"/>
                      <w:highlight w:val="none"/>
                      <w:lang w:val="en-US" w:eastAsia="zh-CN"/>
                    </w:rPr>
                  </w:pPr>
                  <w:r>
                    <w:rPr>
                      <w:rFonts w:hint="eastAsia" w:ascii="Times New Roman" w:hAnsi="Times New Roman" w:eastAsia="宋体" w:cs="Times New Roman"/>
                      <w:b w:val="0"/>
                      <w:bCs/>
                      <w:snapToGrid w:val="0"/>
                      <w:color w:val="auto"/>
                      <w:spacing w:val="-11"/>
                      <w:kern w:val="0"/>
                      <w:sz w:val="21"/>
                      <w:szCs w:val="21"/>
                      <w:highlight w:val="none"/>
                      <w:lang w:val="en-US" w:eastAsia="zh-CN"/>
                    </w:rPr>
                    <w:t>不锈钢</w:t>
                  </w:r>
                </w:p>
              </w:tc>
              <w:tc>
                <w:tcPr>
                  <w:tcW w:w="689" w:type="dxa"/>
                  <w:noWrap w:val="0"/>
                  <w:vAlign w:val="center"/>
                </w:tcPr>
                <w:p w14:paraId="2CEE20D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w:t>
                  </w:r>
                </w:p>
              </w:tc>
            </w:tr>
            <w:tr w14:paraId="4252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13ACC4C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snapToGrid w:val="0"/>
                      <w:color w:val="auto"/>
                      <w:spacing w:val="-11"/>
                      <w:kern w:val="0"/>
                      <w:sz w:val="21"/>
                      <w:szCs w:val="21"/>
                      <w:highlight w:val="none"/>
                      <w:lang w:val="en-US" w:eastAsia="zh-CN"/>
                    </w:rPr>
                  </w:pPr>
                </w:p>
              </w:tc>
              <w:tc>
                <w:tcPr>
                  <w:tcW w:w="850" w:type="dxa"/>
                  <w:shd w:val="clear" w:color="auto" w:fill="auto"/>
                  <w:noWrap w:val="0"/>
                  <w:vAlign w:val="center"/>
                </w:tcPr>
                <w:p w14:paraId="57723FA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default" w:ascii="Times New Roman" w:hAnsi="Times New Roman" w:eastAsia="宋体" w:cs="Times New Roman"/>
                      <w:bCs/>
                      <w:snapToGrid w:val="0"/>
                      <w:color w:val="auto"/>
                      <w:spacing w:val="-11"/>
                      <w:kern w:val="0"/>
                      <w:sz w:val="21"/>
                      <w:szCs w:val="21"/>
                      <w:highlight w:val="none"/>
                    </w:rPr>
                    <w:t>高度（m）</w:t>
                  </w:r>
                </w:p>
              </w:tc>
              <w:tc>
                <w:tcPr>
                  <w:tcW w:w="3836" w:type="dxa"/>
                  <w:gridSpan w:val="4"/>
                  <w:noWrap w:val="0"/>
                  <w:vAlign w:val="center"/>
                </w:tcPr>
                <w:p w14:paraId="7C0DB25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w:t>
                  </w:r>
                </w:p>
              </w:tc>
              <w:tc>
                <w:tcPr>
                  <w:tcW w:w="1320" w:type="dxa"/>
                  <w:gridSpan w:val="2"/>
                  <w:shd w:val="clear" w:color="auto" w:fill="auto"/>
                  <w:noWrap w:val="0"/>
                  <w:vAlign w:val="center"/>
                </w:tcPr>
                <w:p w14:paraId="32D8348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ascii="Times New Roman" w:hAnsi="Times New Roman" w:eastAsia="宋体" w:cs="Times New Roman"/>
                      <w:b w:val="0"/>
                      <w:bCs/>
                      <w:snapToGrid w:val="0"/>
                      <w:color w:val="auto"/>
                      <w:spacing w:val="-11"/>
                      <w:kern w:val="0"/>
                      <w:sz w:val="21"/>
                      <w:szCs w:val="21"/>
                      <w:highlight w:val="none"/>
                      <w:lang w:val="en-US" w:eastAsia="zh-CN"/>
                    </w:rPr>
                    <w:t>15</w:t>
                  </w:r>
                </w:p>
              </w:tc>
              <w:tc>
                <w:tcPr>
                  <w:tcW w:w="660" w:type="dxa"/>
                  <w:noWrap w:val="0"/>
                  <w:vAlign w:val="center"/>
                </w:tcPr>
                <w:p w14:paraId="175E048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w:t>
                  </w:r>
                </w:p>
              </w:tc>
              <w:tc>
                <w:tcPr>
                  <w:tcW w:w="994" w:type="dxa"/>
                  <w:noWrap w:val="0"/>
                  <w:vAlign w:val="center"/>
                </w:tcPr>
                <w:p w14:paraId="70FC907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 w:val="0"/>
                      <w:bCs/>
                      <w:snapToGrid w:val="0"/>
                      <w:color w:val="auto"/>
                      <w:spacing w:val="-11"/>
                      <w:kern w:val="0"/>
                      <w:sz w:val="21"/>
                      <w:szCs w:val="21"/>
                      <w:highlight w:val="none"/>
                      <w:lang w:val="en-US" w:eastAsia="zh-CN"/>
                    </w:rPr>
                  </w:pPr>
                  <w:r>
                    <w:rPr>
                      <w:rFonts w:hint="eastAsia" w:ascii="Times New Roman" w:hAnsi="Times New Roman" w:eastAsia="宋体" w:cs="Times New Roman"/>
                      <w:b w:val="0"/>
                      <w:bCs/>
                      <w:snapToGrid w:val="0"/>
                      <w:color w:val="auto"/>
                      <w:spacing w:val="-11"/>
                      <w:kern w:val="0"/>
                      <w:sz w:val="21"/>
                      <w:szCs w:val="21"/>
                      <w:highlight w:val="none"/>
                      <w:lang w:val="en-US" w:eastAsia="zh-CN"/>
                    </w:rPr>
                    <w:t>15</w:t>
                  </w:r>
                </w:p>
              </w:tc>
              <w:tc>
                <w:tcPr>
                  <w:tcW w:w="689" w:type="dxa"/>
                  <w:noWrap w:val="0"/>
                  <w:vAlign w:val="center"/>
                </w:tcPr>
                <w:p w14:paraId="47A6B20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w:t>
                  </w:r>
                </w:p>
              </w:tc>
            </w:tr>
            <w:tr w14:paraId="669AD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4F0E55D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snapToGrid w:val="0"/>
                      <w:color w:val="auto"/>
                      <w:spacing w:val="-11"/>
                      <w:kern w:val="0"/>
                      <w:sz w:val="21"/>
                      <w:szCs w:val="21"/>
                      <w:highlight w:val="none"/>
                      <w:lang w:val="en-US" w:eastAsia="zh-CN"/>
                    </w:rPr>
                  </w:pPr>
                </w:p>
              </w:tc>
              <w:tc>
                <w:tcPr>
                  <w:tcW w:w="850" w:type="dxa"/>
                  <w:shd w:val="clear" w:color="auto" w:fill="auto"/>
                  <w:noWrap w:val="0"/>
                  <w:vAlign w:val="center"/>
                </w:tcPr>
                <w:p w14:paraId="2D9B06B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lang w:val="en-US" w:eastAsia="zh-CN" w:bidi="ar-SA"/>
                    </w:rPr>
                  </w:pPr>
                  <w:r>
                    <w:rPr>
                      <w:rFonts w:hint="default" w:ascii="Times New Roman" w:hAnsi="Times New Roman" w:eastAsia="宋体" w:cs="Times New Roman"/>
                      <w:bCs/>
                      <w:snapToGrid w:val="0"/>
                      <w:color w:val="auto"/>
                      <w:spacing w:val="-11"/>
                      <w:kern w:val="0"/>
                      <w:sz w:val="21"/>
                      <w:szCs w:val="21"/>
                      <w:highlight w:val="none"/>
                    </w:rPr>
                    <w:t>直径（m）</w:t>
                  </w:r>
                </w:p>
              </w:tc>
              <w:tc>
                <w:tcPr>
                  <w:tcW w:w="3836" w:type="dxa"/>
                  <w:gridSpan w:val="4"/>
                  <w:noWrap w:val="0"/>
                  <w:vAlign w:val="center"/>
                </w:tcPr>
                <w:p w14:paraId="049B2B6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w:t>
                  </w:r>
                </w:p>
              </w:tc>
              <w:tc>
                <w:tcPr>
                  <w:tcW w:w="1320" w:type="dxa"/>
                  <w:gridSpan w:val="2"/>
                  <w:shd w:val="clear" w:color="auto" w:fill="auto"/>
                  <w:noWrap w:val="0"/>
                  <w:vAlign w:val="center"/>
                </w:tcPr>
                <w:p w14:paraId="5E928D5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ascii="Times New Roman" w:hAnsi="Times New Roman" w:eastAsia="宋体" w:cs="Times New Roman"/>
                      <w:b w:val="0"/>
                      <w:bCs/>
                      <w:snapToGrid w:val="0"/>
                      <w:color w:val="auto"/>
                      <w:spacing w:val="-11"/>
                      <w:kern w:val="0"/>
                      <w:sz w:val="21"/>
                      <w:szCs w:val="21"/>
                      <w:highlight w:val="none"/>
                      <w:lang w:val="en-US" w:eastAsia="zh-CN"/>
                    </w:rPr>
                    <w:t>0.8</w:t>
                  </w:r>
                </w:p>
              </w:tc>
              <w:tc>
                <w:tcPr>
                  <w:tcW w:w="660" w:type="dxa"/>
                  <w:noWrap w:val="0"/>
                  <w:vAlign w:val="center"/>
                </w:tcPr>
                <w:p w14:paraId="23A7DF8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w:t>
                  </w:r>
                </w:p>
              </w:tc>
              <w:tc>
                <w:tcPr>
                  <w:tcW w:w="994" w:type="dxa"/>
                  <w:noWrap w:val="0"/>
                  <w:vAlign w:val="center"/>
                </w:tcPr>
                <w:p w14:paraId="66BFBEF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 w:val="0"/>
                      <w:bCs/>
                      <w:snapToGrid w:val="0"/>
                      <w:color w:val="auto"/>
                      <w:spacing w:val="-11"/>
                      <w:kern w:val="0"/>
                      <w:sz w:val="21"/>
                      <w:szCs w:val="21"/>
                      <w:highlight w:val="none"/>
                      <w:lang w:val="en-US" w:eastAsia="zh-CN"/>
                    </w:rPr>
                  </w:pPr>
                  <w:r>
                    <w:rPr>
                      <w:rFonts w:hint="eastAsia" w:ascii="Times New Roman" w:hAnsi="Times New Roman" w:eastAsia="宋体" w:cs="Times New Roman"/>
                      <w:b w:val="0"/>
                      <w:bCs/>
                      <w:snapToGrid w:val="0"/>
                      <w:color w:val="auto"/>
                      <w:spacing w:val="-11"/>
                      <w:kern w:val="0"/>
                      <w:sz w:val="21"/>
                      <w:szCs w:val="21"/>
                      <w:highlight w:val="none"/>
                      <w:lang w:val="en-US" w:eastAsia="zh-CN"/>
                    </w:rPr>
                    <w:t>0.8</w:t>
                  </w:r>
                </w:p>
              </w:tc>
              <w:tc>
                <w:tcPr>
                  <w:tcW w:w="689" w:type="dxa"/>
                  <w:noWrap w:val="0"/>
                  <w:vAlign w:val="center"/>
                </w:tcPr>
                <w:p w14:paraId="7927A1E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w:t>
                  </w:r>
                </w:p>
              </w:tc>
            </w:tr>
            <w:tr w14:paraId="14632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342" w:type="dxa"/>
                  <w:vMerge w:val="continue"/>
                  <w:noWrap w:val="0"/>
                  <w:vAlign w:val="center"/>
                </w:tcPr>
                <w:p w14:paraId="701A1F9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snapToGrid w:val="0"/>
                      <w:color w:val="auto"/>
                      <w:spacing w:val="-11"/>
                      <w:kern w:val="0"/>
                      <w:sz w:val="21"/>
                      <w:szCs w:val="21"/>
                      <w:highlight w:val="none"/>
                      <w:lang w:val="en-US" w:eastAsia="zh-CN"/>
                    </w:rPr>
                  </w:pPr>
                </w:p>
              </w:tc>
              <w:tc>
                <w:tcPr>
                  <w:tcW w:w="850" w:type="dxa"/>
                  <w:shd w:val="clear" w:color="auto" w:fill="auto"/>
                  <w:noWrap w:val="0"/>
                  <w:vAlign w:val="center"/>
                </w:tcPr>
                <w:p w14:paraId="75A4C43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snapToGrid w:val="0"/>
                      <w:color w:val="auto"/>
                      <w:spacing w:val="-11"/>
                      <w:kern w:val="0"/>
                      <w:sz w:val="21"/>
                      <w:szCs w:val="21"/>
                      <w:highlight w:val="none"/>
                    </w:rPr>
                  </w:pPr>
                  <w:r>
                    <w:rPr>
                      <w:rFonts w:hint="default" w:ascii="Times New Roman" w:hAnsi="Times New Roman" w:eastAsia="宋体" w:cs="Times New Roman"/>
                      <w:bCs/>
                      <w:snapToGrid w:val="0"/>
                      <w:color w:val="auto"/>
                      <w:spacing w:val="-11"/>
                      <w:kern w:val="0"/>
                      <w:sz w:val="21"/>
                      <w:szCs w:val="21"/>
                      <w:highlight w:val="none"/>
                    </w:rPr>
                    <w:t>温度（℃）</w:t>
                  </w:r>
                </w:p>
              </w:tc>
              <w:tc>
                <w:tcPr>
                  <w:tcW w:w="3836" w:type="dxa"/>
                  <w:gridSpan w:val="4"/>
                  <w:noWrap w:val="0"/>
                  <w:vAlign w:val="center"/>
                </w:tcPr>
                <w:p w14:paraId="375A478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w:t>
                  </w:r>
                </w:p>
              </w:tc>
              <w:tc>
                <w:tcPr>
                  <w:tcW w:w="1320" w:type="dxa"/>
                  <w:gridSpan w:val="2"/>
                  <w:shd w:val="clear" w:color="auto" w:fill="auto"/>
                  <w:noWrap w:val="0"/>
                  <w:vAlign w:val="center"/>
                </w:tcPr>
                <w:p w14:paraId="51EDC25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 w:val="0"/>
                      <w:bCs/>
                      <w:snapToGrid w:val="0"/>
                      <w:color w:val="auto"/>
                      <w:spacing w:val="-11"/>
                      <w:kern w:val="0"/>
                      <w:sz w:val="21"/>
                      <w:szCs w:val="21"/>
                      <w:highlight w:val="none"/>
                      <w:lang w:val="en-US" w:eastAsia="zh-CN" w:bidi="ar-SA"/>
                    </w:rPr>
                  </w:pPr>
                  <w:r>
                    <w:rPr>
                      <w:rFonts w:hint="eastAsia" w:ascii="Times New Roman" w:hAnsi="Times New Roman" w:eastAsia="宋体" w:cs="Times New Roman"/>
                      <w:b w:val="0"/>
                      <w:bCs/>
                      <w:snapToGrid w:val="0"/>
                      <w:color w:val="auto"/>
                      <w:spacing w:val="-11"/>
                      <w:kern w:val="0"/>
                      <w:sz w:val="21"/>
                      <w:szCs w:val="21"/>
                      <w:highlight w:val="none"/>
                      <w:lang w:val="en-US" w:eastAsia="zh-CN"/>
                    </w:rPr>
                    <w:t>常温</w:t>
                  </w:r>
                </w:p>
              </w:tc>
              <w:tc>
                <w:tcPr>
                  <w:tcW w:w="660" w:type="dxa"/>
                  <w:noWrap w:val="0"/>
                  <w:vAlign w:val="center"/>
                </w:tcPr>
                <w:p w14:paraId="020E126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w:t>
                  </w:r>
                </w:p>
              </w:tc>
              <w:tc>
                <w:tcPr>
                  <w:tcW w:w="994" w:type="dxa"/>
                  <w:noWrap w:val="0"/>
                  <w:vAlign w:val="center"/>
                </w:tcPr>
                <w:p w14:paraId="14F0F14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 w:val="0"/>
                      <w:bCs/>
                      <w:snapToGrid w:val="0"/>
                      <w:color w:val="auto"/>
                      <w:spacing w:val="-11"/>
                      <w:kern w:val="0"/>
                      <w:sz w:val="21"/>
                      <w:szCs w:val="21"/>
                      <w:highlight w:val="none"/>
                      <w:lang w:val="en-US" w:eastAsia="zh-CN"/>
                    </w:rPr>
                  </w:pPr>
                  <w:r>
                    <w:rPr>
                      <w:rFonts w:hint="eastAsia" w:ascii="Times New Roman" w:hAnsi="Times New Roman" w:eastAsia="宋体" w:cs="Times New Roman"/>
                      <w:b w:val="0"/>
                      <w:bCs/>
                      <w:snapToGrid w:val="0"/>
                      <w:color w:val="auto"/>
                      <w:spacing w:val="-11"/>
                      <w:kern w:val="0"/>
                      <w:sz w:val="21"/>
                      <w:szCs w:val="21"/>
                      <w:highlight w:val="none"/>
                      <w:lang w:val="en-US" w:eastAsia="zh-CN"/>
                    </w:rPr>
                    <w:t>常温</w:t>
                  </w:r>
                </w:p>
              </w:tc>
              <w:tc>
                <w:tcPr>
                  <w:tcW w:w="689" w:type="dxa"/>
                  <w:noWrap w:val="0"/>
                  <w:vAlign w:val="center"/>
                </w:tcPr>
                <w:p w14:paraId="1A09FE5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cs="Times New Roman"/>
                      <w:b w:val="0"/>
                      <w:bCs/>
                      <w:snapToGrid w:val="0"/>
                      <w:color w:val="auto"/>
                      <w:spacing w:val="-11"/>
                      <w:kern w:val="0"/>
                      <w:sz w:val="21"/>
                      <w:szCs w:val="21"/>
                      <w:highlight w:val="none"/>
                      <w:lang w:val="en-US" w:eastAsia="zh-CN"/>
                    </w:rPr>
                  </w:pPr>
                  <w:r>
                    <w:rPr>
                      <w:rFonts w:hint="eastAsia" w:cs="Times New Roman"/>
                      <w:b w:val="0"/>
                      <w:bCs/>
                      <w:snapToGrid w:val="0"/>
                      <w:color w:val="auto"/>
                      <w:spacing w:val="-11"/>
                      <w:kern w:val="0"/>
                      <w:sz w:val="21"/>
                      <w:szCs w:val="21"/>
                      <w:highlight w:val="none"/>
                      <w:lang w:val="en-US" w:eastAsia="zh-CN"/>
                    </w:rPr>
                    <w:t>/</w:t>
                  </w:r>
                </w:p>
              </w:tc>
            </w:tr>
          </w:tbl>
          <w:p w14:paraId="32D03947">
            <w:pPr>
              <w:keepNext w:val="0"/>
              <w:keepLines w:val="0"/>
              <w:pageBreakBefore w:val="0"/>
              <w:widowControl w:val="0"/>
              <w:kinsoku/>
              <w:wordWrap/>
              <w:overflowPunct/>
              <w:topLinePunct w:val="0"/>
              <w:autoSpaceDE/>
              <w:autoSpaceDN/>
              <w:bidi w:val="0"/>
              <w:spacing w:line="440" w:lineRule="exact"/>
              <w:ind w:firstLine="482" w:firstLineChars="200"/>
              <w:textAlignment w:val="auto"/>
              <w:rPr>
                <w:b/>
                <w:bCs/>
                <w:color w:val="auto"/>
                <w:sz w:val="24"/>
                <w:szCs w:val="24"/>
                <w:highlight w:val="none"/>
              </w:rPr>
            </w:pPr>
            <w:r>
              <w:rPr>
                <w:rFonts w:hint="eastAsia" w:ascii="宋体" w:hAnsi="宋体"/>
                <w:b/>
                <w:bCs/>
                <w:color w:val="auto"/>
                <w:sz w:val="24"/>
                <w:szCs w:val="24"/>
                <w:highlight w:val="none"/>
              </w:rPr>
              <w:t>①</w:t>
            </w:r>
            <w:r>
              <w:rPr>
                <w:rFonts w:hint="eastAsia"/>
                <w:b/>
                <w:bCs/>
                <w:color w:val="auto"/>
                <w:sz w:val="24"/>
                <w:szCs w:val="24"/>
                <w:highlight w:val="none"/>
              </w:rPr>
              <w:t>有组织废气</w:t>
            </w:r>
          </w:p>
          <w:p w14:paraId="01FAE29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bidi="ar"/>
              </w:rPr>
              <w:t>由上表可知，</w:t>
            </w:r>
            <w:r>
              <w:rPr>
                <w:rFonts w:hint="default" w:ascii="Times New Roman" w:hAnsi="Times New Roman" w:eastAsia="宋体" w:cs="Times New Roman"/>
                <w:color w:val="auto"/>
                <w:kern w:val="0"/>
                <w:sz w:val="24"/>
                <w:szCs w:val="24"/>
                <w:highlight w:val="none"/>
              </w:rPr>
              <w:t>本项目正常排放情况下，DA00</w:t>
            </w:r>
            <w:r>
              <w:rPr>
                <w:rFonts w:hint="eastAsia"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rPr>
              <w:t>排气筒</w:t>
            </w:r>
            <w:r>
              <w:rPr>
                <w:rFonts w:hint="eastAsia" w:ascii="Times New Roman" w:hAnsi="Times New Roman" w:eastAsia="宋体" w:cs="Times New Roman"/>
                <w:color w:val="auto"/>
                <w:kern w:val="0"/>
                <w:sz w:val="24"/>
                <w:szCs w:val="24"/>
                <w:highlight w:val="none"/>
                <w:lang w:val="en-US" w:eastAsia="zh-CN"/>
              </w:rPr>
              <w:t>排放的氨、硫化氢</w:t>
            </w:r>
            <w:r>
              <w:rPr>
                <w:rFonts w:hint="default" w:ascii="Times New Roman" w:hAnsi="Times New Roman" w:eastAsia="宋体" w:cs="Times New Roman"/>
                <w:color w:val="auto"/>
                <w:kern w:val="0"/>
                <w:sz w:val="24"/>
                <w:szCs w:val="24"/>
                <w:highlight w:val="none"/>
              </w:rPr>
              <w:t>排放速率满足《《恶臭污染物排放标准》（GB14554-93）中表2二级标准大气污染物排放限值要求</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DA00</w:t>
            </w:r>
            <w:r>
              <w:rPr>
                <w:rFonts w:hint="eastAsia" w:ascii="Times New Roman" w:hAnsi="Times New Roman" w:eastAsia="宋体" w:cs="Times New Roman"/>
                <w:color w:val="auto"/>
                <w:kern w:val="0"/>
                <w:sz w:val="24"/>
                <w:szCs w:val="24"/>
                <w:highlight w:val="none"/>
                <w:lang w:val="en-US" w:eastAsia="zh-CN"/>
              </w:rPr>
              <w:t>4</w:t>
            </w:r>
            <w:r>
              <w:rPr>
                <w:rFonts w:hint="default" w:ascii="Times New Roman" w:hAnsi="Times New Roman" w:eastAsia="宋体" w:cs="Times New Roman"/>
                <w:color w:val="auto"/>
                <w:kern w:val="0"/>
                <w:sz w:val="24"/>
                <w:szCs w:val="24"/>
                <w:highlight w:val="none"/>
              </w:rPr>
              <w:t>排气筒</w:t>
            </w:r>
            <w:r>
              <w:rPr>
                <w:rFonts w:hint="eastAsia" w:ascii="Times New Roman" w:hAnsi="Times New Roman" w:eastAsia="宋体" w:cs="Times New Roman"/>
                <w:color w:val="auto"/>
                <w:kern w:val="0"/>
                <w:sz w:val="24"/>
                <w:szCs w:val="24"/>
                <w:highlight w:val="none"/>
                <w:lang w:val="en-US" w:eastAsia="zh-CN"/>
              </w:rPr>
              <w:t>排放的</w:t>
            </w:r>
            <w:r>
              <w:rPr>
                <w:rFonts w:hint="default" w:ascii="Times New Roman" w:hAnsi="Times New Roman" w:eastAsia="宋体" w:cs="Times New Roman"/>
                <w:color w:val="auto"/>
                <w:kern w:val="0"/>
                <w:sz w:val="24"/>
                <w:szCs w:val="24"/>
                <w:highlight w:val="none"/>
              </w:rPr>
              <w:t>颗粒物排放速率及排放浓度均满足《大气污染物综合排放标准》（GB16297-1996）中表2二级标准大气污染物排放限值要求</w:t>
            </w:r>
            <w:r>
              <w:rPr>
                <w:rFonts w:hint="eastAsia" w:cs="Times New Roman"/>
                <w:color w:val="auto"/>
                <w:kern w:val="0"/>
                <w:sz w:val="24"/>
                <w:szCs w:val="24"/>
                <w:highlight w:val="none"/>
                <w:lang w:eastAsia="zh-CN"/>
              </w:rPr>
              <w:t>。</w:t>
            </w:r>
          </w:p>
          <w:p w14:paraId="1458403E">
            <w:pPr>
              <w:keepNext w:val="0"/>
              <w:keepLines w:val="0"/>
              <w:pageBreakBefore w:val="0"/>
              <w:widowControl w:val="0"/>
              <w:kinsoku/>
              <w:wordWrap/>
              <w:overflowPunct/>
              <w:topLinePunct w:val="0"/>
              <w:autoSpaceDE/>
              <w:autoSpaceDN/>
              <w:bidi w:val="0"/>
              <w:spacing w:line="440" w:lineRule="exact"/>
              <w:ind w:firstLine="482" w:firstLineChars="200"/>
              <w:textAlignment w:val="auto"/>
              <w:rPr>
                <w:rFonts w:hint="eastAsia" w:ascii="宋体" w:hAnsi="宋体" w:eastAsia="宋体" w:cs="宋体"/>
                <w:color w:val="auto"/>
                <w:sz w:val="24"/>
                <w:szCs w:val="24"/>
                <w:highlight w:val="none"/>
                <w:vertAlign w:val="baseline"/>
              </w:rPr>
            </w:pPr>
            <w:r>
              <w:rPr>
                <w:rFonts w:hint="eastAsia" w:ascii="宋体" w:hAnsi="宋体"/>
                <w:b/>
                <w:bCs/>
                <w:color w:val="auto"/>
                <w:sz w:val="24"/>
                <w:szCs w:val="24"/>
                <w:highlight w:val="none"/>
              </w:rPr>
              <w:t>②</w:t>
            </w:r>
            <w:r>
              <w:rPr>
                <w:rFonts w:hint="eastAsia"/>
                <w:b/>
                <w:bCs/>
                <w:color w:val="auto"/>
                <w:sz w:val="24"/>
                <w:szCs w:val="24"/>
                <w:highlight w:val="none"/>
              </w:rPr>
              <w:t>无组织废气</w:t>
            </w:r>
          </w:p>
          <w:p w14:paraId="3FECA4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根据分析现有项目无组织排放的氨、硫化氢排放量分别为1.739t/a和0.109t/a，</w:t>
            </w:r>
            <w:r>
              <w:rPr>
                <w:rFonts w:hint="eastAsia" w:ascii="Times New Roman" w:hAnsi="Times New Roman" w:cs="Times New Roman"/>
                <w:color w:val="auto"/>
                <w:sz w:val="24"/>
                <w:szCs w:val="24"/>
                <w:highlight w:val="none"/>
                <w:vertAlign w:val="baseline"/>
                <w:lang w:val="en-US" w:eastAsia="zh-CN"/>
              </w:rPr>
              <w:t>根据</w:t>
            </w:r>
            <w:r>
              <w:rPr>
                <w:rFonts w:hint="default" w:ascii="Times New Roman" w:hAnsi="Times New Roman" w:cs="Times New Roman"/>
                <w:color w:val="auto"/>
                <w:sz w:val="24"/>
                <w:szCs w:val="24"/>
                <w:highlight w:val="none"/>
                <w:vertAlign w:val="baseline"/>
                <w:lang w:val="en-US" w:eastAsia="zh-CN"/>
              </w:rPr>
              <w:t>《云南錦创环境科技有限公司果蔬废弃物处理项目竣工环境保护验收监测报告表》</w:t>
            </w:r>
            <w:r>
              <w:rPr>
                <w:rFonts w:hint="eastAsia" w:ascii="Times New Roman" w:hAnsi="Times New Roman" w:cs="Times New Roman"/>
                <w:color w:val="auto"/>
                <w:sz w:val="24"/>
                <w:szCs w:val="24"/>
                <w:highlight w:val="none"/>
                <w:vertAlign w:val="baseline"/>
                <w:lang w:val="en-US" w:eastAsia="zh-CN"/>
              </w:rPr>
              <w:t>现有项目厂界氨最大检测值为0.17mg/m</w:t>
            </w:r>
            <w:r>
              <w:rPr>
                <w:rFonts w:hint="eastAsia" w:ascii="Times New Roman" w:hAnsi="Times New Roman" w:cs="Times New Roman"/>
                <w:color w:val="auto"/>
                <w:sz w:val="24"/>
                <w:szCs w:val="24"/>
                <w:highlight w:val="none"/>
                <w:vertAlign w:val="superscript"/>
                <w:lang w:val="en-US" w:eastAsia="zh-CN"/>
              </w:rPr>
              <w:t>3</w:t>
            </w:r>
            <w:r>
              <w:rPr>
                <w:rFonts w:hint="eastAsia" w:ascii="Times New Roman" w:hAnsi="Times New Roman" w:cs="Times New Roman"/>
                <w:color w:val="auto"/>
                <w:sz w:val="24"/>
                <w:szCs w:val="24"/>
                <w:highlight w:val="none"/>
                <w:vertAlign w:val="baseline"/>
                <w:lang w:val="en-US" w:eastAsia="zh-CN"/>
              </w:rPr>
              <w:t>，硫化氢最大检测值为0.008mg/m</w:t>
            </w:r>
            <w:r>
              <w:rPr>
                <w:rFonts w:hint="eastAsia" w:ascii="Times New Roman" w:hAnsi="Times New Roman" w:cs="Times New Roman"/>
                <w:color w:val="auto"/>
                <w:sz w:val="24"/>
                <w:szCs w:val="24"/>
                <w:highlight w:val="none"/>
                <w:vertAlign w:val="superscript"/>
                <w:lang w:val="en-US" w:eastAsia="zh-CN"/>
              </w:rPr>
              <w:t>3</w:t>
            </w:r>
            <w:r>
              <w:rPr>
                <w:rFonts w:hint="eastAsia" w:ascii="Times New Roman" w:hAnsi="Times New Roman" w:cs="Times New Roman"/>
                <w:color w:val="auto"/>
                <w:sz w:val="24"/>
                <w:szCs w:val="24"/>
                <w:highlight w:val="none"/>
                <w:vertAlign w:val="baseline"/>
                <w:lang w:val="en-US" w:eastAsia="zh-CN"/>
              </w:rPr>
              <w:t>，臭气浓度厂界最大值为15（无量纲），满足满足《恶臭污染物排放标准》（GB14554-93）表1、表2二级新改扩建标准，即氨≤1.5mg/m</w:t>
            </w:r>
            <w:r>
              <w:rPr>
                <w:rFonts w:hint="eastAsia" w:ascii="Times New Roman" w:hAnsi="Times New Roman" w:cs="Times New Roman"/>
                <w:color w:val="auto"/>
                <w:sz w:val="24"/>
                <w:szCs w:val="24"/>
                <w:highlight w:val="none"/>
                <w:vertAlign w:val="superscript"/>
                <w:lang w:val="en-US" w:eastAsia="zh-CN"/>
              </w:rPr>
              <w:t>3</w:t>
            </w:r>
            <w:r>
              <w:rPr>
                <w:rFonts w:hint="eastAsia" w:ascii="Times New Roman" w:hAnsi="Times New Roman" w:cs="Times New Roman"/>
                <w:color w:val="auto"/>
                <w:sz w:val="24"/>
                <w:szCs w:val="24"/>
                <w:highlight w:val="none"/>
                <w:vertAlign w:val="baseline"/>
                <w:lang w:val="en-US" w:eastAsia="zh-CN"/>
              </w:rPr>
              <w:t>，硫化氢≤0.06mg/m</w:t>
            </w:r>
            <w:r>
              <w:rPr>
                <w:rFonts w:hint="eastAsia" w:ascii="Times New Roman" w:hAnsi="Times New Roman" w:cs="Times New Roman"/>
                <w:color w:val="auto"/>
                <w:sz w:val="24"/>
                <w:szCs w:val="24"/>
                <w:highlight w:val="none"/>
                <w:vertAlign w:val="superscript"/>
                <w:lang w:val="en-US" w:eastAsia="zh-CN"/>
              </w:rPr>
              <w:t>3</w:t>
            </w:r>
            <w:r>
              <w:rPr>
                <w:rFonts w:hint="eastAsia" w:ascii="Times New Roman" w:hAnsi="Times New Roman" w:cs="Times New Roman"/>
                <w:color w:val="auto"/>
                <w:sz w:val="24"/>
                <w:szCs w:val="24"/>
                <w:highlight w:val="none"/>
                <w:vertAlign w:val="baseline"/>
                <w:lang w:val="en-US" w:eastAsia="zh-CN"/>
              </w:rPr>
              <w:t>，臭气浓度≤20要求；</w:t>
            </w:r>
            <w:r>
              <w:rPr>
                <w:rFonts w:hint="default" w:ascii="Times New Roman" w:hAnsi="Times New Roman" w:cs="Times New Roman"/>
                <w:color w:val="auto"/>
                <w:sz w:val="24"/>
                <w:szCs w:val="24"/>
                <w:highlight w:val="none"/>
                <w:vertAlign w:val="baseline"/>
                <w:lang w:val="en-US" w:eastAsia="zh-CN"/>
              </w:rPr>
              <w:t>本项目建设完成后</w:t>
            </w:r>
            <w:r>
              <w:rPr>
                <w:rFonts w:hint="eastAsia" w:ascii="Times New Roman" w:hAnsi="Times New Roman" w:cs="Times New Roman"/>
                <w:color w:val="auto"/>
                <w:sz w:val="24"/>
                <w:szCs w:val="24"/>
                <w:highlight w:val="none"/>
                <w:vertAlign w:val="baseline"/>
                <w:lang w:val="en-US" w:eastAsia="zh-CN"/>
              </w:rPr>
              <w:t>废水处理量、烘干量的减少及其采取生物过滤除臭的措施，</w:t>
            </w:r>
            <w:r>
              <w:rPr>
                <w:rFonts w:hint="default" w:ascii="Times New Roman" w:hAnsi="Times New Roman" w:cs="Times New Roman"/>
                <w:color w:val="auto"/>
                <w:sz w:val="24"/>
                <w:szCs w:val="24"/>
                <w:highlight w:val="none"/>
                <w:vertAlign w:val="baseline"/>
                <w:lang w:val="en-US" w:eastAsia="zh-CN"/>
              </w:rPr>
              <w:t>全厂无组织排放的氨、硫化氢的排放量为1.372t/a和0.0729t/a，</w:t>
            </w:r>
            <w:r>
              <w:rPr>
                <w:rFonts w:hint="eastAsia" w:ascii="Times New Roman" w:hAnsi="Times New Roman" w:cs="Times New Roman"/>
                <w:color w:val="auto"/>
                <w:sz w:val="24"/>
                <w:szCs w:val="24"/>
                <w:highlight w:val="none"/>
                <w:vertAlign w:val="baseline"/>
                <w:lang w:val="en-US" w:eastAsia="zh-CN"/>
              </w:rPr>
              <w:t>相比现有项目相比氨和硫化氢的排放量均有消减，即本项目建设完成后无组织排放的氨≤0.17mg/m</w:t>
            </w:r>
            <w:r>
              <w:rPr>
                <w:rFonts w:hint="eastAsia" w:ascii="Times New Roman" w:hAnsi="Times New Roman" w:cs="Times New Roman"/>
                <w:color w:val="auto"/>
                <w:sz w:val="24"/>
                <w:szCs w:val="24"/>
                <w:highlight w:val="none"/>
                <w:vertAlign w:val="superscript"/>
                <w:lang w:val="en-US" w:eastAsia="zh-CN"/>
              </w:rPr>
              <w:t>3</w:t>
            </w:r>
            <w:r>
              <w:rPr>
                <w:rFonts w:hint="eastAsia" w:ascii="Times New Roman" w:hAnsi="Times New Roman" w:cs="Times New Roman"/>
                <w:color w:val="auto"/>
                <w:sz w:val="24"/>
                <w:szCs w:val="24"/>
                <w:highlight w:val="none"/>
                <w:vertAlign w:val="baseline"/>
                <w:lang w:val="en-US" w:eastAsia="zh-CN"/>
              </w:rPr>
              <w:t>，硫化氢≤0.008mg/m</w:t>
            </w:r>
            <w:r>
              <w:rPr>
                <w:rFonts w:hint="eastAsia" w:ascii="Times New Roman" w:hAnsi="Times New Roman" w:cs="Times New Roman"/>
                <w:color w:val="auto"/>
                <w:sz w:val="24"/>
                <w:szCs w:val="24"/>
                <w:highlight w:val="none"/>
                <w:vertAlign w:val="superscript"/>
                <w:lang w:val="en-US" w:eastAsia="zh-CN"/>
              </w:rPr>
              <w:t>3</w:t>
            </w:r>
            <w:r>
              <w:rPr>
                <w:rFonts w:hint="eastAsia" w:ascii="Times New Roman" w:hAnsi="Times New Roman" w:cs="Times New Roman"/>
                <w:color w:val="auto"/>
                <w:sz w:val="24"/>
                <w:szCs w:val="24"/>
                <w:highlight w:val="none"/>
                <w:vertAlign w:val="baseline"/>
                <w:lang w:val="en-US" w:eastAsia="zh-CN"/>
              </w:rPr>
              <w:t>，臭气浓度厂界≤15（无量纲），</w:t>
            </w:r>
            <w:r>
              <w:rPr>
                <w:rFonts w:hint="eastAsia" w:cs="Times New Roman"/>
                <w:color w:val="auto"/>
                <w:sz w:val="24"/>
                <w:szCs w:val="24"/>
                <w:highlight w:val="none"/>
                <w:vertAlign w:val="baseline"/>
                <w:lang w:val="en-US" w:eastAsia="zh-CN"/>
              </w:rPr>
              <w:t>可</w:t>
            </w:r>
            <w:r>
              <w:rPr>
                <w:rFonts w:hint="eastAsia" w:ascii="Times New Roman" w:hAnsi="Times New Roman" w:cs="Times New Roman"/>
                <w:color w:val="auto"/>
                <w:sz w:val="24"/>
                <w:szCs w:val="24"/>
                <w:highlight w:val="none"/>
                <w:vertAlign w:val="baseline"/>
                <w:lang w:val="en-US" w:eastAsia="zh-CN"/>
              </w:rPr>
              <w:t>满足满足《恶臭污染物排放标准》（GB14554-93）表1、表2二级新改扩建标准，即氨≤1.5mg/m</w:t>
            </w:r>
            <w:r>
              <w:rPr>
                <w:rFonts w:hint="eastAsia" w:ascii="Times New Roman" w:hAnsi="Times New Roman" w:cs="Times New Roman"/>
                <w:color w:val="auto"/>
                <w:sz w:val="24"/>
                <w:szCs w:val="24"/>
                <w:highlight w:val="none"/>
                <w:vertAlign w:val="superscript"/>
                <w:lang w:val="en-US" w:eastAsia="zh-CN"/>
              </w:rPr>
              <w:t>3</w:t>
            </w:r>
            <w:r>
              <w:rPr>
                <w:rFonts w:hint="eastAsia" w:ascii="Times New Roman" w:hAnsi="Times New Roman" w:cs="Times New Roman"/>
                <w:color w:val="auto"/>
                <w:sz w:val="24"/>
                <w:szCs w:val="24"/>
                <w:highlight w:val="none"/>
                <w:vertAlign w:val="baseline"/>
                <w:lang w:val="en-US" w:eastAsia="zh-CN"/>
              </w:rPr>
              <w:t>，硫化氢≤0.06mg/m</w:t>
            </w:r>
            <w:r>
              <w:rPr>
                <w:rFonts w:hint="eastAsia" w:ascii="Times New Roman" w:hAnsi="Times New Roman" w:cs="Times New Roman"/>
                <w:color w:val="auto"/>
                <w:sz w:val="24"/>
                <w:szCs w:val="24"/>
                <w:highlight w:val="none"/>
                <w:vertAlign w:val="superscript"/>
                <w:lang w:val="en-US" w:eastAsia="zh-CN"/>
              </w:rPr>
              <w:t>3</w:t>
            </w:r>
            <w:r>
              <w:rPr>
                <w:rFonts w:hint="eastAsia" w:ascii="Times New Roman" w:hAnsi="Times New Roman" w:cs="Times New Roman"/>
                <w:color w:val="auto"/>
                <w:sz w:val="24"/>
                <w:szCs w:val="24"/>
                <w:highlight w:val="none"/>
                <w:vertAlign w:val="baseline"/>
                <w:lang w:val="en-US" w:eastAsia="zh-CN"/>
              </w:rPr>
              <w:t>，臭气浓度≤20要求；</w:t>
            </w:r>
          </w:p>
          <w:p w14:paraId="53DD85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rPr>
              <w:t>为评价厂界无组织排放粉尘达标情况，本项目采用《环境影响评价技术导则 大气环境》（HJ2.2-2018）推荐的AERSCREEN模型进行预测</w:t>
            </w:r>
            <w:r>
              <w:rPr>
                <w:rFonts w:hint="eastAsia" w:ascii="宋体" w:hAnsi="宋体" w:cs="宋体"/>
                <w:color w:val="auto"/>
                <w:sz w:val="24"/>
                <w:szCs w:val="24"/>
                <w:highlight w:val="none"/>
                <w:vertAlign w:val="baseline"/>
                <w:lang w:eastAsia="zh-CN"/>
              </w:rPr>
              <w:t>；</w:t>
            </w:r>
            <w:r>
              <w:rPr>
                <w:rFonts w:hint="eastAsia" w:ascii="宋体" w:hAnsi="宋体" w:cs="宋体"/>
                <w:color w:val="auto"/>
                <w:sz w:val="24"/>
                <w:szCs w:val="24"/>
                <w:highlight w:val="none"/>
                <w:vertAlign w:val="baseline"/>
                <w:lang w:val="en-US" w:eastAsia="zh-CN"/>
              </w:rPr>
              <w:t>根据其预测本项目液体复合微生物肥生产车间最大落地浓度为0.147mg/m</w:t>
            </w:r>
            <w:r>
              <w:rPr>
                <w:rFonts w:hint="eastAsia" w:ascii="宋体" w:hAnsi="宋体" w:cs="宋体"/>
                <w:color w:val="auto"/>
                <w:sz w:val="24"/>
                <w:szCs w:val="24"/>
                <w:highlight w:val="none"/>
                <w:vertAlign w:val="superscript"/>
                <w:lang w:val="en-US" w:eastAsia="zh-CN"/>
              </w:rPr>
              <w:t>3</w:t>
            </w:r>
            <w:r>
              <w:rPr>
                <w:rFonts w:hint="eastAsia" w:ascii="宋体" w:hAnsi="宋体" w:cs="宋体"/>
                <w:color w:val="auto"/>
                <w:sz w:val="24"/>
                <w:szCs w:val="24"/>
                <w:highlight w:val="none"/>
                <w:vertAlign w:val="baseline"/>
                <w:lang w:val="en-US" w:eastAsia="zh-CN"/>
              </w:rPr>
              <w:t>，出现距离为下风向23m处；液体复合微生物肥生产车间最大落地浓度为0.373mg/m</w:t>
            </w:r>
            <w:r>
              <w:rPr>
                <w:rFonts w:hint="eastAsia" w:ascii="宋体" w:hAnsi="宋体" w:cs="宋体"/>
                <w:color w:val="auto"/>
                <w:sz w:val="24"/>
                <w:szCs w:val="24"/>
                <w:highlight w:val="none"/>
                <w:vertAlign w:val="superscript"/>
                <w:lang w:val="en-US" w:eastAsia="zh-CN"/>
              </w:rPr>
              <w:t>3</w:t>
            </w:r>
            <w:r>
              <w:rPr>
                <w:rFonts w:hint="eastAsia" w:ascii="宋体" w:hAnsi="宋体" w:cs="宋体"/>
                <w:color w:val="auto"/>
                <w:sz w:val="24"/>
                <w:szCs w:val="24"/>
                <w:highlight w:val="none"/>
                <w:vertAlign w:val="baseline"/>
                <w:lang w:val="en-US" w:eastAsia="zh-CN"/>
              </w:rPr>
              <w:t>，出现距离为下风向29m处；</w:t>
            </w:r>
            <w:r>
              <w:rPr>
                <w:rFonts w:hint="eastAsia" w:ascii="宋体" w:hAnsi="宋体" w:eastAsia="宋体" w:cs="宋体"/>
                <w:color w:val="auto"/>
                <w:sz w:val="24"/>
                <w:szCs w:val="24"/>
                <w:highlight w:val="none"/>
                <w:vertAlign w:val="baseline"/>
              </w:rPr>
              <w:t>满足《大气污染物综合排放标准》（GB16297-1996）的要求，即浓度≤1mg/m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vertAlign w:val="baseline"/>
              </w:rPr>
              <w:t>。且</w:t>
            </w:r>
            <w:r>
              <w:rPr>
                <w:rFonts w:hint="eastAsia" w:ascii="宋体" w:hAnsi="宋体" w:cs="宋体"/>
                <w:color w:val="auto"/>
                <w:sz w:val="24"/>
                <w:szCs w:val="24"/>
                <w:highlight w:val="none"/>
                <w:vertAlign w:val="baseline"/>
                <w:lang w:val="en-US" w:eastAsia="zh-CN"/>
              </w:rPr>
              <w:t>本项目</w:t>
            </w:r>
            <w:r>
              <w:rPr>
                <w:rFonts w:hint="eastAsia" w:ascii="宋体" w:hAnsi="宋体" w:eastAsia="宋体" w:cs="宋体"/>
                <w:color w:val="auto"/>
                <w:sz w:val="24"/>
                <w:szCs w:val="24"/>
                <w:highlight w:val="none"/>
                <w:vertAlign w:val="baseline"/>
              </w:rPr>
              <w:t>最大落地浓度</w:t>
            </w:r>
            <w:r>
              <w:rPr>
                <w:rFonts w:hint="eastAsia" w:ascii="宋体" w:hAnsi="宋体" w:cs="宋体"/>
                <w:color w:val="auto"/>
                <w:sz w:val="24"/>
                <w:szCs w:val="24"/>
                <w:highlight w:val="none"/>
                <w:vertAlign w:val="baseline"/>
                <w:lang w:val="en-US" w:eastAsia="zh-CN"/>
              </w:rPr>
              <w:t>373</w:t>
            </w:r>
            <w:r>
              <w:rPr>
                <w:rFonts w:hint="eastAsia" w:ascii="宋体" w:hAnsi="宋体" w:eastAsia="宋体" w:cs="宋体"/>
                <w:color w:val="auto"/>
                <w:sz w:val="24"/>
                <w:szCs w:val="24"/>
                <w:highlight w:val="none"/>
                <w:vertAlign w:val="baseline"/>
              </w:rPr>
              <w:t>ug/m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vertAlign w:val="baseline"/>
              </w:rPr>
              <w:t>满足《环境空气质量标准》（GB3095-2026）中的二级标准要求（TSP浓度≤900μg/m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vertAlign w:val="baseline"/>
              </w:rPr>
              <w:t>）要求，综上，本项目建设完成后，其对周边环境影响较小。为进一步降低项目无组织粉尘对大气环境及大气环境敏感目标的影响，项目应采取以下措施：</w:t>
            </w:r>
          </w:p>
          <w:p w14:paraId="534C3A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rPr>
              <w:t>①制定环保设施管理制度，对环保设施的开启和关闭进行管理要求；</w:t>
            </w:r>
          </w:p>
          <w:p w14:paraId="4227C4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rPr>
              <w:t>②根据使用环境和材质，对易耗的滤袋、喷头等进行更换；</w:t>
            </w:r>
          </w:p>
          <w:p w14:paraId="2CAC70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rPr>
              <w:t>③设置环保设施巡检制度，每天安排1班人员对环保设施进行巡检，一旦发生非正常情况，须立即停止生产，待废气治理设施恢复正常后方可恢复运行</w:t>
            </w:r>
          </w:p>
          <w:p w14:paraId="359CD1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宋体" w:hAnsi="宋体" w:eastAsia="宋体" w:cs="宋体"/>
                <w:color w:val="auto"/>
                <w:sz w:val="24"/>
                <w:szCs w:val="24"/>
                <w:highlight w:val="none"/>
                <w:vertAlign w:val="baseline"/>
              </w:rPr>
            </w:pPr>
            <w:r>
              <w:rPr>
                <w:color w:val="auto"/>
                <w:highlight w:val="none"/>
              </w:rPr>
              <w:drawing>
                <wp:inline distT="0" distB="0" distL="114300" distR="114300">
                  <wp:extent cx="5252720" cy="2244725"/>
                  <wp:effectExtent l="0" t="0" r="508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5252720" cy="2244725"/>
                          </a:xfrm>
                          <a:prstGeom prst="rect">
                            <a:avLst/>
                          </a:prstGeom>
                          <a:noFill/>
                          <a:ln>
                            <a:noFill/>
                          </a:ln>
                        </pic:spPr>
                      </pic:pic>
                    </a:graphicData>
                  </a:graphic>
                </wp:inline>
              </w:drawing>
            </w:r>
          </w:p>
          <w:p w14:paraId="1CF86351">
            <w:pPr>
              <w:pageBreakBefore w:val="0"/>
              <w:kinsoku/>
              <w:wordWrap/>
              <w:overflowPunct/>
              <w:topLinePunct w:val="0"/>
              <w:autoSpaceDE/>
              <w:autoSpaceDN/>
              <w:bidi w:val="0"/>
              <w:spacing w:line="440" w:lineRule="exact"/>
              <w:jc w:val="center"/>
              <w:textAlignment w:val="auto"/>
              <w:rPr>
                <w:rFonts w:hint="default" w:ascii="Times New Roman" w:hAnsi="Times New Roman" w:eastAsia="宋体" w:cs="Times New Roman"/>
                <w:b/>
                <w:bCs/>
                <w:color w:val="auto"/>
                <w:spacing w:val="0"/>
                <w:kern w:val="0"/>
                <w:sz w:val="21"/>
                <w:szCs w:val="21"/>
                <w:highlight w:val="none"/>
                <w:lang w:val="en-US" w:eastAsia="zh-CN"/>
              </w:rPr>
            </w:pPr>
            <w:r>
              <w:rPr>
                <w:rFonts w:hint="eastAsia" w:ascii="Times New Roman" w:hAnsi="Times New Roman" w:eastAsia="宋体" w:cs="Times New Roman"/>
                <w:b/>
                <w:bCs/>
                <w:color w:val="auto"/>
                <w:spacing w:val="0"/>
                <w:kern w:val="0"/>
                <w:sz w:val="21"/>
                <w:szCs w:val="21"/>
                <w:highlight w:val="none"/>
                <w:lang w:val="en-US" w:eastAsia="zh-CN"/>
              </w:rPr>
              <w:t>图4-2  大气预测结果</w:t>
            </w:r>
          </w:p>
          <w:p w14:paraId="4CC7111F">
            <w:pPr>
              <w:keepNext w:val="0"/>
              <w:keepLines w:val="0"/>
              <w:pageBreakBefore w:val="0"/>
              <w:kinsoku/>
              <w:wordWrap/>
              <w:overflowPunct/>
              <w:topLinePunct w:val="0"/>
              <w:autoSpaceDE/>
              <w:autoSpaceDN/>
              <w:bidi w:val="0"/>
              <w:adjustRightInd/>
              <w:spacing w:line="440" w:lineRule="exact"/>
              <w:ind w:firstLine="482" w:firstLineChars="200"/>
              <w:textAlignment w:val="auto"/>
              <w:rPr>
                <w:b/>
                <w:bCs/>
                <w:color w:val="auto"/>
                <w:kern w:val="0"/>
                <w:sz w:val="24"/>
                <w:szCs w:val="24"/>
                <w:highlight w:val="none"/>
              </w:rPr>
            </w:pPr>
            <w:r>
              <w:rPr>
                <w:rFonts w:hint="eastAsia"/>
                <w:b/>
                <w:bCs/>
                <w:color w:val="auto"/>
                <w:kern w:val="0"/>
                <w:sz w:val="24"/>
                <w:szCs w:val="24"/>
                <w:highlight w:val="none"/>
                <w:lang w:eastAsia="zh-CN"/>
              </w:rPr>
              <w:t>（</w:t>
            </w:r>
            <w:r>
              <w:rPr>
                <w:rFonts w:hint="eastAsia"/>
                <w:b/>
                <w:bCs/>
                <w:color w:val="auto"/>
                <w:kern w:val="0"/>
                <w:sz w:val="24"/>
                <w:szCs w:val="24"/>
                <w:highlight w:val="none"/>
                <w:lang w:val="en-US" w:eastAsia="zh-CN"/>
              </w:rPr>
              <w:t>4</w:t>
            </w:r>
            <w:r>
              <w:rPr>
                <w:rFonts w:hint="eastAsia"/>
                <w:b/>
                <w:bCs/>
                <w:color w:val="auto"/>
                <w:kern w:val="0"/>
                <w:sz w:val="24"/>
                <w:szCs w:val="24"/>
                <w:highlight w:val="none"/>
                <w:lang w:eastAsia="zh-CN"/>
              </w:rPr>
              <w:t>）</w:t>
            </w:r>
            <w:r>
              <w:rPr>
                <w:rFonts w:hint="eastAsia"/>
                <w:b/>
                <w:bCs/>
                <w:color w:val="auto"/>
                <w:kern w:val="0"/>
                <w:sz w:val="24"/>
                <w:szCs w:val="24"/>
                <w:highlight w:val="none"/>
              </w:rPr>
              <w:t>非正常排放</w:t>
            </w:r>
          </w:p>
          <w:p w14:paraId="25BF503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根据《污染源源强核算技术指南准则》（HJ8</w:t>
            </w:r>
            <w:r>
              <w:rPr>
                <w:rFonts w:hint="default" w:ascii="Times New Roman" w:hAnsi="Times New Roman" w:eastAsia="宋体" w:cs="Times New Roman"/>
                <w:color w:val="auto"/>
                <w:sz w:val="24"/>
                <w:szCs w:val="24"/>
                <w:highlight w:val="none"/>
                <w:lang w:val="en-US" w:eastAsia="zh-CN"/>
              </w:rPr>
              <w:t>84</w:t>
            </w:r>
            <w:r>
              <w:rPr>
                <w:rFonts w:hint="default" w:ascii="Times New Roman" w:hAnsi="Times New Roman" w:eastAsia="宋体" w:cs="Times New Roman"/>
                <w:color w:val="auto"/>
                <w:sz w:val="24"/>
                <w:szCs w:val="24"/>
                <w:highlight w:val="none"/>
              </w:rPr>
              <w:t>-2018），非正常工况是指生产设施非正常工况或污染防治（控制）设施非正常状况，其中生产设施非正常工况指开停炉（机）、设备检修、工艺设备运转异常等工况，污染防治（控制）设施非正常状况指达不到应有治理效率或同步运转率等情况。</w:t>
            </w:r>
          </w:p>
          <w:p w14:paraId="342A7B3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color w:val="auto"/>
                <w:sz w:val="24"/>
                <w:szCs w:val="24"/>
                <w:highlight w:val="none"/>
                <w:lang w:val="en-US" w:eastAsia="zh-CN"/>
              </w:rPr>
              <w:t>本项目的非正常工况主要是污染物排放控制措施达不到应有效率，即处理设施失效，造成排气筒废气中污染物未经净化直接排放，按照治理设施处理效率为0%时分析，</w:t>
            </w:r>
            <w:r>
              <w:rPr>
                <w:rFonts w:hint="default" w:ascii="Times New Roman" w:hAnsi="Times New Roman" w:eastAsia="宋体" w:cs="Times New Roman"/>
                <w:b w:val="0"/>
                <w:bCs/>
                <w:color w:val="auto"/>
                <w:sz w:val="24"/>
                <w:szCs w:val="24"/>
                <w:highlight w:val="none"/>
              </w:rPr>
              <w:t>项目有组织废气非正常排放</w:t>
            </w:r>
            <w:r>
              <w:rPr>
                <w:rFonts w:hint="default" w:ascii="Times New Roman" w:hAnsi="Times New Roman" w:eastAsia="宋体" w:cs="Times New Roman"/>
                <w:b w:val="0"/>
                <w:bCs/>
                <w:color w:val="auto"/>
                <w:sz w:val="21"/>
                <w:szCs w:val="21"/>
                <w:highlight w:val="none"/>
              </w:rPr>
              <w:t>情况见下表。</w:t>
            </w:r>
          </w:p>
          <w:p w14:paraId="30431565">
            <w:pPr>
              <w:pStyle w:val="131"/>
              <w:keepNext w:val="0"/>
              <w:keepLines w:val="0"/>
              <w:pageBreakBefore w:val="0"/>
              <w:widowControl w:val="0"/>
              <w:kinsoku/>
              <w:wordWrap/>
              <w:overflowPunct/>
              <w:topLinePunct w:val="0"/>
              <w:autoSpaceDE/>
              <w:autoSpaceDN/>
              <w:bidi w:val="0"/>
              <w:adjustRightInd w:val="0"/>
              <w:snapToGrid/>
              <w:spacing w:line="320" w:lineRule="exact"/>
              <w:ind w:left="0" w:right="0" w:firstLine="0" w:firstLineChars="0"/>
              <w:jc w:val="center"/>
              <w:textAlignment w:val="baseline"/>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表4-</w:t>
            </w:r>
            <w:r>
              <w:rPr>
                <w:rFonts w:hint="eastAsia" w:cs="Times New Roman"/>
                <w:color w:val="auto"/>
                <w:sz w:val="21"/>
                <w:szCs w:val="21"/>
                <w:highlight w:val="none"/>
                <w:lang w:val="en-US" w:eastAsia="zh-CN"/>
              </w:rPr>
              <w:t>12</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项目有组织废气非正常排放情况一览表</w:t>
            </w:r>
          </w:p>
          <w:tbl>
            <w:tblPr>
              <w:tblStyle w:val="26"/>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
              <w:gridCol w:w="888"/>
              <w:gridCol w:w="1035"/>
              <w:gridCol w:w="946"/>
              <w:gridCol w:w="635"/>
              <w:gridCol w:w="624"/>
              <w:gridCol w:w="1068"/>
              <w:gridCol w:w="856"/>
              <w:gridCol w:w="592"/>
              <w:gridCol w:w="1214"/>
            </w:tblGrid>
            <w:tr w14:paraId="32E57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3" w:type="pct"/>
                  <w:vMerge w:val="restart"/>
                  <w:noWrap w:val="0"/>
                  <w:vAlign w:val="center"/>
                </w:tcPr>
                <w:p w14:paraId="5C77B3DA">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ascii="Times New Roman" w:hAnsi="Times New Roman" w:eastAsia="宋体" w:cs="Times New Roman"/>
                      <w:b/>
                      <w:bCs/>
                      <w:color w:val="auto"/>
                      <w:spacing w:val="-11"/>
                      <w:kern w:val="21"/>
                      <w:sz w:val="21"/>
                      <w:szCs w:val="21"/>
                      <w:highlight w:val="none"/>
                    </w:rPr>
                  </w:pPr>
                  <w:r>
                    <w:rPr>
                      <w:rFonts w:hint="default" w:ascii="Times New Roman" w:hAnsi="Times New Roman" w:eastAsia="宋体" w:cs="Times New Roman"/>
                      <w:b/>
                      <w:bCs/>
                      <w:color w:val="auto"/>
                      <w:spacing w:val="-11"/>
                      <w:kern w:val="21"/>
                      <w:sz w:val="21"/>
                      <w:szCs w:val="21"/>
                      <w:highlight w:val="none"/>
                    </w:rPr>
                    <w:t>污染源</w:t>
                  </w:r>
                </w:p>
              </w:tc>
              <w:tc>
                <w:tcPr>
                  <w:tcW w:w="508" w:type="pct"/>
                  <w:vMerge w:val="restart"/>
                  <w:noWrap w:val="0"/>
                  <w:vAlign w:val="center"/>
                </w:tcPr>
                <w:p w14:paraId="56914087">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ascii="Times New Roman" w:hAnsi="Times New Roman" w:eastAsia="宋体" w:cs="Times New Roman"/>
                      <w:b/>
                      <w:bCs/>
                      <w:color w:val="auto"/>
                      <w:spacing w:val="-11"/>
                      <w:kern w:val="21"/>
                      <w:sz w:val="21"/>
                      <w:szCs w:val="21"/>
                      <w:highlight w:val="none"/>
                    </w:rPr>
                  </w:pPr>
                  <w:r>
                    <w:rPr>
                      <w:rFonts w:hint="default" w:ascii="Times New Roman" w:hAnsi="Times New Roman" w:eastAsia="宋体" w:cs="Times New Roman"/>
                      <w:b/>
                      <w:bCs/>
                      <w:color w:val="auto"/>
                      <w:spacing w:val="-11"/>
                      <w:kern w:val="21"/>
                      <w:sz w:val="21"/>
                      <w:szCs w:val="21"/>
                      <w:highlight w:val="none"/>
                    </w:rPr>
                    <w:t>污染物</w:t>
                  </w:r>
                </w:p>
              </w:tc>
              <w:tc>
                <w:tcPr>
                  <w:tcW w:w="592" w:type="pct"/>
                  <w:vMerge w:val="restart"/>
                  <w:noWrap w:val="0"/>
                  <w:vAlign w:val="center"/>
                </w:tcPr>
                <w:p w14:paraId="232F1FA6">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ascii="Times New Roman" w:hAnsi="Times New Roman" w:eastAsia="宋体" w:cs="Times New Roman"/>
                      <w:b/>
                      <w:bCs/>
                      <w:color w:val="auto"/>
                      <w:spacing w:val="-11"/>
                      <w:kern w:val="21"/>
                      <w:sz w:val="21"/>
                      <w:szCs w:val="21"/>
                      <w:highlight w:val="none"/>
                    </w:rPr>
                  </w:pPr>
                  <w:r>
                    <w:rPr>
                      <w:rFonts w:hint="default" w:ascii="Times New Roman" w:hAnsi="Times New Roman" w:eastAsia="宋体" w:cs="Times New Roman"/>
                      <w:b/>
                      <w:bCs/>
                      <w:color w:val="auto"/>
                      <w:spacing w:val="-11"/>
                      <w:kern w:val="21"/>
                      <w:sz w:val="21"/>
                      <w:szCs w:val="21"/>
                      <w:highlight w:val="none"/>
                    </w:rPr>
                    <w:t>非正常排放浓度</w:t>
                  </w:r>
                  <w:r>
                    <w:rPr>
                      <w:rFonts w:hint="default" w:ascii="Times New Roman" w:hAnsi="Times New Roman" w:eastAsia="宋体" w:cs="Times New Roman"/>
                      <w:b/>
                      <w:bCs/>
                      <w:color w:val="auto"/>
                      <w:spacing w:val="-11"/>
                      <w:kern w:val="21"/>
                      <w:sz w:val="21"/>
                      <w:szCs w:val="21"/>
                      <w:highlight w:val="none"/>
                      <w:lang w:eastAsia="zh-CN"/>
                    </w:rPr>
                    <w:t>（</w:t>
                  </w:r>
                  <w:r>
                    <w:rPr>
                      <w:rFonts w:hint="default" w:ascii="Times New Roman" w:hAnsi="Times New Roman" w:eastAsia="宋体" w:cs="Times New Roman"/>
                      <w:b/>
                      <w:bCs/>
                      <w:color w:val="auto"/>
                      <w:spacing w:val="-11"/>
                      <w:kern w:val="21"/>
                      <w:sz w:val="21"/>
                      <w:szCs w:val="21"/>
                      <w:highlight w:val="none"/>
                    </w:rPr>
                    <w:t>mg/m</w:t>
                  </w:r>
                  <w:r>
                    <w:rPr>
                      <w:rFonts w:hint="default" w:ascii="Times New Roman" w:hAnsi="Times New Roman" w:eastAsia="宋体" w:cs="Times New Roman"/>
                      <w:b/>
                      <w:bCs/>
                      <w:color w:val="auto"/>
                      <w:spacing w:val="-11"/>
                      <w:kern w:val="21"/>
                      <w:sz w:val="21"/>
                      <w:szCs w:val="21"/>
                      <w:highlight w:val="none"/>
                      <w:vertAlign w:val="superscript"/>
                    </w:rPr>
                    <w:t>3</w:t>
                  </w:r>
                  <w:r>
                    <w:rPr>
                      <w:rFonts w:hint="default" w:ascii="Times New Roman" w:hAnsi="Times New Roman" w:eastAsia="宋体" w:cs="Times New Roman"/>
                      <w:b/>
                      <w:bCs/>
                      <w:color w:val="auto"/>
                      <w:spacing w:val="-11"/>
                      <w:kern w:val="21"/>
                      <w:sz w:val="21"/>
                      <w:szCs w:val="21"/>
                      <w:highlight w:val="none"/>
                      <w:lang w:eastAsia="zh-CN"/>
                    </w:rPr>
                    <w:t>）</w:t>
                  </w:r>
                </w:p>
              </w:tc>
              <w:tc>
                <w:tcPr>
                  <w:tcW w:w="541" w:type="pct"/>
                  <w:vMerge w:val="restart"/>
                  <w:noWrap w:val="0"/>
                  <w:vAlign w:val="center"/>
                </w:tcPr>
                <w:p w14:paraId="04C212F6">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ascii="Times New Roman" w:hAnsi="Times New Roman" w:eastAsia="宋体" w:cs="Times New Roman"/>
                      <w:b/>
                      <w:bCs/>
                      <w:color w:val="auto"/>
                      <w:spacing w:val="-11"/>
                      <w:kern w:val="21"/>
                      <w:sz w:val="21"/>
                      <w:szCs w:val="21"/>
                      <w:highlight w:val="none"/>
                    </w:rPr>
                  </w:pPr>
                  <w:r>
                    <w:rPr>
                      <w:rFonts w:hint="default" w:ascii="Times New Roman" w:hAnsi="Times New Roman" w:eastAsia="宋体" w:cs="Times New Roman"/>
                      <w:b/>
                      <w:bCs/>
                      <w:color w:val="auto"/>
                      <w:spacing w:val="-11"/>
                      <w:kern w:val="21"/>
                      <w:sz w:val="21"/>
                      <w:szCs w:val="21"/>
                      <w:highlight w:val="none"/>
                    </w:rPr>
                    <w:t>非正常排放速率</w:t>
                  </w:r>
                  <w:r>
                    <w:rPr>
                      <w:rFonts w:hint="default" w:ascii="Times New Roman" w:hAnsi="Times New Roman" w:eastAsia="宋体" w:cs="Times New Roman"/>
                      <w:b/>
                      <w:bCs/>
                      <w:color w:val="auto"/>
                      <w:spacing w:val="-11"/>
                      <w:kern w:val="21"/>
                      <w:sz w:val="21"/>
                      <w:szCs w:val="21"/>
                      <w:highlight w:val="none"/>
                      <w:lang w:eastAsia="zh-CN"/>
                    </w:rPr>
                    <w:t>（</w:t>
                  </w:r>
                  <w:r>
                    <w:rPr>
                      <w:rFonts w:hint="default" w:ascii="Times New Roman" w:hAnsi="Times New Roman" w:eastAsia="宋体" w:cs="Times New Roman"/>
                      <w:b/>
                      <w:bCs/>
                      <w:color w:val="auto"/>
                      <w:spacing w:val="-11"/>
                      <w:kern w:val="21"/>
                      <w:sz w:val="21"/>
                      <w:szCs w:val="21"/>
                      <w:highlight w:val="none"/>
                    </w:rPr>
                    <w:t>kg/h</w:t>
                  </w:r>
                  <w:r>
                    <w:rPr>
                      <w:rFonts w:hint="default" w:ascii="Times New Roman" w:hAnsi="Times New Roman" w:eastAsia="宋体" w:cs="Times New Roman"/>
                      <w:b/>
                      <w:bCs/>
                      <w:color w:val="auto"/>
                      <w:spacing w:val="-11"/>
                      <w:kern w:val="21"/>
                      <w:sz w:val="21"/>
                      <w:szCs w:val="21"/>
                      <w:highlight w:val="none"/>
                      <w:lang w:eastAsia="zh-CN"/>
                    </w:rPr>
                    <w:t>）</w:t>
                  </w:r>
                </w:p>
              </w:tc>
              <w:tc>
                <w:tcPr>
                  <w:tcW w:w="363" w:type="pct"/>
                  <w:vMerge w:val="restart"/>
                  <w:noWrap w:val="0"/>
                  <w:vAlign w:val="center"/>
                </w:tcPr>
                <w:p w14:paraId="31AD5AE2">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ascii="Times New Roman" w:hAnsi="Times New Roman" w:eastAsia="宋体" w:cs="Times New Roman"/>
                      <w:b/>
                      <w:bCs/>
                      <w:color w:val="auto"/>
                      <w:spacing w:val="-11"/>
                      <w:kern w:val="21"/>
                      <w:sz w:val="21"/>
                      <w:szCs w:val="21"/>
                      <w:highlight w:val="none"/>
                    </w:rPr>
                  </w:pPr>
                  <w:r>
                    <w:rPr>
                      <w:rFonts w:hint="default" w:ascii="Times New Roman" w:hAnsi="Times New Roman" w:eastAsia="宋体" w:cs="Times New Roman"/>
                      <w:b/>
                      <w:bCs/>
                      <w:color w:val="auto"/>
                      <w:spacing w:val="-11"/>
                      <w:kern w:val="21"/>
                      <w:sz w:val="21"/>
                      <w:szCs w:val="21"/>
                      <w:highlight w:val="none"/>
                    </w:rPr>
                    <w:t>单次持续时间</w:t>
                  </w:r>
                </w:p>
              </w:tc>
              <w:tc>
                <w:tcPr>
                  <w:tcW w:w="357" w:type="pct"/>
                  <w:vMerge w:val="restart"/>
                  <w:noWrap w:val="0"/>
                  <w:vAlign w:val="center"/>
                </w:tcPr>
                <w:p w14:paraId="4D66E0B8">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ascii="Times New Roman" w:hAnsi="Times New Roman" w:eastAsia="宋体" w:cs="Times New Roman"/>
                      <w:b/>
                      <w:bCs/>
                      <w:color w:val="auto"/>
                      <w:spacing w:val="-11"/>
                      <w:kern w:val="21"/>
                      <w:sz w:val="21"/>
                      <w:szCs w:val="21"/>
                      <w:highlight w:val="none"/>
                    </w:rPr>
                  </w:pPr>
                  <w:r>
                    <w:rPr>
                      <w:rFonts w:hint="default" w:ascii="Times New Roman" w:hAnsi="Times New Roman" w:eastAsia="宋体" w:cs="Times New Roman"/>
                      <w:b/>
                      <w:bCs/>
                      <w:color w:val="auto"/>
                      <w:spacing w:val="-11"/>
                      <w:kern w:val="21"/>
                      <w:sz w:val="21"/>
                      <w:szCs w:val="21"/>
                      <w:highlight w:val="none"/>
                    </w:rPr>
                    <w:t>年发生频</w:t>
                  </w:r>
                </w:p>
              </w:tc>
              <w:tc>
                <w:tcPr>
                  <w:tcW w:w="1101" w:type="pct"/>
                  <w:gridSpan w:val="2"/>
                  <w:tcBorders>
                    <w:bottom w:val="single" w:color="000000" w:sz="4" w:space="0"/>
                  </w:tcBorders>
                  <w:noWrap w:val="0"/>
                  <w:vAlign w:val="center"/>
                </w:tcPr>
                <w:p w14:paraId="7934FE3F">
                  <w:pPr>
                    <w:pStyle w:val="132"/>
                    <w:keepNext/>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b/>
                      <w:bCs/>
                      <w:color w:val="auto"/>
                      <w:spacing w:val="-11"/>
                      <w:kern w:val="21"/>
                      <w:sz w:val="21"/>
                      <w:szCs w:val="21"/>
                      <w:highlight w:val="none"/>
                    </w:rPr>
                  </w:pPr>
                  <w:r>
                    <w:rPr>
                      <w:rFonts w:hint="default" w:ascii="Times New Roman" w:hAnsi="Times New Roman" w:eastAsia="宋体" w:cs="Times New Roman"/>
                      <w:b/>
                      <w:bCs/>
                      <w:color w:val="auto"/>
                      <w:spacing w:val="-11"/>
                      <w:kern w:val="21"/>
                      <w:sz w:val="21"/>
                      <w:szCs w:val="21"/>
                      <w:highlight w:val="none"/>
                    </w:rPr>
                    <w:t>标准限值</w:t>
                  </w:r>
                </w:p>
              </w:tc>
              <w:tc>
                <w:tcPr>
                  <w:tcW w:w="338" w:type="pct"/>
                  <w:vMerge w:val="restart"/>
                  <w:noWrap w:val="0"/>
                  <w:vAlign w:val="center"/>
                </w:tcPr>
                <w:p w14:paraId="3C3F42FF">
                  <w:pPr>
                    <w:pStyle w:val="132"/>
                    <w:keepNext/>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b/>
                      <w:bCs/>
                      <w:color w:val="auto"/>
                      <w:kern w:val="21"/>
                      <w:sz w:val="21"/>
                      <w:szCs w:val="21"/>
                      <w:highlight w:val="none"/>
                    </w:rPr>
                  </w:pPr>
                  <w:r>
                    <w:rPr>
                      <w:rFonts w:hint="default" w:ascii="Times New Roman" w:hAnsi="Times New Roman" w:eastAsia="宋体" w:cs="Times New Roman"/>
                      <w:b/>
                      <w:bCs/>
                      <w:color w:val="auto"/>
                      <w:kern w:val="21"/>
                      <w:sz w:val="21"/>
                      <w:szCs w:val="21"/>
                      <w:highlight w:val="none"/>
                    </w:rPr>
                    <w:t>是否</w:t>
                  </w:r>
                </w:p>
                <w:p w14:paraId="6DE122CA">
                  <w:pPr>
                    <w:pStyle w:val="132"/>
                    <w:keepNext/>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b/>
                      <w:bCs/>
                      <w:color w:val="auto"/>
                      <w:kern w:val="21"/>
                      <w:sz w:val="21"/>
                      <w:szCs w:val="21"/>
                      <w:highlight w:val="none"/>
                    </w:rPr>
                  </w:pPr>
                  <w:r>
                    <w:rPr>
                      <w:rFonts w:hint="default" w:ascii="Times New Roman" w:hAnsi="Times New Roman" w:eastAsia="宋体" w:cs="Times New Roman"/>
                      <w:b/>
                      <w:bCs/>
                      <w:color w:val="auto"/>
                      <w:kern w:val="21"/>
                      <w:sz w:val="21"/>
                      <w:szCs w:val="21"/>
                      <w:highlight w:val="none"/>
                    </w:rPr>
                    <w:t>达标</w:t>
                  </w:r>
                </w:p>
              </w:tc>
              <w:tc>
                <w:tcPr>
                  <w:tcW w:w="694" w:type="pct"/>
                  <w:vMerge w:val="restart"/>
                  <w:noWrap w:val="0"/>
                  <w:vAlign w:val="center"/>
                </w:tcPr>
                <w:p w14:paraId="63C0359C">
                  <w:pPr>
                    <w:pStyle w:val="132"/>
                    <w:keepNext/>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b/>
                      <w:bCs/>
                      <w:color w:val="auto"/>
                      <w:kern w:val="21"/>
                      <w:sz w:val="21"/>
                      <w:szCs w:val="21"/>
                      <w:highlight w:val="none"/>
                      <w:lang w:val="en-US" w:eastAsia="zh-CN"/>
                    </w:rPr>
                  </w:pPr>
                  <w:r>
                    <w:rPr>
                      <w:rFonts w:hint="default" w:ascii="Times New Roman" w:hAnsi="Times New Roman" w:eastAsia="宋体" w:cs="Times New Roman"/>
                      <w:b/>
                      <w:bCs/>
                      <w:color w:val="auto"/>
                      <w:kern w:val="21"/>
                      <w:sz w:val="21"/>
                      <w:szCs w:val="21"/>
                      <w:highlight w:val="none"/>
                      <w:lang w:val="en-US" w:eastAsia="zh-CN"/>
                    </w:rPr>
                    <w:t>应对措施</w:t>
                  </w:r>
                </w:p>
              </w:tc>
            </w:tr>
            <w:tr w14:paraId="4D68A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3" w:type="pct"/>
                  <w:vMerge w:val="continue"/>
                  <w:noWrap w:val="0"/>
                  <w:vAlign w:val="center"/>
                </w:tcPr>
                <w:p w14:paraId="79137DB2">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ascii="Times New Roman" w:hAnsi="Times New Roman" w:eastAsia="宋体" w:cs="Times New Roman"/>
                      <w:b/>
                      <w:bCs/>
                      <w:color w:val="auto"/>
                      <w:spacing w:val="-11"/>
                      <w:kern w:val="21"/>
                      <w:sz w:val="21"/>
                      <w:szCs w:val="21"/>
                      <w:highlight w:val="none"/>
                    </w:rPr>
                  </w:pPr>
                </w:p>
              </w:tc>
              <w:tc>
                <w:tcPr>
                  <w:tcW w:w="508" w:type="pct"/>
                  <w:vMerge w:val="continue"/>
                  <w:noWrap w:val="0"/>
                  <w:vAlign w:val="center"/>
                </w:tcPr>
                <w:p w14:paraId="569F07D6">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ascii="Times New Roman" w:hAnsi="Times New Roman" w:eastAsia="宋体" w:cs="Times New Roman"/>
                      <w:b/>
                      <w:bCs/>
                      <w:color w:val="auto"/>
                      <w:spacing w:val="-11"/>
                      <w:kern w:val="21"/>
                      <w:sz w:val="21"/>
                      <w:szCs w:val="21"/>
                      <w:highlight w:val="none"/>
                    </w:rPr>
                  </w:pPr>
                </w:p>
              </w:tc>
              <w:tc>
                <w:tcPr>
                  <w:tcW w:w="592" w:type="pct"/>
                  <w:vMerge w:val="continue"/>
                  <w:noWrap w:val="0"/>
                  <w:vAlign w:val="center"/>
                </w:tcPr>
                <w:p w14:paraId="7F453458">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ascii="Times New Roman" w:hAnsi="Times New Roman" w:eastAsia="宋体" w:cs="Times New Roman"/>
                      <w:b/>
                      <w:bCs/>
                      <w:color w:val="auto"/>
                      <w:spacing w:val="-11"/>
                      <w:kern w:val="21"/>
                      <w:sz w:val="21"/>
                      <w:szCs w:val="21"/>
                      <w:highlight w:val="none"/>
                    </w:rPr>
                  </w:pPr>
                </w:p>
              </w:tc>
              <w:tc>
                <w:tcPr>
                  <w:tcW w:w="541" w:type="pct"/>
                  <w:vMerge w:val="continue"/>
                  <w:noWrap w:val="0"/>
                  <w:vAlign w:val="center"/>
                </w:tcPr>
                <w:p w14:paraId="2354F1B4">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ascii="Times New Roman" w:hAnsi="Times New Roman" w:eastAsia="宋体" w:cs="Times New Roman"/>
                      <w:b/>
                      <w:bCs/>
                      <w:color w:val="auto"/>
                      <w:spacing w:val="-11"/>
                      <w:kern w:val="21"/>
                      <w:sz w:val="21"/>
                      <w:szCs w:val="21"/>
                      <w:highlight w:val="none"/>
                    </w:rPr>
                  </w:pPr>
                </w:p>
              </w:tc>
              <w:tc>
                <w:tcPr>
                  <w:tcW w:w="363" w:type="pct"/>
                  <w:vMerge w:val="continue"/>
                  <w:noWrap w:val="0"/>
                  <w:vAlign w:val="center"/>
                </w:tcPr>
                <w:p w14:paraId="7B1A4C13">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ascii="Times New Roman" w:hAnsi="Times New Roman" w:eastAsia="宋体" w:cs="Times New Roman"/>
                      <w:b/>
                      <w:bCs/>
                      <w:color w:val="auto"/>
                      <w:spacing w:val="-11"/>
                      <w:kern w:val="21"/>
                      <w:sz w:val="21"/>
                      <w:szCs w:val="21"/>
                      <w:highlight w:val="none"/>
                    </w:rPr>
                  </w:pPr>
                </w:p>
              </w:tc>
              <w:tc>
                <w:tcPr>
                  <w:tcW w:w="357" w:type="pct"/>
                  <w:vMerge w:val="continue"/>
                  <w:noWrap w:val="0"/>
                  <w:vAlign w:val="center"/>
                </w:tcPr>
                <w:p w14:paraId="4F2E1AE7">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ascii="Times New Roman" w:hAnsi="Times New Roman" w:eastAsia="宋体" w:cs="Times New Roman"/>
                      <w:b/>
                      <w:bCs/>
                      <w:color w:val="auto"/>
                      <w:spacing w:val="-11"/>
                      <w:kern w:val="21"/>
                      <w:sz w:val="21"/>
                      <w:szCs w:val="21"/>
                      <w:highlight w:val="none"/>
                    </w:rPr>
                  </w:pPr>
                </w:p>
              </w:tc>
              <w:tc>
                <w:tcPr>
                  <w:tcW w:w="611" w:type="pct"/>
                  <w:tcBorders>
                    <w:top w:val="single" w:color="000000" w:sz="4" w:space="0"/>
                    <w:right w:val="single" w:color="000000" w:sz="4" w:space="0"/>
                  </w:tcBorders>
                  <w:noWrap w:val="0"/>
                  <w:vAlign w:val="center"/>
                </w:tcPr>
                <w:p w14:paraId="5547844A">
                  <w:pPr>
                    <w:pStyle w:val="132"/>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b/>
                      <w:bCs/>
                      <w:color w:val="auto"/>
                      <w:spacing w:val="-11"/>
                      <w:kern w:val="21"/>
                      <w:sz w:val="21"/>
                      <w:szCs w:val="21"/>
                      <w:highlight w:val="none"/>
                    </w:rPr>
                  </w:pPr>
                  <w:r>
                    <w:rPr>
                      <w:rFonts w:hint="default" w:ascii="Times New Roman" w:hAnsi="Times New Roman" w:eastAsia="宋体" w:cs="Times New Roman"/>
                      <w:b/>
                      <w:bCs/>
                      <w:color w:val="auto"/>
                      <w:spacing w:val="-11"/>
                      <w:kern w:val="21"/>
                      <w:sz w:val="21"/>
                      <w:szCs w:val="21"/>
                      <w:highlight w:val="none"/>
                    </w:rPr>
                    <w:t>浓度</w:t>
                  </w:r>
                  <w:r>
                    <w:rPr>
                      <w:rFonts w:hint="default" w:ascii="Times New Roman" w:hAnsi="Times New Roman" w:eastAsia="宋体" w:cs="Times New Roman"/>
                      <w:b/>
                      <w:bCs/>
                      <w:color w:val="auto"/>
                      <w:spacing w:val="-11"/>
                      <w:kern w:val="21"/>
                      <w:sz w:val="21"/>
                      <w:szCs w:val="21"/>
                      <w:highlight w:val="none"/>
                      <w:lang w:eastAsia="zh-CN"/>
                    </w:rPr>
                    <w:t>（</w:t>
                  </w:r>
                  <w:r>
                    <w:rPr>
                      <w:rFonts w:hint="default" w:ascii="Times New Roman" w:hAnsi="Times New Roman" w:eastAsia="宋体" w:cs="Times New Roman"/>
                      <w:b/>
                      <w:bCs/>
                      <w:color w:val="auto"/>
                      <w:spacing w:val="-11"/>
                      <w:kern w:val="21"/>
                      <w:sz w:val="21"/>
                      <w:szCs w:val="21"/>
                      <w:highlight w:val="none"/>
                    </w:rPr>
                    <w:t>mg/m</w:t>
                  </w:r>
                  <w:r>
                    <w:rPr>
                      <w:rFonts w:hint="default" w:ascii="Times New Roman" w:hAnsi="Times New Roman" w:eastAsia="宋体" w:cs="Times New Roman"/>
                      <w:b/>
                      <w:bCs/>
                      <w:color w:val="auto"/>
                      <w:spacing w:val="-11"/>
                      <w:kern w:val="21"/>
                      <w:sz w:val="21"/>
                      <w:szCs w:val="21"/>
                      <w:highlight w:val="none"/>
                      <w:vertAlign w:val="superscript"/>
                    </w:rPr>
                    <w:t>3</w:t>
                  </w:r>
                  <w:r>
                    <w:rPr>
                      <w:rFonts w:hint="default" w:ascii="Times New Roman" w:hAnsi="Times New Roman" w:eastAsia="宋体" w:cs="Times New Roman"/>
                      <w:b/>
                      <w:bCs/>
                      <w:color w:val="auto"/>
                      <w:spacing w:val="-11"/>
                      <w:kern w:val="21"/>
                      <w:sz w:val="21"/>
                      <w:szCs w:val="21"/>
                      <w:highlight w:val="none"/>
                      <w:lang w:eastAsia="zh-CN"/>
                    </w:rPr>
                    <w:t>）</w:t>
                  </w:r>
                </w:p>
              </w:tc>
              <w:tc>
                <w:tcPr>
                  <w:tcW w:w="489" w:type="pct"/>
                  <w:tcBorders>
                    <w:top w:val="single" w:color="000000" w:sz="4" w:space="0"/>
                    <w:left w:val="single" w:color="000000" w:sz="4" w:space="0"/>
                  </w:tcBorders>
                  <w:noWrap w:val="0"/>
                  <w:vAlign w:val="center"/>
                </w:tcPr>
                <w:p w14:paraId="17DE65DE">
                  <w:pPr>
                    <w:pStyle w:val="132"/>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b/>
                      <w:bCs/>
                      <w:color w:val="auto"/>
                      <w:spacing w:val="-11"/>
                      <w:kern w:val="21"/>
                      <w:sz w:val="21"/>
                      <w:szCs w:val="21"/>
                      <w:highlight w:val="none"/>
                    </w:rPr>
                  </w:pPr>
                  <w:r>
                    <w:rPr>
                      <w:rFonts w:hint="default" w:ascii="Times New Roman" w:hAnsi="Times New Roman" w:eastAsia="宋体" w:cs="Times New Roman"/>
                      <w:b/>
                      <w:bCs/>
                      <w:color w:val="auto"/>
                      <w:spacing w:val="-11"/>
                      <w:kern w:val="21"/>
                      <w:sz w:val="21"/>
                      <w:szCs w:val="21"/>
                      <w:highlight w:val="none"/>
                    </w:rPr>
                    <w:t>速率</w:t>
                  </w:r>
                  <w:r>
                    <w:rPr>
                      <w:rFonts w:hint="default" w:ascii="Times New Roman" w:hAnsi="Times New Roman" w:eastAsia="宋体" w:cs="Times New Roman"/>
                      <w:b/>
                      <w:bCs/>
                      <w:color w:val="auto"/>
                      <w:spacing w:val="-11"/>
                      <w:kern w:val="21"/>
                      <w:sz w:val="21"/>
                      <w:szCs w:val="21"/>
                      <w:highlight w:val="none"/>
                      <w:lang w:eastAsia="zh-CN"/>
                    </w:rPr>
                    <w:t>（</w:t>
                  </w:r>
                  <w:r>
                    <w:rPr>
                      <w:rFonts w:hint="default" w:ascii="Times New Roman" w:hAnsi="Times New Roman" w:eastAsia="宋体" w:cs="Times New Roman"/>
                      <w:b/>
                      <w:bCs/>
                      <w:color w:val="auto"/>
                      <w:spacing w:val="-11"/>
                      <w:kern w:val="21"/>
                      <w:sz w:val="21"/>
                      <w:szCs w:val="21"/>
                      <w:highlight w:val="none"/>
                    </w:rPr>
                    <w:t>kg/h</w:t>
                  </w:r>
                  <w:r>
                    <w:rPr>
                      <w:rFonts w:hint="default" w:ascii="Times New Roman" w:hAnsi="Times New Roman" w:eastAsia="宋体" w:cs="Times New Roman"/>
                      <w:b/>
                      <w:bCs/>
                      <w:color w:val="auto"/>
                      <w:spacing w:val="-11"/>
                      <w:kern w:val="21"/>
                      <w:sz w:val="21"/>
                      <w:szCs w:val="21"/>
                      <w:highlight w:val="none"/>
                      <w:lang w:eastAsia="zh-CN"/>
                    </w:rPr>
                    <w:t>）</w:t>
                  </w:r>
                </w:p>
              </w:tc>
              <w:tc>
                <w:tcPr>
                  <w:tcW w:w="338" w:type="pct"/>
                  <w:vMerge w:val="continue"/>
                  <w:tcBorders>
                    <w:bottom w:val="single" w:color="000000" w:sz="4" w:space="0"/>
                  </w:tcBorders>
                  <w:noWrap w:val="0"/>
                  <w:vAlign w:val="center"/>
                </w:tcPr>
                <w:p w14:paraId="034D5FD5">
                  <w:pPr>
                    <w:pStyle w:val="132"/>
                    <w:keepNext/>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b/>
                      <w:bCs/>
                      <w:color w:val="auto"/>
                      <w:kern w:val="21"/>
                      <w:sz w:val="21"/>
                      <w:szCs w:val="21"/>
                      <w:highlight w:val="none"/>
                    </w:rPr>
                  </w:pPr>
                </w:p>
              </w:tc>
              <w:tc>
                <w:tcPr>
                  <w:tcW w:w="694" w:type="pct"/>
                  <w:vMerge w:val="continue"/>
                  <w:tcBorders>
                    <w:bottom w:val="single" w:color="000000" w:sz="4" w:space="0"/>
                  </w:tcBorders>
                  <w:noWrap w:val="0"/>
                  <w:vAlign w:val="center"/>
                </w:tcPr>
                <w:p w14:paraId="3D3F49DB">
                  <w:pPr>
                    <w:pStyle w:val="132"/>
                    <w:keepNext/>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b/>
                      <w:bCs/>
                      <w:color w:val="auto"/>
                      <w:kern w:val="21"/>
                      <w:sz w:val="21"/>
                      <w:szCs w:val="21"/>
                      <w:highlight w:val="none"/>
                    </w:rPr>
                  </w:pPr>
                </w:p>
              </w:tc>
            </w:tr>
            <w:tr w14:paraId="6114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3" w:type="pct"/>
                  <w:vMerge w:val="restart"/>
                  <w:shd w:val="clear" w:color="auto" w:fill="auto"/>
                  <w:noWrap w:val="0"/>
                  <w:vAlign w:val="center"/>
                </w:tcPr>
                <w:p w14:paraId="43773AE4">
                  <w:pPr>
                    <w:keepLines w:val="0"/>
                    <w:pageBreakBefore w:val="0"/>
                    <w:widowControl/>
                    <w:kinsoku/>
                    <w:wordWrap/>
                    <w:overflowPunct/>
                    <w:topLinePunct w:val="0"/>
                    <w:autoSpaceDE/>
                    <w:autoSpaceDN/>
                    <w:bidi w:val="0"/>
                    <w:spacing w:line="310" w:lineRule="exact"/>
                    <w:jc w:val="center"/>
                    <w:textAlignment w:val="auto"/>
                    <w:rPr>
                      <w:rFonts w:hint="eastAsia" w:ascii="Times New Roman" w:hAnsi="Times New Roman" w:eastAsia="宋体" w:cs="Times New Roman"/>
                      <w:color w:val="auto"/>
                      <w:kern w:val="21"/>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bidi="ar"/>
                    </w:rPr>
                    <w:t>DA00</w:t>
                  </w:r>
                  <w:r>
                    <w:rPr>
                      <w:rFonts w:hint="eastAsia" w:cs="Times New Roman"/>
                      <w:color w:val="auto"/>
                      <w:kern w:val="0"/>
                      <w:sz w:val="21"/>
                      <w:szCs w:val="21"/>
                      <w:highlight w:val="none"/>
                      <w:lang w:val="en-US" w:eastAsia="zh-CN" w:bidi="ar"/>
                    </w:rPr>
                    <w:t>3</w:t>
                  </w:r>
                </w:p>
              </w:tc>
              <w:tc>
                <w:tcPr>
                  <w:tcW w:w="508" w:type="pct"/>
                  <w:shd w:val="clear" w:color="auto" w:fill="auto"/>
                  <w:noWrap w:val="0"/>
                  <w:vAlign w:val="center"/>
                </w:tcPr>
                <w:p w14:paraId="45B42456">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ascii="Times New Roman" w:hAnsi="Times New Roman" w:eastAsia="宋体" w:cs="Times New Roman"/>
                      <w:color w:val="auto"/>
                      <w:kern w:val="21"/>
                      <w:sz w:val="21"/>
                      <w:szCs w:val="21"/>
                      <w:highlight w:val="none"/>
                      <w:lang w:val="en-US" w:eastAsia="zh-CN" w:bidi="ar-SA"/>
                    </w:rPr>
                  </w:pPr>
                  <w:r>
                    <w:rPr>
                      <w:rFonts w:hint="eastAsia" w:cs="Times New Roman"/>
                      <w:color w:val="auto"/>
                      <w:kern w:val="21"/>
                      <w:sz w:val="21"/>
                      <w:szCs w:val="21"/>
                      <w:highlight w:val="none"/>
                      <w:lang w:val="en-US" w:eastAsia="zh-CN" w:bidi="ar-SA"/>
                    </w:rPr>
                    <w:t>氨</w:t>
                  </w:r>
                </w:p>
              </w:tc>
              <w:tc>
                <w:tcPr>
                  <w:tcW w:w="592" w:type="pct"/>
                  <w:shd w:val="clear" w:color="auto" w:fill="auto"/>
                  <w:noWrap w:val="0"/>
                  <w:vAlign w:val="center"/>
                </w:tcPr>
                <w:p w14:paraId="244AD505">
                  <w:pPr>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color w:val="auto"/>
                      <w:kern w:val="21"/>
                      <w:sz w:val="21"/>
                      <w:szCs w:val="21"/>
                      <w:highlight w:val="none"/>
                      <w:lang w:val="en-US" w:eastAsia="zh-CN" w:bidi="ar-SA"/>
                    </w:rPr>
                  </w:pPr>
                  <w:r>
                    <w:rPr>
                      <w:rFonts w:hint="eastAsia" w:cs="Times New Roman"/>
                      <w:color w:val="auto"/>
                      <w:kern w:val="21"/>
                      <w:sz w:val="21"/>
                      <w:szCs w:val="21"/>
                      <w:highlight w:val="none"/>
                      <w:lang w:val="en-US" w:eastAsia="zh-CN" w:bidi="ar-SA"/>
                    </w:rPr>
                    <w:t>44.2</w:t>
                  </w:r>
                </w:p>
              </w:tc>
              <w:tc>
                <w:tcPr>
                  <w:tcW w:w="541" w:type="pct"/>
                  <w:shd w:val="clear" w:color="auto" w:fill="auto"/>
                  <w:noWrap w:val="0"/>
                  <w:vAlign w:val="center"/>
                </w:tcPr>
                <w:p w14:paraId="3BF4C719">
                  <w:pPr>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color w:val="auto"/>
                      <w:kern w:val="21"/>
                      <w:sz w:val="21"/>
                      <w:szCs w:val="21"/>
                      <w:highlight w:val="none"/>
                      <w:lang w:val="en-US" w:eastAsia="zh-CN" w:bidi="ar-SA"/>
                    </w:rPr>
                  </w:pPr>
                  <w:r>
                    <w:rPr>
                      <w:rFonts w:hint="eastAsia" w:cs="Times New Roman"/>
                      <w:color w:val="auto"/>
                      <w:kern w:val="21"/>
                      <w:sz w:val="21"/>
                      <w:szCs w:val="21"/>
                      <w:highlight w:val="none"/>
                      <w:lang w:val="en-US" w:eastAsia="zh-CN" w:bidi="ar-SA"/>
                    </w:rPr>
                    <w:t>0.707</w:t>
                  </w:r>
                </w:p>
              </w:tc>
              <w:tc>
                <w:tcPr>
                  <w:tcW w:w="363" w:type="pct"/>
                  <w:vMerge w:val="restart"/>
                  <w:shd w:val="clear" w:color="auto" w:fill="auto"/>
                  <w:noWrap w:val="0"/>
                  <w:vAlign w:val="center"/>
                </w:tcPr>
                <w:p w14:paraId="3B2698EA">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eastAsia" w:ascii="Times New Roman" w:hAnsi="Times New Roman" w:eastAsia="宋体" w:cs="Times New Roman"/>
                      <w:color w:val="auto"/>
                      <w:kern w:val="21"/>
                      <w:sz w:val="21"/>
                      <w:szCs w:val="21"/>
                      <w:highlight w:val="none"/>
                      <w:lang w:val="en-US" w:eastAsia="zh-CN" w:bidi="ar-SA"/>
                    </w:rPr>
                  </w:pPr>
                  <w:r>
                    <w:rPr>
                      <w:rFonts w:hint="default" w:ascii="Times New Roman" w:hAnsi="Times New Roman" w:eastAsia="宋体" w:cs="Times New Roman"/>
                      <w:color w:val="auto"/>
                      <w:kern w:val="21"/>
                      <w:sz w:val="21"/>
                      <w:szCs w:val="21"/>
                      <w:highlight w:val="none"/>
                    </w:rPr>
                    <w:t>0.5</w:t>
                  </w:r>
                  <w:r>
                    <w:rPr>
                      <w:rFonts w:hint="eastAsia" w:cs="Times New Roman"/>
                      <w:color w:val="auto"/>
                      <w:kern w:val="21"/>
                      <w:sz w:val="21"/>
                      <w:szCs w:val="21"/>
                      <w:highlight w:val="none"/>
                      <w:lang w:val="en-US" w:eastAsia="zh-CN"/>
                    </w:rPr>
                    <w:t>h</w:t>
                  </w:r>
                </w:p>
              </w:tc>
              <w:tc>
                <w:tcPr>
                  <w:tcW w:w="357" w:type="pct"/>
                  <w:vMerge w:val="restart"/>
                  <w:shd w:val="clear" w:color="auto" w:fill="auto"/>
                  <w:noWrap w:val="0"/>
                  <w:vAlign w:val="center"/>
                </w:tcPr>
                <w:p w14:paraId="5E3803C2">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ascii="Times New Roman" w:hAnsi="Times New Roman" w:eastAsia="宋体" w:cs="Times New Roman"/>
                      <w:color w:val="auto"/>
                      <w:kern w:val="21"/>
                      <w:sz w:val="21"/>
                      <w:szCs w:val="21"/>
                      <w:highlight w:val="none"/>
                      <w:lang w:val="en-US" w:eastAsia="zh-CN" w:bidi="ar-SA"/>
                    </w:rPr>
                  </w:pPr>
                  <w:r>
                    <w:rPr>
                      <w:rFonts w:hint="eastAsia" w:ascii="Times New Roman" w:hAnsi="Times New Roman" w:eastAsia="宋体" w:cs="Times New Roman"/>
                      <w:color w:val="auto"/>
                      <w:kern w:val="21"/>
                      <w:sz w:val="21"/>
                      <w:szCs w:val="21"/>
                      <w:highlight w:val="none"/>
                      <w:lang w:val="en-US" w:eastAsia="zh-CN"/>
                    </w:rPr>
                    <w:t>1</w:t>
                  </w:r>
                  <w:r>
                    <w:rPr>
                      <w:rFonts w:hint="eastAsia" w:cs="Times New Roman"/>
                      <w:color w:val="auto"/>
                      <w:kern w:val="21"/>
                      <w:sz w:val="21"/>
                      <w:szCs w:val="21"/>
                      <w:highlight w:val="none"/>
                      <w:lang w:val="en-US" w:eastAsia="zh-CN"/>
                    </w:rPr>
                    <w:t>次</w:t>
                  </w:r>
                </w:p>
              </w:tc>
              <w:tc>
                <w:tcPr>
                  <w:tcW w:w="611" w:type="pct"/>
                  <w:tcBorders>
                    <w:top w:val="single" w:color="000000" w:sz="4" w:space="0"/>
                    <w:right w:val="single" w:color="000000" w:sz="4" w:space="0"/>
                  </w:tcBorders>
                  <w:shd w:val="clear" w:color="auto" w:fill="auto"/>
                  <w:noWrap w:val="0"/>
                  <w:vAlign w:val="center"/>
                </w:tcPr>
                <w:p w14:paraId="13ADB754">
                  <w:pPr>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color w:val="auto"/>
                      <w:kern w:val="21"/>
                      <w:sz w:val="21"/>
                      <w:szCs w:val="21"/>
                      <w:highlight w:val="none"/>
                      <w:lang w:val="en-US" w:eastAsia="zh-CN" w:bidi="ar-SA"/>
                    </w:rPr>
                  </w:pPr>
                  <w:r>
                    <w:rPr>
                      <w:rFonts w:hint="eastAsia" w:cs="Times New Roman"/>
                      <w:color w:val="auto"/>
                      <w:kern w:val="21"/>
                      <w:sz w:val="21"/>
                      <w:szCs w:val="21"/>
                      <w:highlight w:val="none"/>
                      <w:lang w:val="en-US" w:eastAsia="zh-CN" w:bidi="ar-SA"/>
                    </w:rPr>
                    <w:t>/</w:t>
                  </w:r>
                </w:p>
              </w:tc>
              <w:tc>
                <w:tcPr>
                  <w:tcW w:w="489" w:type="pct"/>
                  <w:tcBorders>
                    <w:top w:val="single" w:color="000000" w:sz="4" w:space="0"/>
                    <w:left w:val="single" w:color="000000" w:sz="4" w:space="0"/>
                  </w:tcBorders>
                  <w:shd w:val="clear" w:color="auto" w:fill="auto"/>
                  <w:noWrap w:val="0"/>
                  <w:vAlign w:val="center"/>
                </w:tcPr>
                <w:p w14:paraId="44BF75C2">
                  <w:pPr>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color w:val="auto"/>
                      <w:kern w:val="21"/>
                      <w:sz w:val="21"/>
                      <w:szCs w:val="21"/>
                      <w:highlight w:val="none"/>
                      <w:lang w:val="en-US" w:eastAsia="zh-CN" w:bidi="ar-SA"/>
                    </w:rPr>
                  </w:pPr>
                  <w:r>
                    <w:rPr>
                      <w:rFonts w:hint="eastAsia" w:cs="Times New Roman"/>
                      <w:color w:val="auto"/>
                      <w:kern w:val="21"/>
                      <w:sz w:val="21"/>
                      <w:szCs w:val="21"/>
                      <w:highlight w:val="none"/>
                      <w:lang w:val="en-US" w:eastAsia="zh-CN" w:bidi="ar-SA"/>
                    </w:rPr>
                    <w:t>4.9</w:t>
                  </w:r>
                </w:p>
              </w:tc>
              <w:tc>
                <w:tcPr>
                  <w:tcW w:w="338" w:type="pct"/>
                  <w:tcBorders>
                    <w:bottom w:val="single" w:color="000000" w:sz="4" w:space="0"/>
                  </w:tcBorders>
                  <w:shd w:val="clear" w:color="auto" w:fill="auto"/>
                  <w:noWrap w:val="0"/>
                  <w:vAlign w:val="center"/>
                </w:tcPr>
                <w:p w14:paraId="063A997F">
                  <w:pPr>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color w:val="auto"/>
                      <w:kern w:val="21"/>
                      <w:sz w:val="21"/>
                      <w:szCs w:val="21"/>
                      <w:highlight w:val="none"/>
                      <w:lang w:val="en-US" w:eastAsia="zh-CN" w:bidi="ar-SA"/>
                    </w:rPr>
                  </w:pPr>
                  <w:r>
                    <w:rPr>
                      <w:rFonts w:hint="eastAsia" w:cs="Times New Roman"/>
                      <w:color w:val="auto"/>
                      <w:kern w:val="21"/>
                      <w:sz w:val="21"/>
                      <w:szCs w:val="21"/>
                      <w:highlight w:val="none"/>
                      <w:lang w:val="en-US" w:eastAsia="zh-CN" w:bidi="ar-SA"/>
                    </w:rPr>
                    <w:t>是</w:t>
                  </w:r>
                </w:p>
              </w:tc>
              <w:tc>
                <w:tcPr>
                  <w:tcW w:w="694" w:type="pct"/>
                  <w:vMerge w:val="restart"/>
                  <w:shd w:val="clear" w:color="auto" w:fill="auto"/>
                  <w:noWrap w:val="0"/>
                  <w:vAlign w:val="center"/>
                </w:tcPr>
                <w:p w14:paraId="03E9251C">
                  <w:pPr>
                    <w:keepNext w:val="0"/>
                    <w:keepLines w:val="0"/>
                    <w:pageBreakBefore w:val="0"/>
                    <w:widowControl/>
                    <w:suppressLineNumbers w:val="0"/>
                    <w:kinsoku/>
                    <w:wordWrap/>
                    <w:overflowPunct/>
                    <w:topLinePunct w:val="0"/>
                    <w:autoSpaceDE/>
                    <w:autoSpaceDN/>
                    <w:bidi w:val="0"/>
                    <w:spacing w:line="310" w:lineRule="exact"/>
                    <w:jc w:val="center"/>
                    <w:textAlignment w:val="auto"/>
                    <w:rPr>
                      <w:rFonts w:hint="default" w:ascii="Times New Roman" w:hAnsi="Times New Roman" w:eastAsia="宋体" w:cs="Times New Roman"/>
                      <w:color w:val="auto"/>
                      <w:kern w:val="21"/>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立即停止生产，进行检修维护。</w:t>
                  </w:r>
                </w:p>
              </w:tc>
            </w:tr>
            <w:tr w14:paraId="20A9B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3" w:type="pct"/>
                  <w:vMerge w:val="continue"/>
                  <w:shd w:val="clear" w:color="auto" w:fill="auto"/>
                  <w:noWrap w:val="0"/>
                  <w:vAlign w:val="center"/>
                </w:tcPr>
                <w:p w14:paraId="0A187165">
                  <w:pPr>
                    <w:keepLines w:val="0"/>
                    <w:pageBreakBefore w:val="0"/>
                    <w:widowControl/>
                    <w:kinsoku/>
                    <w:wordWrap/>
                    <w:overflowPunct/>
                    <w:topLinePunct w:val="0"/>
                    <w:autoSpaceDE/>
                    <w:autoSpaceDN/>
                    <w:bidi w:val="0"/>
                    <w:spacing w:line="310" w:lineRule="exact"/>
                    <w:jc w:val="center"/>
                    <w:textAlignment w:val="auto"/>
                    <w:rPr>
                      <w:rFonts w:hint="default" w:ascii="Times New Roman" w:hAnsi="Times New Roman" w:eastAsia="宋体" w:cs="Times New Roman"/>
                      <w:color w:val="auto"/>
                      <w:kern w:val="0"/>
                      <w:sz w:val="21"/>
                      <w:szCs w:val="21"/>
                      <w:highlight w:val="none"/>
                      <w:lang w:bidi="ar"/>
                    </w:rPr>
                  </w:pPr>
                </w:p>
              </w:tc>
              <w:tc>
                <w:tcPr>
                  <w:tcW w:w="508" w:type="pct"/>
                  <w:shd w:val="clear" w:color="auto" w:fill="auto"/>
                  <w:noWrap w:val="0"/>
                  <w:vAlign w:val="center"/>
                </w:tcPr>
                <w:p w14:paraId="45B965F6">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cs="Times New Roman"/>
                      <w:color w:val="auto"/>
                      <w:kern w:val="21"/>
                      <w:sz w:val="21"/>
                      <w:szCs w:val="21"/>
                      <w:highlight w:val="none"/>
                      <w:lang w:val="en-US" w:eastAsia="zh-CN" w:bidi="ar-SA"/>
                    </w:rPr>
                  </w:pPr>
                  <w:r>
                    <w:rPr>
                      <w:rFonts w:hint="eastAsia" w:cs="Times New Roman"/>
                      <w:color w:val="auto"/>
                      <w:kern w:val="21"/>
                      <w:sz w:val="21"/>
                      <w:szCs w:val="21"/>
                      <w:highlight w:val="none"/>
                      <w:lang w:val="en-US" w:eastAsia="zh-CN" w:bidi="ar-SA"/>
                    </w:rPr>
                    <w:t>硫化氢</w:t>
                  </w:r>
                </w:p>
              </w:tc>
              <w:tc>
                <w:tcPr>
                  <w:tcW w:w="592" w:type="pct"/>
                  <w:shd w:val="clear" w:color="auto" w:fill="auto"/>
                  <w:noWrap w:val="0"/>
                  <w:vAlign w:val="center"/>
                </w:tcPr>
                <w:p w14:paraId="3BC1E3DC">
                  <w:pPr>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color w:val="auto"/>
                      <w:kern w:val="21"/>
                      <w:sz w:val="21"/>
                      <w:szCs w:val="21"/>
                      <w:highlight w:val="none"/>
                      <w:lang w:val="en-US" w:eastAsia="zh-CN"/>
                    </w:rPr>
                  </w:pPr>
                  <w:r>
                    <w:rPr>
                      <w:rFonts w:hint="eastAsia" w:cs="Times New Roman"/>
                      <w:color w:val="auto"/>
                      <w:kern w:val="21"/>
                      <w:sz w:val="21"/>
                      <w:szCs w:val="21"/>
                      <w:highlight w:val="none"/>
                      <w:lang w:val="en-US" w:eastAsia="zh-CN"/>
                    </w:rPr>
                    <w:t>4.44</w:t>
                  </w:r>
                </w:p>
              </w:tc>
              <w:tc>
                <w:tcPr>
                  <w:tcW w:w="541" w:type="pct"/>
                  <w:shd w:val="clear" w:color="auto" w:fill="auto"/>
                  <w:noWrap w:val="0"/>
                  <w:vAlign w:val="center"/>
                </w:tcPr>
                <w:p w14:paraId="75A4DD85">
                  <w:pPr>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color w:val="auto"/>
                      <w:kern w:val="21"/>
                      <w:sz w:val="21"/>
                      <w:szCs w:val="21"/>
                      <w:highlight w:val="none"/>
                      <w:lang w:val="en-US" w:eastAsia="zh-CN"/>
                    </w:rPr>
                  </w:pPr>
                  <w:r>
                    <w:rPr>
                      <w:rFonts w:hint="eastAsia" w:cs="Times New Roman"/>
                      <w:color w:val="auto"/>
                      <w:kern w:val="21"/>
                      <w:sz w:val="21"/>
                      <w:szCs w:val="21"/>
                      <w:highlight w:val="none"/>
                      <w:lang w:val="en-US" w:eastAsia="zh-CN"/>
                    </w:rPr>
                    <w:t>0.071</w:t>
                  </w:r>
                </w:p>
              </w:tc>
              <w:tc>
                <w:tcPr>
                  <w:tcW w:w="363" w:type="pct"/>
                  <w:vMerge w:val="continue"/>
                  <w:shd w:val="clear" w:color="auto" w:fill="auto"/>
                  <w:noWrap w:val="0"/>
                  <w:vAlign w:val="center"/>
                </w:tcPr>
                <w:p w14:paraId="5DEB27C2">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ascii="Times New Roman" w:hAnsi="Times New Roman" w:eastAsia="宋体" w:cs="Times New Roman"/>
                      <w:color w:val="auto"/>
                      <w:kern w:val="21"/>
                      <w:sz w:val="21"/>
                      <w:szCs w:val="21"/>
                      <w:highlight w:val="none"/>
                    </w:rPr>
                  </w:pPr>
                </w:p>
              </w:tc>
              <w:tc>
                <w:tcPr>
                  <w:tcW w:w="357" w:type="pct"/>
                  <w:vMerge w:val="continue"/>
                  <w:shd w:val="clear" w:color="auto" w:fill="auto"/>
                  <w:noWrap w:val="0"/>
                  <w:vAlign w:val="center"/>
                </w:tcPr>
                <w:p w14:paraId="5C9A8E90">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eastAsia" w:ascii="Times New Roman" w:hAnsi="Times New Roman" w:eastAsia="宋体" w:cs="Times New Roman"/>
                      <w:color w:val="auto"/>
                      <w:kern w:val="21"/>
                      <w:sz w:val="21"/>
                      <w:szCs w:val="21"/>
                      <w:highlight w:val="none"/>
                      <w:lang w:val="en-US" w:eastAsia="zh-CN"/>
                    </w:rPr>
                  </w:pPr>
                </w:p>
              </w:tc>
              <w:tc>
                <w:tcPr>
                  <w:tcW w:w="611" w:type="pct"/>
                  <w:tcBorders>
                    <w:top w:val="single" w:color="000000" w:sz="4" w:space="0"/>
                    <w:right w:val="single" w:color="000000" w:sz="4" w:space="0"/>
                  </w:tcBorders>
                  <w:shd w:val="clear" w:color="auto" w:fill="auto"/>
                  <w:noWrap w:val="0"/>
                  <w:vAlign w:val="center"/>
                </w:tcPr>
                <w:p w14:paraId="77D0BC66">
                  <w:pPr>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color w:val="auto"/>
                      <w:kern w:val="21"/>
                      <w:sz w:val="21"/>
                      <w:szCs w:val="21"/>
                      <w:highlight w:val="none"/>
                      <w:lang w:val="en-US" w:eastAsia="zh-CN"/>
                    </w:rPr>
                  </w:pPr>
                  <w:r>
                    <w:rPr>
                      <w:rFonts w:hint="eastAsia" w:cs="Times New Roman"/>
                      <w:color w:val="auto"/>
                      <w:kern w:val="21"/>
                      <w:sz w:val="21"/>
                      <w:szCs w:val="21"/>
                      <w:highlight w:val="none"/>
                      <w:lang w:val="en-US" w:eastAsia="zh-CN"/>
                    </w:rPr>
                    <w:t>/</w:t>
                  </w:r>
                </w:p>
              </w:tc>
              <w:tc>
                <w:tcPr>
                  <w:tcW w:w="489" w:type="pct"/>
                  <w:tcBorders>
                    <w:top w:val="single" w:color="000000" w:sz="4" w:space="0"/>
                    <w:left w:val="single" w:color="000000" w:sz="4" w:space="0"/>
                  </w:tcBorders>
                  <w:shd w:val="clear" w:color="auto" w:fill="auto"/>
                  <w:noWrap w:val="0"/>
                  <w:vAlign w:val="center"/>
                </w:tcPr>
                <w:p w14:paraId="0563101E">
                  <w:pPr>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color w:val="auto"/>
                      <w:kern w:val="21"/>
                      <w:sz w:val="21"/>
                      <w:szCs w:val="21"/>
                      <w:highlight w:val="none"/>
                      <w:lang w:val="en-US" w:eastAsia="zh-CN"/>
                    </w:rPr>
                  </w:pPr>
                  <w:r>
                    <w:rPr>
                      <w:rFonts w:hint="eastAsia" w:cs="Times New Roman"/>
                      <w:color w:val="auto"/>
                      <w:kern w:val="21"/>
                      <w:sz w:val="21"/>
                      <w:szCs w:val="21"/>
                      <w:highlight w:val="none"/>
                      <w:lang w:val="en-US" w:eastAsia="zh-CN"/>
                    </w:rPr>
                    <w:t>0.33</w:t>
                  </w:r>
                </w:p>
              </w:tc>
              <w:tc>
                <w:tcPr>
                  <w:tcW w:w="338" w:type="pct"/>
                  <w:tcBorders>
                    <w:bottom w:val="single" w:color="000000" w:sz="4" w:space="0"/>
                  </w:tcBorders>
                  <w:shd w:val="clear" w:color="auto" w:fill="auto"/>
                  <w:noWrap w:val="0"/>
                  <w:vAlign w:val="center"/>
                </w:tcPr>
                <w:p w14:paraId="55FDAB03">
                  <w:pPr>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color w:val="auto"/>
                      <w:kern w:val="21"/>
                      <w:sz w:val="21"/>
                      <w:szCs w:val="21"/>
                      <w:highlight w:val="none"/>
                      <w:lang w:val="en-US" w:eastAsia="zh-CN"/>
                    </w:rPr>
                  </w:pPr>
                  <w:r>
                    <w:rPr>
                      <w:rFonts w:hint="eastAsia" w:cs="Times New Roman"/>
                      <w:color w:val="auto"/>
                      <w:kern w:val="21"/>
                      <w:sz w:val="21"/>
                      <w:szCs w:val="21"/>
                      <w:highlight w:val="none"/>
                      <w:lang w:val="en-US" w:eastAsia="zh-CN"/>
                    </w:rPr>
                    <w:t>是</w:t>
                  </w:r>
                </w:p>
              </w:tc>
              <w:tc>
                <w:tcPr>
                  <w:tcW w:w="694" w:type="pct"/>
                  <w:vMerge w:val="continue"/>
                  <w:shd w:val="clear" w:color="auto" w:fill="auto"/>
                  <w:noWrap w:val="0"/>
                  <w:vAlign w:val="center"/>
                </w:tcPr>
                <w:p w14:paraId="2CB15A1C">
                  <w:pPr>
                    <w:keepNext w:val="0"/>
                    <w:keepLines w:val="0"/>
                    <w:pageBreakBefore w:val="0"/>
                    <w:widowControl/>
                    <w:suppressLineNumbers w:val="0"/>
                    <w:kinsoku/>
                    <w:wordWrap/>
                    <w:overflowPunct/>
                    <w:topLinePunct w:val="0"/>
                    <w:autoSpaceDE/>
                    <w:autoSpaceDN/>
                    <w:bidi w:val="0"/>
                    <w:spacing w:line="310" w:lineRule="exact"/>
                    <w:jc w:val="center"/>
                    <w:textAlignment w:val="auto"/>
                    <w:rPr>
                      <w:rFonts w:hint="default" w:ascii="Times New Roman" w:hAnsi="Times New Roman" w:eastAsia="宋体" w:cs="Times New Roman"/>
                      <w:color w:val="auto"/>
                      <w:kern w:val="0"/>
                      <w:sz w:val="21"/>
                      <w:szCs w:val="21"/>
                      <w:highlight w:val="none"/>
                      <w:lang w:val="en-US" w:eastAsia="zh-CN" w:bidi="ar"/>
                    </w:rPr>
                  </w:pPr>
                </w:p>
              </w:tc>
            </w:tr>
            <w:tr w14:paraId="3EC6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3" w:type="pct"/>
                  <w:noWrap w:val="0"/>
                  <w:vAlign w:val="center"/>
                </w:tcPr>
                <w:p w14:paraId="6E693484">
                  <w:pPr>
                    <w:keepLines w:val="0"/>
                    <w:pageBreakBefore w:val="0"/>
                    <w:widowControl/>
                    <w:kinsoku/>
                    <w:wordWrap/>
                    <w:overflowPunct/>
                    <w:topLinePunct w:val="0"/>
                    <w:autoSpaceDE/>
                    <w:autoSpaceDN/>
                    <w:bidi w:val="0"/>
                    <w:spacing w:line="310" w:lineRule="exact"/>
                    <w:jc w:val="center"/>
                    <w:textAlignment w:val="auto"/>
                    <w:rPr>
                      <w:rFonts w:hint="eastAsia" w:ascii="Times New Roman" w:hAnsi="Times New Roman" w:eastAsia="宋体" w:cs="Times New Roman"/>
                      <w:color w:val="auto"/>
                      <w:kern w:val="21"/>
                      <w:sz w:val="21"/>
                      <w:szCs w:val="21"/>
                      <w:highlight w:val="none"/>
                      <w:lang w:val="en-US" w:eastAsia="zh-CN"/>
                    </w:rPr>
                  </w:pPr>
                  <w:r>
                    <w:rPr>
                      <w:rFonts w:hint="default" w:ascii="Times New Roman" w:hAnsi="Times New Roman" w:eastAsia="宋体" w:cs="Times New Roman"/>
                      <w:color w:val="auto"/>
                      <w:kern w:val="0"/>
                      <w:sz w:val="21"/>
                      <w:szCs w:val="21"/>
                      <w:highlight w:val="none"/>
                      <w:lang w:bidi="ar"/>
                    </w:rPr>
                    <w:t>DA00</w:t>
                  </w:r>
                  <w:r>
                    <w:rPr>
                      <w:rFonts w:hint="eastAsia" w:cs="Times New Roman"/>
                      <w:color w:val="auto"/>
                      <w:kern w:val="0"/>
                      <w:sz w:val="21"/>
                      <w:szCs w:val="21"/>
                      <w:highlight w:val="none"/>
                      <w:lang w:val="en-US" w:eastAsia="zh-CN" w:bidi="ar"/>
                    </w:rPr>
                    <w:t>4</w:t>
                  </w:r>
                </w:p>
              </w:tc>
              <w:tc>
                <w:tcPr>
                  <w:tcW w:w="508" w:type="pct"/>
                  <w:noWrap w:val="0"/>
                  <w:vAlign w:val="center"/>
                </w:tcPr>
                <w:p w14:paraId="3C000E52">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eastAsia" w:ascii="Times New Roman" w:hAnsi="Times New Roman" w:eastAsia="宋体" w:cs="Times New Roman"/>
                      <w:color w:val="auto"/>
                      <w:kern w:val="21"/>
                      <w:sz w:val="21"/>
                      <w:szCs w:val="21"/>
                      <w:highlight w:val="none"/>
                      <w:lang w:val="en-US" w:eastAsia="zh-CN"/>
                    </w:rPr>
                  </w:pPr>
                  <w:r>
                    <w:rPr>
                      <w:rFonts w:hint="eastAsia" w:cs="Times New Roman"/>
                      <w:color w:val="auto"/>
                      <w:kern w:val="21"/>
                      <w:sz w:val="21"/>
                      <w:szCs w:val="21"/>
                      <w:highlight w:val="none"/>
                      <w:lang w:val="en-US" w:eastAsia="zh-CN"/>
                    </w:rPr>
                    <w:t>颗粒物</w:t>
                  </w:r>
                </w:p>
              </w:tc>
              <w:tc>
                <w:tcPr>
                  <w:tcW w:w="592" w:type="pct"/>
                  <w:noWrap w:val="0"/>
                  <w:vAlign w:val="center"/>
                </w:tcPr>
                <w:p w14:paraId="4FBF1F01">
                  <w:pPr>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color w:val="auto"/>
                      <w:kern w:val="21"/>
                      <w:sz w:val="21"/>
                      <w:szCs w:val="21"/>
                      <w:highlight w:val="none"/>
                      <w:lang w:val="en-US" w:eastAsia="zh-CN"/>
                    </w:rPr>
                  </w:pPr>
                  <w:r>
                    <w:rPr>
                      <w:rFonts w:hint="eastAsia" w:cs="Times New Roman"/>
                      <w:color w:val="auto"/>
                      <w:kern w:val="21"/>
                      <w:sz w:val="21"/>
                      <w:szCs w:val="21"/>
                      <w:highlight w:val="none"/>
                      <w:lang w:val="en-US" w:eastAsia="zh-CN"/>
                    </w:rPr>
                    <w:t>447.1</w:t>
                  </w:r>
                </w:p>
              </w:tc>
              <w:tc>
                <w:tcPr>
                  <w:tcW w:w="541" w:type="pct"/>
                  <w:noWrap w:val="0"/>
                  <w:vAlign w:val="center"/>
                </w:tcPr>
                <w:p w14:paraId="0EB822DF">
                  <w:pPr>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color w:val="auto"/>
                      <w:kern w:val="21"/>
                      <w:sz w:val="21"/>
                      <w:szCs w:val="21"/>
                      <w:highlight w:val="none"/>
                      <w:lang w:val="en-US" w:eastAsia="zh-CN"/>
                    </w:rPr>
                  </w:pPr>
                  <w:r>
                    <w:rPr>
                      <w:rFonts w:hint="eastAsia" w:cs="Times New Roman"/>
                      <w:color w:val="auto"/>
                      <w:kern w:val="21"/>
                      <w:sz w:val="21"/>
                      <w:szCs w:val="21"/>
                      <w:highlight w:val="none"/>
                      <w:lang w:val="en-US" w:eastAsia="zh-CN"/>
                    </w:rPr>
                    <w:t>9.56</w:t>
                  </w:r>
                </w:p>
              </w:tc>
              <w:tc>
                <w:tcPr>
                  <w:tcW w:w="363" w:type="pct"/>
                  <w:vMerge w:val="continue"/>
                  <w:noWrap w:val="0"/>
                  <w:vAlign w:val="center"/>
                </w:tcPr>
                <w:p w14:paraId="667FEF7C">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default" w:ascii="Times New Roman" w:hAnsi="Times New Roman" w:eastAsia="宋体" w:cs="Times New Roman"/>
                      <w:color w:val="auto"/>
                      <w:kern w:val="21"/>
                      <w:sz w:val="21"/>
                      <w:szCs w:val="21"/>
                      <w:highlight w:val="none"/>
                    </w:rPr>
                  </w:pPr>
                </w:p>
              </w:tc>
              <w:tc>
                <w:tcPr>
                  <w:tcW w:w="357" w:type="pct"/>
                  <w:vMerge w:val="continue"/>
                  <w:noWrap w:val="0"/>
                  <w:vAlign w:val="center"/>
                </w:tcPr>
                <w:p w14:paraId="25BAB6AF">
                  <w:pPr>
                    <w:pStyle w:val="25"/>
                    <w:keepLines w:val="0"/>
                    <w:pageBreakBefore w:val="0"/>
                    <w:tabs>
                      <w:tab w:val="left" w:pos="420"/>
                      <w:tab w:val="left" w:pos="870"/>
                      <w:tab w:val="left" w:pos="3150"/>
                    </w:tabs>
                    <w:kinsoku/>
                    <w:wordWrap/>
                    <w:overflowPunct/>
                    <w:topLinePunct w:val="0"/>
                    <w:autoSpaceDE/>
                    <w:autoSpaceDN/>
                    <w:bidi w:val="0"/>
                    <w:adjustRightInd w:val="0"/>
                    <w:snapToGrid w:val="0"/>
                    <w:spacing w:after="0" w:line="310" w:lineRule="exact"/>
                    <w:ind w:left="0" w:leftChars="0" w:firstLine="0" w:firstLineChars="0"/>
                    <w:jc w:val="center"/>
                    <w:textAlignment w:val="auto"/>
                    <w:rPr>
                      <w:rFonts w:hint="eastAsia" w:ascii="Times New Roman" w:hAnsi="Times New Roman" w:eastAsia="宋体" w:cs="Times New Roman"/>
                      <w:color w:val="auto"/>
                      <w:kern w:val="21"/>
                      <w:sz w:val="21"/>
                      <w:szCs w:val="21"/>
                      <w:highlight w:val="none"/>
                      <w:lang w:val="en-US" w:eastAsia="zh-CN"/>
                    </w:rPr>
                  </w:pPr>
                </w:p>
              </w:tc>
              <w:tc>
                <w:tcPr>
                  <w:tcW w:w="611" w:type="pct"/>
                  <w:noWrap w:val="0"/>
                  <w:vAlign w:val="center"/>
                </w:tcPr>
                <w:p w14:paraId="430E3A5A">
                  <w:pPr>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color w:val="auto"/>
                      <w:kern w:val="21"/>
                      <w:sz w:val="21"/>
                      <w:szCs w:val="21"/>
                      <w:highlight w:val="none"/>
                      <w:lang w:val="en-US" w:eastAsia="zh-CN"/>
                    </w:rPr>
                  </w:pPr>
                  <w:r>
                    <w:rPr>
                      <w:rFonts w:hint="eastAsia" w:cs="Times New Roman"/>
                      <w:color w:val="auto"/>
                      <w:kern w:val="21"/>
                      <w:sz w:val="21"/>
                      <w:szCs w:val="21"/>
                      <w:highlight w:val="none"/>
                      <w:lang w:val="en-US" w:eastAsia="zh-CN"/>
                    </w:rPr>
                    <w:t>120</w:t>
                  </w:r>
                </w:p>
              </w:tc>
              <w:tc>
                <w:tcPr>
                  <w:tcW w:w="489" w:type="pct"/>
                  <w:noWrap w:val="0"/>
                  <w:vAlign w:val="center"/>
                </w:tcPr>
                <w:p w14:paraId="5C634832">
                  <w:pPr>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color w:val="auto"/>
                      <w:kern w:val="21"/>
                      <w:sz w:val="21"/>
                      <w:szCs w:val="21"/>
                      <w:highlight w:val="none"/>
                      <w:lang w:val="en-US" w:eastAsia="zh-CN"/>
                    </w:rPr>
                  </w:pPr>
                  <w:r>
                    <w:rPr>
                      <w:rFonts w:hint="eastAsia" w:cs="Times New Roman"/>
                      <w:color w:val="auto"/>
                      <w:kern w:val="21"/>
                      <w:sz w:val="21"/>
                      <w:szCs w:val="21"/>
                      <w:highlight w:val="none"/>
                      <w:lang w:val="en-US" w:eastAsia="zh-CN"/>
                    </w:rPr>
                    <w:t>3.5</w:t>
                  </w:r>
                </w:p>
              </w:tc>
              <w:tc>
                <w:tcPr>
                  <w:tcW w:w="338" w:type="pct"/>
                  <w:tcBorders>
                    <w:top w:val="single" w:color="000000" w:sz="4" w:space="0"/>
                    <w:bottom w:val="single" w:color="000000" w:sz="4" w:space="0"/>
                  </w:tcBorders>
                  <w:noWrap w:val="0"/>
                  <w:vAlign w:val="center"/>
                </w:tcPr>
                <w:p w14:paraId="2DE0ADAC">
                  <w:pPr>
                    <w:keepLines w:val="0"/>
                    <w:pageBreakBefore w:val="0"/>
                    <w:kinsoku/>
                    <w:wordWrap/>
                    <w:overflowPunct/>
                    <w:topLinePunct w:val="0"/>
                    <w:autoSpaceDE/>
                    <w:autoSpaceDN/>
                    <w:bidi w:val="0"/>
                    <w:adjustRightInd w:val="0"/>
                    <w:snapToGrid w:val="0"/>
                    <w:spacing w:line="310" w:lineRule="exact"/>
                    <w:jc w:val="center"/>
                    <w:textAlignment w:val="auto"/>
                    <w:rPr>
                      <w:rFonts w:hint="default" w:ascii="Times New Roman" w:hAnsi="Times New Roman" w:eastAsia="宋体" w:cs="Times New Roman"/>
                      <w:color w:val="auto"/>
                      <w:kern w:val="21"/>
                      <w:sz w:val="21"/>
                      <w:szCs w:val="21"/>
                      <w:highlight w:val="none"/>
                      <w:lang w:val="en-US" w:eastAsia="zh-CN"/>
                    </w:rPr>
                  </w:pPr>
                  <w:r>
                    <w:rPr>
                      <w:rFonts w:hint="eastAsia" w:cs="Times New Roman"/>
                      <w:color w:val="auto"/>
                      <w:kern w:val="21"/>
                      <w:sz w:val="21"/>
                      <w:szCs w:val="21"/>
                      <w:highlight w:val="none"/>
                      <w:lang w:val="en-US" w:eastAsia="zh-CN"/>
                    </w:rPr>
                    <w:t>否</w:t>
                  </w:r>
                </w:p>
              </w:tc>
              <w:tc>
                <w:tcPr>
                  <w:tcW w:w="694" w:type="pct"/>
                  <w:vMerge w:val="continue"/>
                  <w:noWrap w:val="0"/>
                  <w:vAlign w:val="center"/>
                </w:tcPr>
                <w:p w14:paraId="15AB0B0D">
                  <w:pPr>
                    <w:keepNext w:val="0"/>
                    <w:keepLines w:val="0"/>
                    <w:pageBreakBefore w:val="0"/>
                    <w:widowControl/>
                    <w:suppressLineNumbers w:val="0"/>
                    <w:kinsoku/>
                    <w:wordWrap/>
                    <w:overflowPunct/>
                    <w:topLinePunct w:val="0"/>
                    <w:autoSpaceDE/>
                    <w:autoSpaceDN/>
                    <w:bidi w:val="0"/>
                    <w:spacing w:line="310" w:lineRule="exact"/>
                    <w:jc w:val="center"/>
                    <w:textAlignment w:val="auto"/>
                    <w:rPr>
                      <w:rFonts w:hint="default" w:ascii="Times New Roman" w:hAnsi="Times New Roman" w:eastAsia="宋体" w:cs="Times New Roman"/>
                      <w:color w:val="auto"/>
                      <w:kern w:val="21"/>
                      <w:sz w:val="21"/>
                      <w:szCs w:val="21"/>
                      <w:highlight w:val="none"/>
                    </w:rPr>
                  </w:pPr>
                </w:p>
              </w:tc>
            </w:tr>
          </w:tbl>
          <w:p w14:paraId="7AE2534D">
            <w:pPr>
              <w:keepNext w:val="0"/>
              <w:keepLines w:val="0"/>
              <w:pageBreakBefore w:val="0"/>
              <w:widowControl w:val="0"/>
              <w:kinsoku/>
              <w:wordWrap/>
              <w:overflowPunct/>
              <w:topLinePunct w:val="0"/>
              <w:bidi w:val="0"/>
              <w:adjustRightInd w:val="0"/>
              <w:snapToGrid w:val="0"/>
              <w:spacing w:line="440" w:lineRule="exact"/>
              <w:ind w:firstLine="480" w:firstLineChars="200"/>
              <w:textAlignment w:val="auto"/>
              <w:rPr>
                <w:color w:val="auto"/>
                <w:kern w:val="0"/>
                <w:sz w:val="24"/>
                <w:highlight w:val="none"/>
              </w:rPr>
            </w:pPr>
            <w:r>
              <w:rPr>
                <w:rFonts w:hint="default" w:ascii="Times New Roman" w:hAnsi="Times New Roman" w:eastAsia="宋体" w:cs="Times New Roman"/>
                <w:color w:val="auto"/>
                <w:sz w:val="24"/>
                <w:szCs w:val="24"/>
                <w:highlight w:val="none"/>
              </w:rPr>
              <w:t>从上表可知，废气治理设施发生故障时，</w:t>
            </w:r>
            <w:r>
              <w:rPr>
                <w:rFonts w:hint="eastAsia"/>
                <w:color w:val="auto"/>
                <w:kern w:val="0"/>
                <w:sz w:val="24"/>
                <w:szCs w:val="24"/>
                <w:highlight w:val="none"/>
              </w:rPr>
              <w:t>项目非正常排放情况下，</w:t>
            </w:r>
            <w:r>
              <w:rPr>
                <w:rFonts w:hint="eastAsia"/>
                <w:color w:val="auto"/>
                <w:kern w:val="0"/>
                <w:sz w:val="24"/>
                <w:szCs w:val="24"/>
                <w:highlight w:val="none"/>
                <w:lang w:val="en-US" w:eastAsia="zh-CN"/>
              </w:rPr>
              <w:t>本项目DA003排放的</w:t>
            </w:r>
            <w:r>
              <w:rPr>
                <w:rFonts w:hint="eastAsia"/>
                <w:color w:val="auto"/>
                <w:kern w:val="0"/>
                <w:sz w:val="24"/>
                <w:szCs w:val="24"/>
                <w:highlight w:val="none"/>
              </w:rPr>
              <w:t>氨气、硫化氢</w:t>
            </w:r>
            <w:r>
              <w:rPr>
                <w:rFonts w:hint="eastAsia"/>
                <w:color w:val="auto"/>
                <w:kern w:val="0"/>
                <w:sz w:val="24"/>
                <w:szCs w:val="24"/>
                <w:highlight w:val="none"/>
                <w:lang w:val="en-US" w:eastAsia="zh-CN"/>
              </w:rPr>
              <w:t>可</w:t>
            </w:r>
            <w:r>
              <w:rPr>
                <w:rFonts w:hint="eastAsia"/>
                <w:color w:val="auto"/>
                <w:kern w:val="0"/>
                <w:sz w:val="24"/>
                <w:szCs w:val="24"/>
                <w:highlight w:val="none"/>
              </w:rPr>
              <w:t>达到《恶臭污染物排放标准》（GB14554-93）</w:t>
            </w:r>
            <w:r>
              <w:rPr>
                <w:color w:val="auto"/>
                <w:kern w:val="0"/>
                <w:sz w:val="24"/>
                <w:szCs w:val="24"/>
                <w:highlight w:val="none"/>
              </w:rPr>
              <w:t>标准限值</w:t>
            </w:r>
            <w:r>
              <w:rPr>
                <w:rFonts w:hint="eastAsia"/>
                <w:color w:val="auto"/>
                <w:kern w:val="0"/>
                <w:sz w:val="24"/>
                <w:szCs w:val="24"/>
                <w:highlight w:val="none"/>
                <w:lang w:eastAsia="zh-CN"/>
              </w:rPr>
              <w:t>；</w:t>
            </w:r>
            <w:r>
              <w:rPr>
                <w:rFonts w:hint="eastAsia"/>
                <w:color w:val="auto"/>
                <w:kern w:val="0"/>
                <w:sz w:val="24"/>
                <w:szCs w:val="24"/>
                <w:highlight w:val="none"/>
                <w:lang w:val="en-US" w:eastAsia="zh-CN"/>
              </w:rPr>
              <w:t>DA004排放的</w:t>
            </w:r>
            <w:r>
              <w:rPr>
                <w:rFonts w:hint="eastAsia"/>
                <w:color w:val="auto"/>
                <w:kern w:val="0"/>
                <w:sz w:val="24"/>
                <w:szCs w:val="24"/>
                <w:highlight w:val="none"/>
              </w:rPr>
              <w:t>颗粒物排放浓度及排放速率无法达到</w:t>
            </w:r>
            <w:r>
              <w:rPr>
                <w:color w:val="auto"/>
                <w:kern w:val="0"/>
                <w:sz w:val="24"/>
                <w:szCs w:val="24"/>
                <w:highlight w:val="none"/>
              </w:rPr>
              <w:t>《大气污染物综合排放标准》</w:t>
            </w:r>
            <w:r>
              <w:rPr>
                <w:rFonts w:hint="eastAsia"/>
                <w:color w:val="auto"/>
                <w:kern w:val="0"/>
                <w:sz w:val="24"/>
                <w:szCs w:val="24"/>
                <w:highlight w:val="none"/>
              </w:rPr>
              <w:t>（</w:t>
            </w:r>
            <w:r>
              <w:rPr>
                <w:color w:val="auto"/>
                <w:kern w:val="0"/>
                <w:sz w:val="24"/>
                <w:szCs w:val="24"/>
                <w:highlight w:val="none"/>
              </w:rPr>
              <w:t>GB16297-1996</w:t>
            </w:r>
            <w:r>
              <w:rPr>
                <w:rFonts w:hint="eastAsia"/>
                <w:color w:val="auto"/>
                <w:kern w:val="0"/>
                <w:sz w:val="24"/>
                <w:szCs w:val="24"/>
                <w:highlight w:val="none"/>
              </w:rPr>
              <w:t>）</w:t>
            </w:r>
            <w:r>
              <w:rPr>
                <w:color w:val="auto"/>
                <w:kern w:val="0"/>
                <w:sz w:val="24"/>
                <w:szCs w:val="24"/>
                <w:highlight w:val="none"/>
              </w:rPr>
              <w:t>表2</w:t>
            </w:r>
            <w:r>
              <w:rPr>
                <w:rFonts w:hint="eastAsia"/>
                <w:color w:val="auto"/>
                <w:kern w:val="0"/>
                <w:sz w:val="24"/>
                <w:szCs w:val="24"/>
                <w:highlight w:val="none"/>
              </w:rPr>
              <w:t>中</w:t>
            </w:r>
            <w:r>
              <w:rPr>
                <w:color w:val="auto"/>
                <w:kern w:val="0"/>
                <w:sz w:val="24"/>
                <w:szCs w:val="24"/>
                <w:highlight w:val="none"/>
              </w:rPr>
              <w:t>二级标准限值</w:t>
            </w:r>
            <w:r>
              <w:rPr>
                <w:rFonts w:hint="eastAsia"/>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bidi="ar"/>
              </w:rPr>
              <w:t>造成了对环境的不利影响，</w:t>
            </w:r>
            <w:r>
              <w:rPr>
                <w:rFonts w:hint="default" w:ascii="Times New Roman" w:hAnsi="Times New Roman" w:eastAsia="宋体" w:cs="Times New Roman"/>
                <w:color w:val="auto"/>
                <w:sz w:val="24"/>
                <w:szCs w:val="24"/>
                <w:highlight w:val="none"/>
              </w:rPr>
              <w:t>为避免上述非正常情况的发生，应认真做好废气处理设备的保养，定期检查</w:t>
            </w:r>
            <w:r>
              <w:rPr>
                <w:rFonts w:hint="eastAsia" w:cs="Times New Roman"/>
                <w:color w:val="auto"/>
                <w:sz w:val="24"/>
                <w:szCs w:val="24"/>
                <w:highlight w:val="none"/>
                <w:lang w:val="en-US" w:eastAsia="zh-CN"/>
              </w:rPr>
              <w:t>环保设施</w:t>
            </w:r>
            <w:r>
              <w:rPr>
                <w:rFonts w:hint="default" w:ascii="Times New Roman" w:hAnsi="Times New Roman" w:eastAsia="宋体" w:cs="Times New Roman"/>
                <w:color w:val="auto"/>
                <w:sz w:val="24"/>
                <w:szCs w:val="24"/>
                <w:highlight w:val="none"/>
              </w:rPr>
              <w:t>，定期维护、保修工作，使处理设施达到预期效果，如发生非正常工况，则停止车间相关作业，维修正常后再开始作业。</w:t>
            </w:r>
          </w:p>
          <w:p w14:paraId="57A2A064">
            <w:pPr>
              <w:keepNext w:val="0"/>
              <w:keepLines w:val="0"/>
              <w:pageBreakBefore w:val="0"/>
              <w:kinsoku/>
              <w:wordWrap/>
              <w:overflowPunct/>
              <w:topLinePunct w:val="0"/>
              <w:autoSpaceDE/>
              <w:autoSpaceDN/>
              <w:bidi w:val="0"/>
              <w:adjustRightInd/>
              <w:spacing w:line="440" w:lineRule="exact"/>
              <w:ind w:firstLine="482" w:firstLineChars="200"/>
              <w:textAlignment w:val="auto"/>
              <w:rPr>
                <w:b/>
                <w:color w:val="auto"/>
                <w:kern w:val="0"/>
                <w:sz w:val="24"/>
                <w:highlight w:val="none"/>
              </w:rPr>
            </w:pPr>
            <w:r>
              <w:rPr>
                <w:rFonts w:hint="eastAsia"/>
                <w:b/>
                <w:color w:val="auto"/>
                <w:kern w:val="0"/>
                <w:sz w:val="24"/>
                <w:highlight w:val="none"/>
                <w:lang w:eastAsia="zh-CN"/>
              </w:rPr>
              <w:t>（</w:t>
            </w:r>
            <w:r>
              <w:rPr>
                <w:rFonts w:hint="eastAsia"/>
                <w:b/>
                <w:color w:val="auto"/>
                <w:kern w:val="0"/>
                <w:sz w:val="24"/>
                <w:highlight w:val="none"/>
                <w:lang w:val="en-US" w:eastAsia="zh-CN"/>
              </w:rPr>
              <w:t>5</w:t>
            </w:r>
            <w:r>
              <w:rPr>
                <w:rFonts w:hint="eastAsia"/>
                <w:b/>
                <w:color w:val="auto"/>
                <w:kern w:val="0"/>
                <w:sz w:val="24"/>
                <w:highlight w:val="none"/>
                <w:lang w:eastAsia="zh-CN"/>
              </w:rPr>
              <w:t>）</w:t>
            </w:r>
            <w:r>
              <w:rPr>
                <w:rFonts w:hint="eastAsia"/>
                <w:b/>
                <w:color w:val="auto"/>
                <w:kern w:val="0"/>
                <w:sz w:val="24"/>
                <w:highlight w:val="none"/>
              </w:rPr>
              <w:t>污染物治理设施可行性分析</w:t>
            </w:r>
          </w:p>
          <w:p w14:paraId="705C115A">
            <w:pPr>
              <w:keepNext w:val="0"/>
              <w:keepLines w:val="0"/>
              <w:pageBreakBefore w:val="0"/>
              <w:kinsoku/>
              <w:wordWrap/>
              <w:overflowPunct/>
              <w:topLinePunct w:val="0"/>
              <w:autoSpaceDE/>
              <w:autoSpaceDN/>
              <w:bidi w:val="0"/>
              <w:adjustRightInd/>
              <w:spacing w:line="440" w:lineRule="exact"/>
              <w:ind w:firstLine="480" w:firstLineChars="200"/>
              <w:textAlignment w:val="auto"/>
              <w:rPr>
                <w:rFonts w:hint="eastAsia"/>
                <w:bCs/>
                <w:color w:val="auto"/>
                <w:kern w:val="0"/>
                <w:sz w:val="24"/>
                <w:highlight w:val="none"/>
              </w:rPr>
            </w:pPr>
            <w:r>
              <w:rPr>
                <w:rFonts w:hint="eastAsia"/>
                <w:bCs/>
                <w:color w:val="auto"/>
                <w:kern w:val="0"/>
                <w:sz w:val="24"/>
                <w:highlight w:val="none"/>
              </w:rPr>
              <w:t>参照《排污许可证申请与核发技术规范 磷肥、钾肥、复混钾肥、有机肥料及微生物肥料工业 HJ864.2-2018》表15有机肥料及微生物肥料工业排污单位生产单元或设施废气治理可行技术参照表。</w:t>
            </w:r>
          </w:p>
          <w:p w14:paraId="14EFFA11">
            <w:pPr>
              <w:keepNext w:val="0"/>
              <w:keepLines w:val="0"/>
              <w:pageBreakBefore w:val="0"/>
              <w:kinsoku/>
              <w:wordWrap/>
              <w:overflowPunct/>
              <w:topLinePunct w:val="0"/>
              <w:autoSpaceDE/>
              <w:autoSpaceDN/>
              <w:bidi w:val="0"/>
              <w:adjustRightInd/>
              <w:spacing w:line="440" w:lineRule="exact"/>
              <w:ind w:firstLine="480" w:firstLineChars="200"/>
              <w:textAlignment w:val="auto"/>
              <w:rPr>
                <w:bCs/>
                <w:color w:val="auto"/>
                <w:kern w:val="0"/>
                <w:sz w:val="24"/>
                <w:highlight w:val="none"/>
              </w:rPr>
            </w:pPr>
            <w:r>
              <w:rPr>
                <w:rFonts w:hint="eastAsia"/>
                <w:bCs/>
                <w:color w:val="auto"/>
                <w:kern w:val="0"/>
                <w:sz w:val="24"/>
                <w:highlight w:val="none"/>
              </w:rPr>
              <w:t>见表4-</w:t>
            </w:r>
            <w:r>
              <w:rPr>
                <w:rFonts w:hint="eastAsia"/>
                <w:bCs/>
                <w:color w:val="auto"/>
                <w:kern w:val="0"/>
                <w:sz w:val="24"/>
                <w:highlight w:val="none"/>
                <w:lang w:val="en-US" w:eastAsia="zh-CN"/>
              </w:rPr>
              <w:t>13</w:t>
            </w:r>
            <w:r>
              <w:rPr>
                <w:rFonts w:hint="eastAsia"/>
                <w:bCs/>
                <w:color w:val="auto"/>
                <w:kern w:val="0"/>
                <w:sz w:val="24"/>
                <w:highlight w:val="none"/>
              </w:rPr>
              <w:t>。</w:t>
            </w:r>
          </w:p>
          <w:p w14:paraId="55591A9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pacing w:val="8"/>
                <w:sz w:val="21"/>
                <w:szCs w:val="21"/>
                <w:highlight w:val="none"/>
              </w:rPr>
            </w:pPr>
            <w:r>
              <w:rPr>
                <w:rFonts w:hint="eastAsia"/>
                <w:b/>
                <w:bCs/>
                <w:color w:val="auto"/>
                <w:spacing w:val="8"/>
                <w:sz w:val="21"/>
                <w:szCs w:val="21"/>
                <w:highlight w:val="none"/>
              </w:rPr>
              <w:t>表4-</w:t>
            </w:r>
            <w:r>
              <w:rPr>
                <w:rFonts w:hint="eastAsia"/>
                <w:b/>
                <w:bCs/>
                <w:color w:val="auto"/>
                <w:spacing w:val="8"/>
                <w:sz w:val="21"/>
                <w:szCs w:val="21"/>
                <w:highlight w:val="none"/>
                <w:lang w:val="en-US" w:eastAsia="zh-CN"/>
              </w:rPr>
              <w:t>13</w:t>
            </w:r>
            <w:r>
              <w:rPr>
                <w:rFonts w:hint="eastAsia"/>
                <w:b/>
                <w:bCs/>
                <w:color w:val="auto"/>
                <w:spacing w:val="8"/>
                <w:sz w:val="21"/>
                <w:szCs w:val="21"/>
                <w:highlight w:val="none"/>
              </w:rPr>
              <w:t xml:space="preserve">  大气污染物治理设施情况一览表</w:t>
            </w:r>
          </w:p>
          <w:tbl>
            <w:tblPr>
              <w:tblStyle w:val="26"/>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5"/>
              <w:gridCol w:w="1326"/>
              <w:gridCol w:w="1523"/>
              <w:gridCol w:w="2616"/>
              <w:gridCol w:w="1407"/>
            </w:tblGrid>
            <w:tr w14:paraId="2A07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90" w:type="pct"/>
                  <w:vAlign w:val="center"/>
                </w:tcPr>
                <w:p w14:paraId="565D15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 w:val="21"/>
                      <w:szCs w:val="21"/>
                      <w:highlight w:val="none"/>
                    </w:rPr>
                  </w:pPr>
                  <w:r>
                    <w:rPr>
                      <w:rFonts w:hint="eastAsia"/>
                      <w:b/>
                      <w:bCs/>
                      <w:color w:val="auto"/>
                      <w:kern w:val="0"/>
                      <w:sz w:val="21"/>
                      <w:szCs w:val="21"/>
                      <w:highlight w:val="none"/>
                    </w:rPr>
                    <w:t>产排污环节</w:t>
                  </w:r>
                </w:p>
              </w:tc>
              <w:tc>
                <w:tcPr>
                  <w:tcW w:w="754" w:type="pct"/>
                  <w:vAlign w:val="center"/>
                </w:tcPr>
                <w:p w14:paraId="4C1FEC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 w:val="21"/>
                      <w:szCs w:val="21"/>
                      <w:highlight w:val="none"/>
                    </w:rPr>
                  </w:pPr>
                  <w:r>
                    <w:rPr>
                      <w:rFonts w:hint="eastAsia"/>
                      <w:b/>
                      <w:bCs/>
                      <w:color w:val="auto"/>
                      <w:kern w:val="0"/>
                      <w:sz w:val="21"/>
                      <w:szCs w:val="21"/>
                      <w:highlight w:val="none"/>
                    </w:rPr>
                    <w:t>主要控制污染物</w:t>
                  </w:r>
                </w:p>
              </w:tc>
              <w:tc>
                <w:tcPr>
                  <w:tcW w:w="866" w:type="pct"/>
                  <w:vAlign w:val="center"/>
                </w:tcPr>
                <w:p w14:paraId="7FD353F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 w:val="21"/>
                      <w:szCs w:val="21"/>
                      <w:highlight w:val="none"/>
                    </w:rPr>
                  </w:pPr>
                  <w:r>
                    <w:rPr>
                      <w:rFonts w:hint="eastAsia"/>
                      <w:b/>
                      <w:bCs/>
                      <w:color w:val="auto"/>
                      <w:kern w:val="0"/>
                      <w:sz w:val="21"/>
                      <w:szCs w:val="21"/>
                      <w:highlight w:val="none"/>
                    </w:rPr>
                    <w:t>可行技术</w:t>
                  </w:r>
                </w:p>
              </w:tc>
              <w:tc>
                <w:tcPr>
                  <w:tcW w:w="1488" w:type="pct"/>
                  <w:vAlign w:val="center"/>
                </w:tcPr>
                <w:p w14:paraId="694A05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 w:val="21"/>
                      <w:szCs w:val="21"/>
                      <w:highlight w:val="none"/>
                    </w:rPr>
                  </w:pPr>
                  <w:r>
                    <w:rPr>
                      <w:rFonts w:hint="eastAsia"/>
                      <w:b/>
                      <w:bCs/>
                      <w:color w:val="auto"/>
                      <w:kern w:val="0"/>
                      <w:sz w:val="21"/>
                      <w:szCs w:val="21"/>
                      <w:highlight w:val="none"/>
                    </w:rPr>
                    <w:t>污染治理设施</w:t>
                  </w:r>
                </w:p>
              </w:tc>
              <w:tc>
                <w:tcPr>
                  <w:tcW w:w="800" w:type="pct"/>
                  <w:vAlign w:val="center"/>
                </w:tcPr>
                <w:p w14:paraId="564B83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 w:val="21"/>
                      <w:szCs w:val="21"/>
                      <w:highlight w:val="none"/>
                    </w:rPr>
                  </w:pPr>
                  <w:r>
                    <w:rPr>
                      <w:rFonts w:hint="eastAsia"/>
                      <w:b/>
                      <w:bCs/>
                      <w:color w:val="auto"/>
                      <w:kern w:val="0"/>
                      <w:sz w:val="21"/>
                      <w:szCs w:val="21"/>
                      <w:highlight w:val="none"/>
                    </w:rPr>
                    <w:t>是否为可行技术</w:t>
                  </w:r>
                </w:p>
              </w:tc>
            </w:tr>
            <w:tr w14:paraId="13640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90" w:type="pct"/>
                  <w:vAlign w:val="center"/>
                </w:tcPr>
                <w:p w14:paraId="77CA38CC">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kern w:val="0"/>
                      <w:sz w:val="21"/>
                      <w:szCs w:val="21"/>
                      <w:highlight w:val="none"/>
                    </w:rPr>
                  </w:pPr>
                  <w:r>
                    <w:rPr>
                      <w:rFonts w:hint="eastAsia"/>
                      <w:color w:val="auto"/>
                      <w:kern w:val="0"/>
                      <w:sz w:val="21"/>
                      <w:szCs w:val="21"/>
                      <w:highlight w:val="none"/>
                    </w:rPr>
                    <w:t>投料、扑粉、搅拌、粉碎、筛分、包装</w:t>
                  </w:r>
                </w:p>
              </w:tc>
              <w:tc>
                <w:tcPr>
                  <w:tcW w:w="754" w:type="pct"/>
                  <w:vAlign w:val="center"/>
                </w:tcPr>
                <w:p w14:paraId="23F1D68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 w:val="21"/>
                      <w:szCs w:val="21"/>
                      <w:highlight w:val="none"/>
                    </w:rPr>
                  </w:pPr>
                  <w:r>
                    <w:rPr>
                      <w:rFonts w:hint="eastAsia"/>
                      <w:bCs/>
                      <w:color w:val="auto"/>
                      <w:kern w:val="0"/>
                      <w:sz w:val="21"/>
                      <w:szCs w:val="21"/>
                      <w:highlight w:val="none"/>
                    </w:rPr>
                    <w:t>颗粒物</w:t>
                  </w:r>
                </w:p>
              </w:tc>
              <w:tc>
                <w:tcPr>
                  <w:tcW w:w="866" w:type="pct"/>
                  <w:vAlign w:val="center"/>
                </w:tcPr>
                <w:p w14:paraId="0FBFF2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 w:val="21"/>
                      <w:szCs w:val="21"/>
                      <w:highlight w:val="none"/>
                    </w:rPr>
                  </w:pPr>
                  <w:r>
                    <w:rPr>
                      <w:rFonts w:hint="eastAsia"/>
                      <w:color w:val="auto"/>
                      <w:kern w:val="0"/>
                      <w:sz w:val="21"/>
                      <w:szCs w:val="21"/>
                      <w:highlight w:val="none"/>
                    </w:rPr>
                    <w:t>袋式除尘</w:t>
                  </w:r>
                </w:p>
              </w:tc>
              <w:tc>
                <w:tcPr>
                  <w:tcW w:w="1488" w:type="pct"/>
                  <w:vAlign w:val="center"/>
                </w:tcPr>
                <w:p w14:paraId="51D8426C">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kern w:val="0"/>
                      <w:sz w:val="21"/>
                      <w:szCs w:val="21"/>
                      <w:highlight w:val="none"/>
                    </w:rPr>
                  </w:pPr>
                  <w:r>
                    <w:rPr>
                      <w:rFonts w:hint="eastAsia"/>
                      <w:color w:val="auto"/>
                      <w:kern w:val="0"/>
                      <w:sz w:val="21"/>
                      <w:szCs w:val="21"/>
                      <w:highlight w:val="none"/>
                    </w:rPr>
                    <w:t>①集气罩+袋式除尘+15m高排气筒；</w:t>
                  </w:r>
                </w:p>
                <w:p w14:paraId="70790385">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kern w:val="0"/>
                      <w:sz w:val="21"/>
                      <w:szCs w:val="21"/>
                      <w:highlight w:val="none"/>
                    </w:rPr>
                  </w:pPr>
                  <w:r>
                    <w:rPr>
                      <w:rFonts w:hint="eastAsia"/>
                      <w:color w:val="auto"/>
                      <w:kern w:val="0"/>
                      <w:sz w:val="21"/>
                      <w:szCs w:val="21"/>
                      <w:highlight w:val="none"/>
                    </w:rPr>
                    <w:t>②厂房阻隔沉降</w:t>
                  </w:r>
                </w:p>
              </w:tc>
              <w:tc>
                <w:tcPr>
                  <w:tcW w:w="800" w:type="pct"/>
                  <w:vAlign w:val="center"/>
                </w:tcPr>
                <w:p w14:paraId="3BF079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 w:val="21"/>
                      <w:szCs w:val="21"/>
                      <w:highlight w:val="none"/>
                    </w:rPr>
                  </w:pPr>
                  <w:r>
                    <w:rPr>
                      <w:rFonts w:hint="eastAsia"/>
                      <w:color w:val="auto"/>
                      <w:kern w:val="0"/>
                      <w:sz w:val="21"/>
                      <w:szCs w:val="21"/>
                      <w:highlight w:val="none"/>
                    </w:rPr>
                    <w:t>是</w:t>
                  </w:r>
                </w:p>
              </w:tc>
            </w:tr>
            <w:tr w14:paraId="6F31C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90" w:type="pct"/>
                  <w:vAlign w:val="center"/>
                </w:tcPr>
                <w:p w14:paraId="7F0462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 w:val="21"/>
                      <w:szCs w:val="21"/>
                      <w:highlight w:val="none"/>
                    </w:rPr>
                  </w:pPr>
                  <w:r>
                    <w:rPr>
                      <w:rFonts w:hint="eastAsia"/>
                      <w:color w:val="auto"/>
                      <w:kern w:val="0"/>
                      <w:sz w:val="21"/>
                      <w:szCs w:val="21"/>
                      <w:highlight w:val="none"/>
                    </w:rPr>
                    <w:t>发酵</w:t>
                  </w:r>
                </w:p>
              </w:tc>
              <w:tc>
                <w:tcPr>
                  <w:tcW w:w="754" w:type="pct"/>
                  <w:vAlign w:val="center"/>
                </w:tcPr>
                <w:p w14:paraId="663BBCEC">
                  <w:pPr>
                    <w:keepNext w:val="0"/>
                    <w:keepLines w:val="0"/>
                    <w:pageBreakBefore w:val="0"/>
                    <w:widowControl w:val="0"/>
                    <w:kinsoku/>
                    <w:wordWrap/>
                    <w:overflowPunct/>
                    <w:topLinePunct w:val="0"/>
                    <w:autoSpaceDE/>
                    <w:autoSpaceDN/>
                    <w:bidi w:val="0"/>
                    <w:adjustRightInd/>
                    <w:snapToGrid/>
                    <w:spacing w:line="320" w:lineRule="exact"/>
                    <w:textAlignment w:val="auto"/>
                    <w:rPr>
                      <w:bCs/>
                      <w:color w:val="auto"/>
                      <w:kern w:val="0"/>
                      <w:sz w:val="21"/>
                      <w:szCs w:val="21"/>
                      <w:highlight w:val="none"/>
                    </w:rPr>
                  </w:pPr>
                  <w:r>
                    <w:rPr>
                      <w:rFonts w:hint="eastAsia"/>
                      <w:bCs/>
                      <w:color w:val="auto"/>
                      <w:kern w:val="0"/>
                      <w:sz w:val="21"/>
                      <w:szCs w:val="21"/>
                      <w:highlight w:val="none"/>
                    </w:rPr>
                    <w:t>氨、硫化氢、臭气浓度</w:t>
                  </w:r>
                </w:p>
              </w:tc>
              <w:tc>
                <w:tcPr>
                  <w:tcW w:w="866" w:type="pct"/>
                  <w:vAlign w:val="center"/>
                </w:tcPr>
                <w:p w14:paraId="1CCB964F">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kern w:val="0"/>
                      <w:sz w:val="21"/>
                      <w:szCs w:val="21"/>
                      <w:highlight w:val="none"/>
                    </w:rPr>
                  </w:pPr>
                  <w:r>
                    <w:rPr>
                      <w:rFonts w:hint="eastAsia"/>
                      <w:color w:val="auto"/>
                      <w:kern w:val="0"/>
                      <w:sz w:val="21"/>
                      <w:szCs w:val="21"/>
                      <w:highlight w:val="none"/>
                    </w:rPr>
                    <w:t>生物除臭（滴滤法，过滤法）</w:t>
                  </w:r>
                </w:p>
              </w:tc>
              <w:tc>
                <w:tcPr>
                  <w:tcW w:w="1488" w:type="pct"/>
                  <w:vAlign w:val="center"/>
                </w:tcPr>
                <w:p w14:paraId="49520FBE">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kern w:val="0"/>
                      <w:sz w:val="21"/>
                      <w:szCs w:val="21"/>
                      <w:highlight w:val="none"/>
                    </w:rPr>
                  </w:pPr>
                  <w:r>
                    <w:rPr>
                      <w:rFonts w:hint="eastAsia"/>
                      <w:color w:val="auto"/>
                      <w:kern w:val="0"/>
                      <w:sz w:val="21"/>
                      <w:szCs w:val="21"/>
                      <w:highlight w:val="none"/>
                    </w:rPr>
                    <w:t>①生物除臭</w:t>
                  </w:r>
                  <w:r>
                    <w:rPr>
                      <w:rFonts w:hint="eastAsia"/>
                      <w:color w:val="auto"/>
                      <w:kern w:val="0"/>
                      <w:sz w:val="21"/>
                      <w:szCs w:val="21"/>
                      <w:highlight w:val="none"/>
                      <w:lang w:val="en-US" w:eastAsia="zh-CN"/>
                    </w:rPr>
                    <w:t>过滤</w:t>
                  </w:r>
                  <w:r>
                    <w:rPr>
                      <w:rFonts w:hint="eastAsia"/>
                      <w:color w:val="auto"/>
                      <w:kern w:val="0"/>
                      <w:sz w:val="21"/>
                      <w:szCs w:val="21"/>
                      <w:highlight w:val="none"/>
                    </w:rPr>
                    <w:t>设施处理；</w:t>
                  </w:r>
                </w:p>
                <w:p w14:paraId="6C32CAF5">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kern w:val="0"/>
                      <w:sz w:val="21"/>
                      <w:szCs w:val="21"/>
                      <w:highlight w:val="none"/>
                    </w:rPr>
                  </w:pPr>
                  <w:r>
                    <w:rPr>
                      <w:rFonts w:hint="eastAsia"/>
                      <w:color w:val="auto"/>
                      <w:kern w:val="0"/>
                      <w:sz w:val="21"/>
                      <w:szCs w:val="21"/>
                      <w:highlight w:val="none"/>
                    </w:rPr>
                    <w:t>②定期通风换气；</w:t>
                  </w:r>
                </w:p>
              </w:tc>
              <w:tc>
                <w:tcPr>
                  <w:tcW w:w="800" w:type="pct"/>
                  <w:vAlign w:val="center"/>
                </w:tcPr>
                <w:p w14:paraId="015D31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 w:val="21"/>
                      <w:szCs w:val="21"/>
                      <w:highlight w:val="none"/>
                    </w:rPr>
                  </w:pPr>
                  <w:r>
                    <w:rPr>
                      <w:rFonts w:hint="eastAsia"/>
                      <w:color w:val="auto"/>
                      <w:kern w:val="0"/>
                      <w:sz w:val="21"/>
                      <w:szCs w:val="21"/>
                      <w:highlight w:val="none"/>
                    </w:rPr>
                    <w:t>是</w:t>
                  </w:r>
                </w:p>
              </w:tc>
            </w:tr>
            <w:tr w14:paraId="7237B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90" w:type="pct"/>
                  <w:vAlign w:val="center"/>
                </w:tcPr>
                <w:p w14:paraId="64CCABD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 w:val="21"/>
                      <w:szCs w:val="21"/>
                      <w:highlight w:val="none"/>
                    </w:rPr>
                  </w:pPr>
                  <w:r>
                    <w:rPr>
                      <w:rFonts w:hint="eastAsia"/>
                      <w:color w:val="auto"/>
                      <w:kern w:val="0"/>
                      <w:sz w:val="21"/>
                      <w:szCs w:val="21"/>
                      <w:highlight w:val="none"/>
                    </w:rPr>
                    <w:t>液态车间发酵、搅拌等区域</w:t>
                  </w:r>
                </w:p>
              </w:tc>
              <w:tc>
                <w:tcPr>
                  <w:tcW w:w="754" w:type="pct"/>
                  <w:vAlign w:val="center"/>
                </w:tcPr>
                <w:p w14:paraId="1AEA4A14">
                  <w:pPr>
                    <w:keepNext w:val="0"/>
                    <w:keepLines w:val="0"/>
                    <w:pageBreakBefore w:val="0"/>
                    <w:widowControl w:val="0"/>
                    <w:kinsoku/>
                    <w:wordWrap/>
                    <w:overflowPunct/>
                    <w:topLinePunct w:val="0"/>
                    <w:autoSpaceDE/>
                    <w:autoSpaceDN/>
                    <w:bidi w:val="0"/>
                    <w:adjustRightInd/>
                    <w:snapToGrid/>
                    <w:spacing w:line="320" w:lineRule="exact"/>
                    <w:textAlignment w:val="auto"/>
                    <w:rPr>
                      <w:bCs/>
                      <w:color w:val="auto"/>
                      <w:kern w:val="0"/>
                      <w:sz w:val="21"/>
                      <w:szCs w:val="21"/>
                      <w:highlight w:val="none"/>
                    </w:rPr>
                  </w:pPr>
                  <w:r>
                    <w:rPr>
                      <w:rFonts w:hint="eastAsia"/>
                      <w:bCs/>
                      <w:color w:val="auto"/>
                      <w:kern w:val="0"/>
                      <w:sz w:val="21"/>
                      <w:szCs w:val="21"/>
                      <w:highlight w:val="none"/>
                    </w:rPr>
                    <w:t>氨、硫化氢、臭气浓度</w:t>
                  </w:r>
                </w:p>
              </w:tc>
              <w:tc>
                <w:tcPr>
                  <w:tcW w:w="866" w:type="pct"/>
                  <w:shd w:val="clear" w:color="auto" w:fill="auto"/>
                  <w:vAlign w:val="center"/>
                </w:tcPr>
                <w:p w14:paraId="2928A05B">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kern w:val="0"/>
                      <w:sz w:val="21"/>
                      <w:szCs w:val="21"/>
                      <w:highlight w:val="none"/>
                    </w:rPr>
                  </w:pPr>
                  <w:r>
                    <w:rPr>
                      <w:rFonts w:hint="eastAsia"/>
                      <w:color w:val="auto"/>
                      <w:kern w:val="0"/>
                      <w:sz w:val="21"/>
                      <w:szCs w:val="21"/>
                      <w:highlight w:val="none"/>
                    </w:rPr>
                    <w:t>生物除臭（滴滤法，过滤法）</w:t>
                  </w:r>
                </w:p>
              </w:tc>
              <w:tc>
                <w:tcPr>
                  <w:tcW w:w="1488" w:type="pct"/>
                  <w:shd w:val="clear" w:color="auto" w:fill="auto"/>
                  <w:vAlign w:val="center"/>
                </w:tcPr>
                <w:p w14:paraId="169C9AA7">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kern w:val="0"/>
                      <w:sz w:val="21"/>
                      <w:szCs w:val="21"/>
                      <w:highlight w:val="none"/>
                    </w:rPr>
                  </w:pPr>
                  <w:r>
                    <w:rPr>
                      <w:rFonts w:hint="eastAsia"/>
                      <w:color w:val="auto"/>
                      <w:kern w:val="0"/>
                      <w:sz w:val="21"/>
                      <w:szCs w:val="21"/>
                      <w:highlight w:val="none"/>
                    </w:rPr>
                    <w:t>①喷洒生物除臭剂；</w:t>
                  </w:r>
                </w:p>
                <w:p w14:paraId="10E5B91C">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kern w:val="0"/>
                      <w:sz w:val="21"/>
                      <w:szCs w:val="21"/>
                      <w:highlight w:val="none"/>
                    </w:rPr>
                  </w:pPr>
                  <w:r>
                    <w:rPr>
                      <w:rFonts w:hint="eastAsia"/>
                      <w:color w:val="auto"/>
                      <w:kern w:val="0"/>
                      <w:sz w:val="21"/>
                      <w:szCs w:val="21"/>
                      <w:highlight w:val="none"/>
                    </w:rPr>
                    <w:t>②定期通风换气；</w:t>
                  </w:r>
                </w:p>
              </w:tc>
              <w:tc>
                <w:tcPr>
                  <w:tcW w:w="800" w:type="pct"/>
                  <w:shd w:val="clear" w:color="auto" w:fill="auto"/>
                  <w:vAlign w:val="center"/>
                </w:tcPr>
                <w:p w14:paraId="587096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 w:val="21"/>
                      <w:szCs w:val="21"/>
                      <w:highlight w:val="none"/>
                    </w:rPr>
                  </w:pPr>
                  <w:r>
                    <w:rPr>
                      <w:rFonts w:hint="eastAsia"/>
                      <w:color w:val="auto"/>
                      <w:kern w:val="0"/>
                      <w:sz w:val="21"/>
                      <w:szCs w:val="21"/>
                      <w:highlight w:val="none"/>
                    </w:rPr>
                    <w:t>是</w:t>
                  </w:r>
                </w:p>
              </w:tc>
            </w:tr>
          </w:tbl>
          <w:p w14:paraId="14E56DD5">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eastAsia="宋体"/>
                <w:b/>
                <w:bCs/>
                <w:color w:val="auto"/>
                <w:kern w:val="0"/>
                <w:sz w:val="24"/>
                <w:szCs w:val="24"/>
                <w:highlight w:val="none"/>
                <w:lang w:eastAsia="zh-CN"/>
              </w:rPr>
            </w:pPr>
            <w:r>
              <w:rPr>
                <w:rFonts w:hint="eastAsia"/>
                <w:b/>
                <w:bCs/>
                <w:color w:val="auto"/>
                <w:kern w:val="0"/>
                <w:sz w:val="24"/>
                <w:szCs w:val="24"/>
                <w:highlight w:val="none"/>
                <w:lang w:eastAsia="zh-CN"/>
              </w:rPr>
              <w:t>（</w:t>
            </w:r>
            <w:r>
              <w:rPr>
                <w:rFonts w:hint="eastAsia"/>
                <w:b/>
                <w:bCs/>
                <w:color w:val="auto"/>
                <w:kern w:val="0"/>
                <w:sz w:val="24"/>
                <w:szCs w:val="24"/>
                <w:highlight w:val="none"/>
                <w:lang w:val="en-US" w:eastAsia="zh-CN"/>
              </w:rPr>
              <w:t>6</w:t>
            </w:r>
            <w:r>
              <w:rPr>
                <w:rFonts w:hint="eastAsia"/>
                <w:b/>
                <w:bCs/>
                <w:color w:val="auto"/>
                <w:kern w:val="0"/>
                <w:sz w:val="24"/>
                <w:szCs w:val="24"/>
                <w:highlight w:val="none"/>
                <w:lang w:eastAsia="zh-CN"/>
              </w:rPr>
              <w:t>）防护距离</w:t>
            </w:r>
          </w:p>
          <w:p w14:paraId="717DA0CA">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hint="default" w:eastAsia="宋体"/>
                <w:b/>
                <w:color w:val="auto"/>
                <w:kern w:val="0"/>
                <w:sz w:val="24"/>
                <w:szCs w:val="24"/>
                <w:highlight w:val="none"/>
                <w:lang w:val="en-US" w:eastAsia="zh-CN"/>
              </w:rPr>
            </w:pPr>
            <w:r>
              <w:rPr>
                <w:rFonts w:hint="eastAsia"/>
                <w:b/>
                <w:color w:val="auto"/>
                <w:kern w:val="0"/>
                <w:sz w:val="24"/>
                <w:szCs w:val="24"/>
                <w:highlight w:val="none"/>
                <w:lang w:val="en-US" w:eastAsia="zh-CN"/>
              </w:rPr>
              <w:t>1）大气防护距离</w:t>
            </w:r>
          </w:p>
          <w:p w14:paraId="4BCE9221">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b w:val="0"/>
                <w:bCs/>
                <w:color w:val="auto"/>
                <w:kern w:val="0"/>
                <w:sz w:val="24"/>
                <w:szCs w:val="24"/>
                <w:highlight w:val="none"/>
              </w:rPr>
            </w:pPr>
            <w:r>
              <w:rPr>
                <w:rFonts w:hint="eastAsia"/>
                <w:b w:val="0"/>
                <w:bCs/>
                <w:color w:val="auto"/>
                <w:kern w:val="0"/>
                <w:sz w:val="24"/>
                <w:szCs w:val="24"/>
                <w:highlight w:val="none"/>
              </w:rPr>
              <w:t>根据《环境影响评价技术导则 大气环境》(HJ2.2-2018)：“对于项目厂界浓度满足大气污染物厂界浓度限值，但厂界外大气污染物短期贡献浓度超过环境质量浓度限值的，可以自厂界外设置一定范围的大气环境防护区域，以确保大气环境防护区域外的污染物贡献浓度满足环境质量标准”。</w:t>
            </w:r>
          </w:p>
          <w:p w14:paraId="16A0F56B">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b w:val="0"/>
                <w:bCs/>
                <w:color w:val="auto"/>
                <w:kern w:val="0"/>
                <w:sz w:val="24"/>
                <w:szCs w:val="24"/>
                <w:highlight w:val="none"/>
              </w:rPr>
            </w:pPr>
            <w:r>
              <w:rPr>
                <w:rFonts w:hint="eastAsia"/>
                <w:b w:val="0"/>
                <w:bCs/>
                <w:color w:val="auto"/>
                <w:kern w:val="0"/>
                <w:sz w:val="24"/>
                <w:szCs w:val="24"/>
                <w:highlight w:val="none"/>
                <w:lang w:val="en-US" w:eastAsia="zh-CN"/>
              </w:rPr>
              <w:t>结合区域环境质量现状预测，本项目大气污染物在周边环境保护目标处的贡献值均远低于环境质量标准限值，不会导致区域大气环境质量超标或恶化，依据HJ2.2-2018相关规定，本项目无需设置大气环境防护距离。</w:t>
            </w:r>
          </w:p>
          <w:p w14:paraId="14AA1267">
            <w:pPr>
              <w:keepNext w:val="0"/>
              <w:keepLines w:val="0"/>
              <w:pageBreakBefore w:val="0"/>
              <w:numPr>
                <w:ilvl w:val="0"/>
                <w:numId w:val="0"/>
              </w:numPr>
              <w:kinsoku/>
              <w:wordWrap/>
              <w:overflowPunct/>
              <w:topLinePunct w:val="0"/>
              <w:autoSpaceDE/>
              <w:autoSpaceDN/>
              <w:bidi w:val="0"/>
              <w:adjustRightInd/>
              <w:snapToGrid/>
              <w:spacing w:line="440" w:lineRule="exact"/>
              <w:ind w:left="0" w:leftChars="0" w:firstLine="482" w:firstLineChars="200"/>
              <w:textAlignment w:val="auto"/>
              <w:rPr>
                <w:rFonts w:hint="eastAsia" w:cs="Times New Roman"/>
                <w:b/>
                <w:color w:val="auto"/>
                <w:kern w:val="0"/>
                <w:sz w:val="24"/>
                <w:szCs w:val="24"/>
                <w:highlight w:val="none"/>
                <w:lang w:val="en-US" w:eastAsia="zh-CN" w:bidi="ar-SA"/>
              </w:rPr>
            </w:pPr>
          </w:p>
          <w:p w14:paraId="2EE42502">
            <w:pPr>
              <w:keepNext w:val="0"/>
              <w:keepLines w:val="0"/>
              <w:pageBreakBefore w:val="0"/>
              <w:numPr>
                <w:ilvl w:val="0"/>
                <w:numId w:val="0"/>
              </w:numPr>
              <w:kinsoku/>
              <w:wordWrap/>
              <w:overflowPunct/>
              <w:topLinePunct w:val="0"/>
              <w:autoSpaceDE/>
              <w:autoSpaceDN/>
              <w:bidi w:val="0"/>
              <w:adjustRightInd/>
              <w:snapToGrid/>
              <w:spacing w:line="440" w:lineRule="exact"/>
              <w:ind w:left="0" w:leftChars="0" w:firstLine="482" w:firstLineChars="200"/>
              <w:textAlignment w:val="auto"/>
              <w:rPr>
                <w:rFonts w:hint="eastAsia"/>
                <w:b/>
                <w:color w:val="auto"/>
                <w:kern w:val="0"/>
                <w:sz w:val="24"/>
                <w:szCs w:val="24"/>
                <w:highlight w:val="none"/>
                <w:lang w:val="en-US" w:eastAsia="zh-CN"/>
              </w:rPr>
            </w:pPr>
            <w:r>
              <w:rPr>
                <w:rFonts w:hint="eastAsia" w:cs="Times New Roman"/>
                <w:b/>
                <w:color w:val="auto"/>
                <w:kern w:val="0"/>
                <w:sz w:val="24"/>
                <w:szCs w:val="24"/>
                <w:highlight w:val="none"/>
                <w:lang w:val="en-US" w:eastAsia="zh-CN" w:bidi="ar-SA"/>
              </w:rPr>
              <w:t>2</w:t>
            </w:r>
            <w:r>
              <w:rPr>
                <w:rFonts w:hint="eastAsia" w:ascii="Times New Roman" w:hAnsi="Times New Roman" w:eastAsia="宋体" w:cs="Times New Roman"/>
                <w:b/>
                <w:color w:val="auto"/>
                <w:kern w:val="0"/>
                <w:sz w:val="24"/>
                <w:szCs w:val="24"/>
                <w:highlight w:val="none"/>
                <w:lang w:val="en-US" w:eastAsia="zh-CN" w:bidi="ar-SA"/>
              </w:rPr>
              <w:t>）</w:t>
            </w:r>
            <w:r>
              <w:rPr>
                <w:rFonts w:hint="eastAsia"/>
                <w:b/>
                <w:color w:val="auto"/>
                <w:kern w:val="0"/>
                <w:sz w:val="24"/>
                <w:szCs w:val="24"/>
                <w:highlight w:val="none"/>
                <w:lang w:val="en-US" w:eastAsia="zh-CN"/>
              </w:rPr>
              <w:t>卫生防护距离</w:t>
            </w:r>
          </w:p>
          <w:p w14:paraId="1C2AC312">
            <w:pPr>
              <w:pStyle w:val="133"/>
              <w:keepNext w:val="0"/>
              <w:keepLines w:val="0"/>
              <w:pageBreakBefore w:val="0"/>
              <w:widowControl/>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根据《大气有害物质无组织排放卫生防护距离推导技术导则》（GB/T39499-2020），卫生防护距离系指产生有害因素</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无组织排放源所在的生产单元（生产区、车间或工段）与居民区之间</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的最小距离。</w:t>
            </w:r>
          </w:p>
          <w:p w14:paraId="7967D91E">
            <w:pPr>
              <w:pStyle w:val="133"/>
              <w:keepNext w:val="0"/>
              <w:keepLines w:val="0"/>
              <w:pageBreakBefore w:val="0"/>
              <w:widowControl/>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卫生防护距离在100m以内时，级差为50m，超过100m，但小于或等于1000m时，级差为100m；超过1000m以上，级差为200m</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p>
          <w:p w14:paraId="06FD4BB8">
            <w:pPr>
              <w:pStyle w:val="133"/>
              <w:keepNext w:val="0"/>
              <w:keepLines w:val="0"/>
              <w:pageBreakBefore w:val="0"/>
              <w:widowControl/>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当目标企业无组织排放存在多种有毒有害污染物时,基于单个污染物的等标排放量计算结果</w:t>
            </w:r>
            <w:r>
              <w:rPr>
                <w:rFonts w:hint="eastAsia"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优先选择等标排放量最大的污染物为企业无组织排放的主要特征大气有害物质。</w:t>
            </w:r>
          </w:p>
          <w:p w14:paraId="644484CB">
            <w:pPr>
              <w:pStyle w:val="133"/>
              <w:keepNext w:val="0"/>
              <w:keepLines w:val="0"/>
              <w:pageBreakBefore w:val="0"/>
              <w:widowControl/>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当前两种污染物的等标排放量相差在10%以内时</w:t>
            </w:r>
            <w:r>
              <w:rPr>
                <w:rFonts w:hint="eastAsia"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需要同时选择这两种特征大气有害物质分别计算卫生防护距离初值</w:t>
            </w:r>
            <w:r>
              <w:rPr>
                <w:rFonts w:hint="eastAsia" w:eastAsia="宋体" w:cs="Times New Roman"/>
                <w:color w:val="auto"/>
                <w:sz w:val="24"/>
                <w:szCs w:val="24"/>
                <w:highlight w:val="none"/>
                <w:lang w:eastAsia="zh-CN"/>
              </w:rPr>
              <w:t>，</w:t>
            </w:r>
            <w:r>
              <w:rPr>
                <w:rFonts w:hint="eastAsia" w:eastAsia="宋体" w:cs="Times New Roman"/>
                <w:color w:val="auto"/>
                <w:sz w:val="24"/>
                <w:szCs w:val="24"/>
                <w:highlight w:val="none"/>
                <w:lang w:val="en-US" w:eastAsia="zh-CN"/>
              </w:rPr>
              <w:t>本项目氨和硫化氢等级排放量超过10%，且硫化氢的</w:t>
            </w:r>
            <w:r>
              <w:rPr>
                <w:rFonts w:hint="default" w:ascii="Times New Roman" w:hAnsi="Times New Roman" w:eastAsia="宋体" w:cs="Times New Roman"/>
                <w:color w:val="auto"/>
                <w:sz w:val="24"/>
                <w:szCs w:val="24"/>
                <w:highlight w:val="none"/>
              </w:rPr>
              <w:t>等标排放量最大</w:t>
            </w:r>
            <w:r>
              <w:rPr>
                <w:rFonts w:hint="eastAsia" w:eastAsia="宋体" w:cs="Times New Roman"/>
                <w:color w:val="auto"/>
                <w:sz w:val="24"/>
                <w:szCs w:val="24"/>
                <w:highlight w:val="none"/>
                <w:lang w:eastAsia="zh-CN"/>
              </w:rPr>
              <w:t>，</w:t>
            </w:r>
            <w:r>
              <w:rPr>
                <w:rFonts w:hint="eastAsia" w:eastAsia="宋体" w:cs="Times New Roman"/>
                <w:color w:val="auto"/>
                <w:sz w:val="24"/>
                <w:szCs w:val="24"/>
                <w:highlight w:val="none"/>
                <w:lang w:val="en-US" w:eastAsia="zh-CN"/>
              </w:rPr>
              <w:t>因此本项目选择硫化氢作为预测污染物。</w:t>
            </w:r>
          </w:p>
          <w:p w14:paraId="0CBAF430">
            <w:pPr>
              <w:pStyle w:val="2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highlight w:val="none"/>
                <w:lang w:bidi="ar"/>
              </w:rPr>
              <w:t>表4-</w:t>
            </w:r>
            <w:r>
              <w:rPr>
                <w:rFonts w:hint="eastAsia" w:cs="Times New Roman"/>
                <w:b/>
                <w:bCs/>
                <w:color w:val="auto"/>
                <w:kern w:val="2"/>
                <w:sz w:val="21"/>
                <w:szCs w:val="21"/>
                <w:highlight w:val="none"/>
                <w:lang w:val="en-US" w:eastAsia="zh-CN" w:bidi="ar"/>
              </w:rPr>
              <w:t>14</w:t>
            </w:r>
            <w:r>
              <w:rPr>
                <w:rFonts w:hint="default" w:ascii="Times New Roman" w:hAnsi="Times New Roman" w:eastAsia="宋体" w:cs="Times New Roman"/>
                <w:b/>
                <w:bCs/>
                <w:color w:val="auto"/>
                <w:kern w:val="2"/>
                <w:sz w:val="21"/>
                <w:szCs w:val="21"/>
                <w:highlight w:val="none"/>
                <w:lang w:bidi="ar"/>
              </w:rPr>
              <w:t xml:space="preserve">  </w:t>
            </w:r>
            <w:r>
              <w:rPr>
                <w:rFonts w:hint="eastAsia" w:cs="Times New Roman"/>
                <w:b/>
                <w:bCs/>
                <w:color w:val="auto"/>
                <w:kern w:val="2"/>
                <w:sz w:val="21"/>
                <w:szCs w:val="21"/>
                <w:highlight w:val="none"/>
                <w:lang w:val="en-US" w:eastAsia="zh-CN" w:bidi="ar"/>
              </w:rPr>
              <w:t>预测指标选取一览表</w:t>
            </w:r>
          </w:p>
          <w:tbl>
            <w:tblPr>
              <w:tblStyle w:val="26"/>
              <w:tblW w:w="86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1180"/>
              <w:gridCol w:w="1348"/>
              <w:gridCol w:w="1230"/>
              <w:gridCol w:w="1532"/>
              <w:gridCol w:w="912"/>
              <w:gridCol w:w="1290"/>
            </w:tblGrid>
            <w:tr w14:paraId="6147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1" w:type="dxa"/>
                  <w:tcBorders>
                    <w:top w:val="single" w:color="auto" w:sz="4" w:space="0"/>
                    <w:left w:val="single" w:color="auto" w:sz="4" w:space="0"/>
                    <w:bottom w:val="single" w:color="auto" w:sz="4" w:space="0"/>
                    <w:right w:val="single" w:color="auto" w:sz="4" w:space="0"/>
                  </w:tcBorders>
                  <w:noWrap w:val="0"/>
                  <w:vAlign w:val="center"/>
                </w:tcPr>
                <w:p w14:paraId="63D0E712">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b/>
                      <w:bCs w:val="0"/>
                      <w:color w:val="auto"/>
                      <w:sz w:val="21"/>
                      <w:szCs w:val="21"/>
                      <w:highlight w:val="none"/>
                      <w:lang w:bidi="ar"/>
                    </w:rPr>
                  </w:pPr>
                  <w:r>
                    <w:rPr>
                      <w:rFonts w:hint="default" w:ascii="Times New Roman" w:hAnsi="Times New Roman" w:eastAsia="宋体" w:cs="Times New Roman"/>
                      <w:b/>
                      <w:bCs w:val="0"/>
                      <w:color w:val="auto"/>
                      <w:sz w:val="21"/>
                      <w:szCs w:val="21"/>
                      <w:highlight w:val="none"/>
                      <w:lang w:bidi="ar"/>
                    </w:rPr>
                    <w:t>产污单元</w:t>
                  </w:r>
                </w:p>
              </w:tc>
              <w:tc>
                <w:tcPr>
                  <w:tcW w:w="1180" w:type="dxa"/>
                  <w:tcBorders>
                    <w:top w:val="single" w:color="auto" w:sz="4" w:space="0"/>
                    <w:left w:val="single" w:color="auto" w:sz="4" w:space="0"/>
                    <w:bottom w:val="single" w:color="auto" w:sz="4" w:space="0"/>
                    <w:right w:val="single" w:color="auto" w:sz="4" w:space="0"/>
                  </w:tcBorders>
                  <w:noWrap w:val="0"/>
                  <w:vAlign w:val="center"/>
                </w:tcPr>
                <w:p w14:paraId="17621672">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lang w:bidi="ar"/>
                    </w:rPr>
                    <w:t>污染物</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35F739C0">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lang w:bidi="ar"/>
                    </w:rPr>
                    <w:t>C</w:t>
                  </w:r>
                  <w:r>
                    <w:rPr>
                      <w:rFonts w:hint="default" w:ascii="Times New Roman" w:hAnsi="Times New Roman" w:eastAsia="宋体" w:cs="Times New Roman"/>
                      <w:b/>
                      <w:bCs w:val="0"/>
                      <w:color w:val="auto"/>
                      <w:sz w:val="21"/>
                      <w:szCs w:val="21"/>
                      <w:highlight w:val="none"/>
                      <w:vertAlign w:val="subscript"/>
                      <w:lang w:bidi="ar"/>
                    </w:rPr>
                    <w:t>m</w:t>
                  </w:r>
                  <w:r>
                    <w:rPr>
                      <w:rFonts w:hint="default" w:ascii="Times New Roman" w:hAnsi="Times New Roman" w:eastAsia="宋体" w:cs="Times New Roman"/>
                      <w:b/>
                      <w:bCs w:val="0"/>
                      <w:color w:val="auto"/>
                      <w:sz w:val="21"/>
                      <w:szCs w:val="21"/>
                      <w:highlight w:val="none"/>
                    </w:rPr>
                    <w:t>（mg/m</w:t>
                  </w:r>
                  <w:r>
                    <w:rPr>
                      <w:rFonts w:hint="default" w:ascii="Times New Roman" w:hAnsi="Times New Roman" w:eastAsia="宋体" w:cs="Times New Roman"/>
                      <w:b/>
                      <w:bCs w:val="0"/>
                      <w:color w:val="auto"/>
                      <w:sz w:val="21"/>
                      <w:szCs w:val="21"/>
                      <w:highlight w:val="none"/>
                      <w:vertAlign w:val="superscript"/>
                    </w:rPr>
                    <w:t>3</w:t>
                  </w:r>
                  <w:r>
                    <w:rPr>
                      <w:rFonts w:hint="default" w:ascii="Times New Roman" w:hAnsi="Times New Roman" w:eastAsia="宋体" w:cs="Times New Roman"/>
                      <w:b/>
                      <w:bCs w:val="0"/>
                      <w:color w:val="auto"/>
                      <w:sz w:val="21"/>
                      <w:szCs w:val="21"/>
                      <w:highlight w:val="none"/>
                    </w:rPr>
                    <w:t>）</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28F7F993">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lang w:bidi="ar"/>
                    </w:rPr>
                    <w:t>Q</w:t>
                  </w:r>
                  <w:r>
                    <w:rPr>
                      <w:rFonts w:hint="default" w:ascii="Times New Roman" w:hAnsi="Times New Roman" w:eastAsia="宋体" w:cs="Times New Roman"/>
                      <w:b/>
                      <w:bCs w:val="0"/>
                      <w:color w:val="auto"/>
                      <w:sz w:val="21"/>
                      <w:szCs w:val="21"/>
                      <w:highlight w:val="none"/>
                      <w:vertAlign w:val="subscript"/>
                      <w:lang w:bidi="ar"/>
                    </w:rPr>
                    <w:t>c</w:t>
                  </w:r>
                  <w:r>
                    <w:rPr>
                      <w:rFonts w:hint="default" w:ascii="Times New Roman" w:hAnsi="Times New Roman" w:eastAsia="宋体" w:cs="Times New Roman"/>
                      <w:b/>
                      <w:bCs w:val="0"/>
                      <w:color w:val="auto"/>
                      <w:sz w:val="21"/>
                      <w:szCs w:val="21"/>
                      <w:highlight w:val="none"/>
                    </w:rPr>
                    <w:t>（kg/h）</w:t>
                  </w:r>
                </w:p>
              </w:tc>
              <w:tc>
                <w:tcPr>
                  <w:tcW w:w="1532" w:type="dxa"/>
                  <w:tcBorders>
                    <w:top w:val="single" w:color="auto" w:sz="4" w:space="0"/>
                    <w:left w:val="single" w:color="auto" w:sz="4" w:space="0"/>
                    <w:bottom w:val="single" w:color="auto" w:sz="4" w:space="0"/>
                    <w:right w:val="single" w:color="auto" w:sz="4" w:space="0"/>
                  </w:tcBorders>
                  <w:noWrap w:val="0"/>
                  <w:vAlign w:val="center"/>
                </w:tcPr>
                <w:p w14:paraId="6080C4A6">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等标排放量</w:t>
                  </w:r>
                  <w:r>
                    <w:rPr>
                      <w:rFonts w:hint="eastAsia" w:ascii="Times New Roman" w:hAnsi="Times New Roman" w:eastAsia="宋体" w:cs="Times New Roman"/>
                      <w:b/>
                      <w:bCs w:val="0"/>
                      <w:color w:val="auto"/>
                      <w:sz w:val="21"/>
                      <w:szCs w:val="21"/>
                      <w:highlight w:val="none"/>
                      <w:lang w:eastAsia="zh-CN"/>
                    </w:rPr>
                    <w:t>（</w:t>
                  </w:r>
                  <w:r>
                    <w:rPr>
                      <w:rFonts w:hint="default" w:ascii="Times New Roman" w:hAnsi="Times New Roman" w:eastAsia="宋体" w:cs="Times New Roman"/>
                      <w:b/>
                      <w:bCs w:val="0"/>
                      <w:color w:val="auto"/>
                      <w:sz w:val="21"/>
                      <w:szCs w:val="21"/>
                      <w:highlight w:val="none"/>
                      <w:lang w:bidi="ar"/>
                    </w:rPr>
                    <w:t>Q</w:t>
                  </w:r>
                  <w:r>
                    <w:rPr>
                      <w:rFonts w:hint="default" w:ascii="Times New Roman" w:hAnsi="Times New Roman" w:eastAsia="宋体" w:cs="Times New Roman"/>
                      <w:b/>
                      <w:bCs w:val="0"/>
                      <w:color w:val="auto"/>
                      <w:sz w:val="21"/>
                      <w:szCs w:val="21"/>
                      <w:highlight w:val="none"/>
                      <w:vertAlign w:val="subscript"/>
                      <w:lang w:bidi="ar"/>
                    </w:rPr>
                    <w:t>c</w:t>
                  </w:r>
                  <w:r>
                    <w:rPr>
                      <w:rFonts w:hint="eastAsia" w:ascii="Times New Roman" w:hAnsi="Times New Roman" w:eastAsia="宋体" w:cs="Times New Roman"/>
                      <w:b/>
                      <w:bCs w:val="0"/>
                      <w:color w:val="auto"/>
                      <w:sz w:val="21"/>
                      <w:szCs w:val="21"/>
                      <w:highlight w:val="none"/>
                      <w:vertAlign w:val="baseline"/>
                      <w:lang w:val="en-US" w:eastAsia="zh-CN" w:bidi="ar"/>
                    </w:rPr>
                    <w:t>/</w:t>
                  </w:r>
                  <w:r>
                    <w:rPr>
                      <w:rFonts w:hint="default" w:ascii="Times New Roman" w:hAnsi="Times New Roman" w:eastAsia="宋体" w:cs="Times New Roman"/>
                      <w:b/>
                      <w:bCs w:val="0"/>
                      <w:color w:val="auto"/>
                      <w:sz w:val="21"/>
                      <w:szCs w:val="21"/>
                      <w:highlight w:val="none"/>
                      <w:lang w:bidi="ar"/>
                    </w:rPr>
                    <w:t>C</w:t>
                  </w:r>
                  <w:r>
                    <w:rPr>
                      <w:rFonts w:hint="default" w:ascii="Times New Roman" w:hAnsi="Times New Roman" w:eastAsia="宋体" w:cs="Times New Roman"/>
                      <w:b/>
                      <w:bCs w:val="0"/>
                      <w:color w:val="auto"/>
                      <w:sz w:val="21"/>
                      <w:szCs w:val="21"/>
                      <w:highlight w:val="none"/>
                      <w:vertAlign w:val="subscript"/>
                      <w:lang w:bidi="ar"/>
                    </w:rPr>
                    <w:t>m</w:t>
                  </w:r>
                  <w:r>
                    <w:rPr>
                      <w:rFonts w:hint="eastAsia" w:ascii="Times New Roman" w:hAnsi="Times New Roman" w:eastAsia="宋体" w:cs="Times New Roman"/>
                      <w:b/>
                      <w:bCs w:val="0"/>
                      <w:color w:val="auto"/>
                      <w:sz w:val="21"/>
                      <w:szCs w:val="21"/>
                      <w:highlight w:val="none"/>
                      <w:lang w:eastAsia="zh-CN"/>
                    </w:rPr>
                    <w:t>）</w:t>
                  </w:r>
                </w:p>
              </w:tc>
              <w:tc>
                <w:tcPr>
                  <w:tcW w:w="912" w:type="dxa"/>
                  <w:tcBorders>
                    <w:top w:val="single" w:color="auto" w:sz="4" w:space="0"/>
                    <w:left w:val="single" w:color="auto" w:sz="4" w:space="0"/>
                    <w:bottom w:val="single" w:color="auto" w:sz="4" w:space="0"/>
                    <w:right w:val="single" w:color="auto" w:sz="4" w:space="0"/>
                  </w:tcBorders>
                  <w:noWrap w:val="0"/>
                  <w:vAlign w:val="center"/>
                </w:tcPr>
                <w:p w14:paraId="42EF35B4">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b/>
                      <w:bCs w:val="0"/>
                      <w:color w:val="auto"/>
                      <w:sz w:val="21"/>
                      <w:szCs w:val="21"/>
                      <w:highlight w:val="none"/>
                      <w:lang w:val="en-US" w:eastAsia="zh-CN"/>
                    </w:rPr>
                  </w:pPr>
                  <w:r>
                    <w:rPr>
                      <w:rFonts w:hint="eastAsia" w:ascii="Times New Roman" w:hAnsi="Times New Roman" w:eastAsia="宋体" w:cs="Times New Roman"/>
                      <w:b/>
                      <w:bCs w:val="0"/>
                      <w:color w:val="auto"/>
                      <w:sz w:val="21"/>
                      <w:szCs w:val="21"/>
                      <w:highlight w:val="none"/>
                      <w:lang w:val="en-US" w:eastAsia="zh-CN"/>
                    </w:rPr>
                    <w:t>比值</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35B6209">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b/>
                      <w:bCs w:val="0"/>
                      <w:color w:val="auto"/>
                      <w:sz w:val="21"/>
                      <w:szCs w:val="21"/>
                      <w:highlight w:val="none"/>
                      <w:lang w:val="en-US" w:eastAsia="zh-CN" w:bidi="ar"/>
                    </w:rPr>
                  </w:pPr>
                  <w:r>
                    <w:rPr>
                      <w:rFonts w:hint="eastAsia" w:ascii="Times New Roman" w:hAnsi="Times New Roman" w:eastAsia="宋体" w:cs="Times New Roman"/>
                      <w:b/>
                      <w:bCs w:val="0"/>
                      <w:color w:val="auto"/>
                      <w:sz w:val="21"/>
                      <w:szCs w:val="21"/>
                      <w:highlight w:val="none"/>
                      <w:lang w:val="en-US" w:eastAsia="zh-CN" w:bidi="ar"/>
                    </w:rPr>
                    <w:t>预测指标</w:t>
                  </w:r>
                </w:p>
              </w:tc>
            </w:tr>
            <w:tr w14:paraId="7C491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1" w:type="dxa"/>
                  <w:vMerge w:val="restart"/>
                  <w:tcBorders>
                    <w:top w:val="single" w:color="auto" w:sz="4" w:space="0"/>
                    <w:left w:val="single" w:color="auto" w:sz="4" w:space="0"/>
                    <w:right w:val="single" w:color="auto" w:sz="4" w:space="0"/>
                  </w:tcBorders>
                  <w:noWrap w:val="0"/>
                  <w:vAlign w:val="center"/>
                </w:tcPr>
                <w:p w14:paraId="726BBB8C">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液体复合微生物肥生产车间</w:t>
                  </w:r>
                </w:p>
              </w:tc>
              <w:tc>
                <w:tcPr>
                  <w:tcW w:w="1180" w:type="dxa"/>
                  <w:tcBorders>
                    <w:top w:val="single" w:color="auto" w:sz="4" w:space="0"/>
                    <w:left w:val="single" w:color="auto" w:sz="4" w:space="0"/>
                    <w:bottom w:val="single" w:color="auto" w:sz="4" w:space="0"/>
                    <w:right w:val="single" w:color="auto" w:sz="4" w:space="0"/>
                  </w:tcBorders>
                  <w:noWrap w:val="0"/>
                  <w:vAlign w:val="center"/>
                </w:tcPr>
                <w:p w14:paraId="6B668D6E">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氨</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4224D673">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A2072B8">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0.018</w:t>
                  </w:r>
                </w:p>
              </w:tc>
              <w:tc>
                <w:tcPr>
                  <w:tcW w:w="1532" w:type="dxa"/>
                  <w:tcBorders>
                    <w:top w:val="single" w:color="auto" w:sz="4" w:space="0"/>
                    <w:left w:val="single" w:color="auto" w:sz="4" w:space="0"/>
                    <w:bottom w:val="single" w:color="auto" w:sz="4" w:space="0"/>
                    <w:right w:val="single" w:color="auto" w:sz="4" w:space="0"/>
                  </w:tcBorders>
                  <w:noWrap w:val="0"/>
                  <w:vAlign w:val="center"/>
                </w:tcPr>
                <w:p w14:paraId="60F7CF23">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0.09</w:t>
                  </w:r>
                </w:p>
              </w:tc>
              <w:tc>
                <w:tcPr>
                  <w:tcW w:w="912" w:type="dxa"/>
                  <w:vMerge w:val="restart"/>
                  <w:tcBorders>
                    <w:top w:val="single" w:color="auto" w:sz="4" w:space="0"/>
                    <w:left w:val="single" w:color="auto" w:sz="4" w:space="0"/>
                    <w:right w:val="single" w:color="auto" w:sz="4" w:space="0"/>
                  </w:tcBorders>
                  <w:noWrap w:val="0"/>
                  <w:vAlign w:val="center"/>
                </w:tcPr>
                <w:p w14:paraId="29BD0E68">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55%</w:t>
                  </w:r>
                  <w:r>
                    <w:rPr>
                      <w:rFonts w:hint="eastAsia" w:cs="Times New Roman"/>
                      <w:color w:val="auto"/>
                      <w:sz w:val="21"/>
                      <w:szCs w:val="21"/>
                      <w:highlight w:val="none"/>
                      <w:lang w:val="en-US" w:eastAsia="zh-CN"/>
                    </w:rPr>
                    <w:t>＞10%</w:t>
                  </w:r>
                </w:p>
              </w:tc>
              <w:tc>
                <w:tcPr>
                  <w:tcW w:w="1290" w:type="dxa"/>
                  <w:vMerge w:val="restart"/>
                  <w:tcBorders>
                    <w:top w:val="single" w:color="auto" w:sz="4" w:space="0"/>
                    <w:left w:val="single" w:color="auto" w:sz="4" w:space="0"/>
                    <w:right w:val="single" w:color="auto" w:sz="4" w:space="0"/>
                  </w:tcBorders>
                  <w:noWrap w:val="0"/>
                  <w:vAlign w:val="center"/>
                </w:tcPr>
                <w:p w14:paraId="02F589F5">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eastAsia"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硫化氢</w:t>
                  </w:r>
                </w:p>
              </w:tc>
            </w:tr>
            <w:tr w14:paraId="497E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1" w:type="dxa"/>
                  <w:vMerge w:val="continue"/>
                  <w:tcBorders>
                    <w:left w:val="single" w:color="auto" w:sz="4" w:space="0"/>
                    <w:bottom w:val="single" w:color="auto" w:sz="4" w:space="0"/>
                    <w:right w:val="single" w:color="auto" w:sz="4" w:space="0"/>
                  </w:tcBorders>
                  <w:noWrap w:val="0"/>
                  <w:vAlign w:val="center"/>
                </w:tcPr>
                <w:p w14:paraId="58023FD1">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eastAsia" w:ascii="Times New Roman" w:hAnsi="Times New Roman" w:eastAsia="宋体" w:cs="Times New Roman"/>
                      <w:color w:val="auto"/>
                      <w:sz w:val="21"/>
                      <w:szCs w:val="21"/>
                      <w:highlight w:val="none"/>
                      <w:lang w:val="en-US" w:eastAsia="zh-CN" w:bidi="ar"/>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14:paraId="7617B301">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硫化氢</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1A86AE0">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ABAFE77">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0.002</w:t>
                  </w:r>
                </w:p>
              </w:tc>
              <w:tc>
                <w:tcPr>
                  <w:tcW w:w="1532" w:type="dxa"/>
                  <w:tcBorders>
                    <w:top w:val="single" w:color="auto" w:sz="4" w:space="0"/>
                    <w:left w:val="single" w:color="auto" w:sz="4" w:space="0"/>
                    <w:bottom w:val="single" w:color="auto" w:sz="4" w:space="0"/>
                    <w:right w:val="single" w:color="auto" w:sz="4" w:space="0"/>
                  </w:tcBorders>
                  <w:noWrap w:val="0"/>
                  <w:vAlign w:val="center"/>
                </w:tcPr>
                <w:p w14:paraId="1862CDF7">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w:t>
                  </w:r>
                </w:p>
              </w:tc>
              <w:tc>
                <w:tcPr>
                  <w:tcW w:w="912" w:type="dxa"/>
                  <w:vMerge w:val="continue"/>
                  <w:tcBorders>
                    <w:left w:val="single" w:color="auto" w:sz="4" w:space="0"/>
                    <w:bottom w:val="single" w:color="auto" w:sz="4" w:space="0"/>
                    <w:right w:val="single" w:color="auto" w:sz="4" w:space="0"/>
                  </w:tcBorders>
                  <w:noWrap w:val="0"/>
                  <w:vAlign w:val="center"/>
                </w:tcPr>
                <w:p w14:paraId="17599C57">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eastAsia" w:ascii="Times New Roman" w:hAnsi="Times New Roman" w:eastAsia="宋体" w:cs="Times New Roman"/>
                      <w:color w:val="auto"/>
                      <w:sz w:val="21"/>
                      <w:szCs w:val="21"/>
                      <w:highlight w:val="none"/>
                      <w:lang w:val="en-US" w:eastAsia="zh-CN" w:bidi="ar"/>
                    </w:rPr>
                  </w:pPr>
                </w:p>
              </w:tc>
              <w:tc>
                <w:tcPr>
                  <w:tcW w:w="1290" w:type="dxa"/>
                  <w:vMerge w:val="continue"/>
                  <w:tcBorders>
                    <w:left w:val="single" w:color="auto" w:sz="4" w:space="0"/>
                    <w:bottom w:val="single" w:color="auto" w:sz="4" w:space="0"/>
                    <w:right w:val="single" w:color="auto" w:sz="4" w:space="0"/>
                  </w:tcBorders>
                  <w:noWrap w:val="0"/>
                  <w:vAlign w:val="center"/>
                </w:tcPr>
                <w:p w14:paraId="5EEA91FE">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eastAsia" w:ascii="Times New Roman" w:hAnsi="Times New Roman" w:eastAsia="宋体" w:cs="Times New Roman"/>
                      <w:color w:val="auto"/>
                      <w:sz w:val="21"/>
                      <w:szCs w:val="21"/>
                      <w:highlight w:val="none"/>
                      <w:lang w:val="en-US" w:eastAsia="zh-CN" w:bidi="ar"/>
                    </w:rPr>
                  </w:pPr>
                </w:p>
              </w:tc>
            </w:tr>
            <w:tr w14:paraId="0F41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1" w:type="dxa"/>
                  <w:vMerge w:val="restart"/>
                  <w:tcBorders>
                    <w:top w:val="single" w:color="auto" w:sz="4" w:space="0"/>
                    <w:left w:val="single" w:color="auto" w:sz="4" w:space="0"/>
                    <w:right w:val="single" w:color="auto" w:sz="4" w:space="0"/>
                  </w:tcBorders>
                  <w:noWrap w:val="0"/>
                  <w:vAlign w:val="center"/>
                </w:tcPr>
                <w:p w14:paraId="4DE501B1">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eastAsia"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固体复合微生物肥生产车间</w:t>
                  </w:r>
                </w:p>
              </w:tc>
              <w:tc>
                <w:tcPr>
                  <w:tcW w:w="1180" w:type="dxa"/>
                  <w:tcBorders>
                    <w:top w:val="single" w:color="auto" w:sz="4" w:space="0"/>
                    <w:left w:val="single" w:color="auto" w:sz="4" w:space="0"/>
                    <w:bottom w:val="single" w:color="auto" w:sz="4" w:space="0"/>
                    <w:right w:val="single" w:color="auto" w:sz="4" w:space="0"/>
                  </w:tcBorders>
                  <w:noWrap w:val="0"/>
                  <w:vAlign w:val="center"/>
                </w:tcPr>
                <w:p w14:paraId="4707A55F">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氨</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426A4E1E">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0669AD8">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0.0236</w:t>
                  </w:r>
                </w:p>
              </w:tc>
              <w:tc>
                <w:tcPr>
                  <w:tcW w:w="1532" w:type="dxa"/>
                  <w:tcBorders>
                    <w:top w:val="single" w:color="auto" w:sz="4" w:space="0"/>
                    <w:left w:val="single" w:color="auto" w:sz="4" w:space="0"/>
                    <w:bottom w:val="single" w:color="auto" w:sz="4" w:space="0"/>
                    <w:right w:val="single" w:color="auto" w:sz="4" w:space="0"/>
                  </w:tcBorders>
                  <w:noWrap w:val="0"/>
                  <w:vAlign w:val="center"/>
                </w:tcPr>
                <w:p w14:paraId="34736F49">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0.118</w:t>
                  </w:r>
                </w:p>
              </w:tc>
              <w:tc>
                <w:tcPr>
                  <w:tcW w:w="912" w:type="dxa"/>
                  <w:vMerge w:val="restart"/>
                  <w:tcBorders>
                    <w:top w:val="single" w:color="auto" w:sz="4" w:space="0"/>
                    <w:left w:val="single" w:color="auto" w:sz="4" w:space="0"/>
                    <w:right w:val="single" w:color="auto" w:sz="4" w:space="0"/>
                  </w:tcBorders>
                  <w:noWrap w:val="0"/>
                  <w:vAlign w:val="center"/>
                </w:tcPr>
                <w:p w14:paraId="5ABF7A16">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51</w:t>
                  </w:r>
                  <w:r>
                    <w:rPr>
                      <w:rFonts w:hint="eastAsia" w:cs="Times New Roman"/>
                      <w:color w:val="auto"/>
                      <w:sz w:val="21"/>
                      <w:szCs w:val="21"/>
                      <w:highlight w:val="none"/>
                      <w:lang w:val="en-US" w:eastAsia="zh-CN"/>
                    </w:rPr>
                    <w:t>＞10%</w:t>
                  </w:r>
                </w:p>
              </w:tc>
              <w:tc>
                <w:tcPr>
                  <w:tcW w:w="1290" w:type="dxa"/>
                  <w:vMerge w:val="restart"/>
                  <w:tcBorders>
                    <w:top w:val="single" w:color="auto" w:sz="4" w:space="0"/>
                    <w:left w:val="single" w:color="auto" w:sz="4" w:space="0"/>
                    <w:right w:val="single" w:color="auto" w:sz="4" w:space="0"/>
                  </w:tcBorders>
                  <w:noWrap w:val="0"/>
                  <w:vAlign w:val="center"/>
                </w:tcPr>
                <w:p w14:paraId="4AA6AC3F">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eastAsia"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硫化氢</w:t>
                  </w:r>
                </w:p>
              </w:tc>
            </w:tr>
            <w:tr w14:paraId="600E7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1" w:type="dxa"/>
                  <w:vMerge w:val="continue"/>
                  <w:tcBorders>
                    <w:left w:val="single" w:color="auto" w:sz="4" w:space="0"/>
                    <w:right w:val="single" w:color="auto" w:sz="4" w:space="0"/>
                  </w:tcBorders>
                  <w:noWrap w:val="0"/>
                  <w:vAlign w:val="center"/>
                </w:tcPr>
                <w:p w14:paraId="7196AA7C">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eastAsia" w:ascii="Times New Roman" w:hAnsi="Times New Roman" w:eastAsia="宋体" w:cs="Times New Roman"/>
                      <w:color w:val="auto"/>
                      <w:sz w:val="21"/>
                      <w:szCs w:val="21"/>
                      <w:highlight w:val="none"/>
                      <w:lang w:val="en-US" w:eastAsia="zh-CN" w:bidi="ar"/>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14:paraId="16392FA0">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硫化氢</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06796262">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76BC9F2">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0.0024</w:t>
                  </w:r>
                </w:p>
              </w:tc>
              <w:tc>
                <w:tcPr>
                  <w:tcW w:w="1532" w:type="dxa"/>
                  <w:tcBorders>
                    <w:top w:val="single" w:color="auto" w:sz="4" w:space="0"/>
                    <w:left w:val="single" w:color="auto" w:sz="4" w:space="0"/>
                    <w:bottom w:val="single" w:color="auto" w:sz="4" w:space="0"/>
                    <w:right w:val="single" w:color="auto" w:sz="4" w:space="0"/>
                  </w:tcBorders>
                  <w:noWrap w:val="0"/>
                  <w:vAlign w:val="center"/>
                </w:tcPr>
                <w:p w14:paraId="70167CD3">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0.24</w:t>
                  </w:r>
                </w:p>
              </w:tc>
              <w:tc>
                <w:tcPr>
                  <w:tcW w:w="912" w:type="dxa"/>
                  <w:vMerge w:val="continue"/>
                  <w:tcBorders>
                    <w:left w:val="single" w:color="auto" w:sz="4" w:space="0"/>
                    <w:bottom w:val="single" w:color="auto" w:sz="4" w:space="0"/>
                    <w:right w:val="single" w:color="auto" w:sz="4" w:space="0"/>
                  </w:tcBorders>
                  <w:noWrap w:val="0"/>
                  <w:vAlign w:val="center"/>
                </w:tcPr>
                <w:p w14:paraId="3C708107">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eastAsia" w:ascii="Times New Roman" w:hAnsi="Times New Roman" w:eastAsia="宋体" w:cs="Times New Roman"/>
                      <w:color w:val="auto"/>
                      <w:sz w:val="21"/>
                      <w:szCs w:val="21"/>
                      <w:highlight w:val="none"/>
                      <w:lang w:val="en-US" w:eastAsia="zh-CN" w:bidi="ar"/>
                    </w:rPr>
                  </w:pPr>
                </w:p>
              </w:tc>
              <w:tc>
                <w:tcPr>
                  <w:tcW w:w="1290" w:type="dxa"/>
                  <w:vMerge w:val="continue"/>
                  <w:tcBorders>
                    <w:left w:val="single" w:color="auto" w:sz="4" w:space="0"/>
                    <w:bottom w:val="single" w:color="auto" w:sz="4" w:space="0"/>
                    <w:right w:val="single" w:color="auto" w:sz="4" w:space="0"/>
                  </w:tcBorders>
                  <w:noWrap w:val="0"/>
                  <w:vAlign w:val="center"/>
                </w:tcPr>
                <w:p w14:paraId="510FE4C1">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eastAsia" w:ascii="Times New Roman" w:hAnsi="Times New Roman" w:eastAsia="宋体" w:cs="Times New Roman"/>
                      <w:color w:val="auto"/>
                      <w:sz w:val="21"/>
                      <w:szCs w:val="21"/>
                      <w:highlight w:val="none"/>
                      <w:lang w:val="en-US" w:eastAsia="zh-CN" w:bidi="ar"/>
                    </w:rPr>
                  </w:pPr>
                </w:p>
              </w:tc>
            </w:tr>
          </w:tbl>
          <w:p w14:paraId="3C2B480F">
            <w:pPr>
              <w:pStyle w:val="133"/>
              <w:keepNext w:val="0"/>
              <w:keepLines w:val="0"/>
              <w:pageBreakBefore w:val="0"/>
              <w:widowControl/>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根据《大气有害物质无组织排放卫生防护距离推导技术导则》（GB/T39499-2020）5.1小节，卫生防护距离按下式计算：</w:t>
            </w:r>
          </w:p>
          <w:p w14:paraId="05D2E17A">
            <w:pPr>
              <w:pStyle w:val="133"/>
              <w:keepNext w:val="0"/>
              <w:keepLines w:val="0"/>
              <w:pageBreakBefore w:val="0"/>
              <w:widowControl/>
              <w:kinsoku/>
              <w:wordWrap/>
              <w:overflowPunct/>
              <w:topLinePunct w:val="0"/>
              <w:autoSpaceDE/>
              <w:autoSpaceDN/>
              <w:bidi w:val="0"/>
              <w:adjustRightInd/>
              <w:snapToGrid/>
              <w:spacing w:line="240" w:lineRule="auto"/>
              <w:ind w:firstLine="48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position w:val="-30"/>
                <w:sz w:val="24"/>
                <w:szCs w:val="24"/>
                <w:highlight w:val="none"/>
              </w:rPr>
              <w:object>
                <v:shape id="_x0000_i1025" o:spt="75" type="#_x0000_t75" style="height:49.8pt;width:163.25pt;" o:ole="t" filled="f" o:preferrelative="t" stroked="f" coordsize="21600,21600">
                  <v:path/>
                  <v:fill on="f" focussize="0,0"/>
                  <v:stroke on="f"/>
                  <v:imagedata r:id="rId18" o:title=""/>
                  <o:lock v:ext="edit" aspectratio="f"/>
                  <w10:wrap type="none"/>
                  <w10:anchorlock/>
                </v:shape>
                <o:OLEObject Type="Embed" ProgID="Equation.3" ShapeID="_x0000_i1025" DrawAspect="Content" ObjectID="_1468075725" r:id="rId17">
                  <o:LockedField>false</o:LockedField>
                </o:OLEObject>
              </w:object>
            </w:r>
          </w:p>
          <w:p w14:paraId="5FD3962E">
            <w:pPr>
              <w:pStyle w:val="134"/>
              <w:keepNext w:val="0"/>
              <w:keepLines w:val="0"/>
              <w:pageBreakBefore w:val="0"/>
              <w:widowControl/>
              <w:kinsoku/>
              <w:wordWrap/>
              <w:topLinePunct w:val="0"/>
              <w:autoSpaceDE/>
              <w:autoSpaceDN/>
              <w:bidi w:val="0"/>
              <w:adjustRightInd/>
              <w:snapToGrid/>
              <w:spacing w:line="440" w:lineRule="exact"/>
              <w:ind w:firstLine="48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sz w:val="24"/>
                <w:szCs w:val="24"/>
                <w:highlight w:val="none"/>
              </w:rPr>
              <w:t>式中：Q</w:t>
            </w:r>
            <w:r>
              <w:rPr>
                <w:rFonts w:hint="default" w:ascii="Times New Roman" w:hAnsi="Times New Roman" w:eastAsia="宋体" w:cs="Times New Roman"/>
                <w:color w:val="auto"/>
                <w:sz w:val="24"/>
                <w:szCs w:val="24"/>
                <w:highlight w:val="none"/>
                <w:vertAlign w:val="subscript"/>
              </w:rPr>
              <w:t>c</w:t>
            </w:r>
            <w:r>
              <w:rPr>
                <w:rFonts w:hint="default" w:ascii="Times New Roman" w:hAnsi="Times New Roman" w:eastAsia="宋体" w:cs="Times New Roman"/>
                <w:color w:val="auto"/>
                <w:sz w:val="24"/>
                <w:szCs w:val="24"/>
                <w:highlight w:val="none"/>
              </w:rPr>
              <w:t>——工业企业有害气体无组织排放量可以达到的控制水平（kg/h）；</w:t>
            </w:r>
          </w:p>
          <w:p w14:paraId="7F794B45">
            <w:pPr>
              <w:pStyle w:val="134"/>
              <w:keepNext w:val="0"/>
              <w:keepLines w:val="0"/>
              <w:pageBreakBefore w:val="0"/>
              <w:widowControl/>
              <w:kinsoku/>
              <w:wordWrap/>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w:t>
            </w:r>
            <w:r>
              <w:rPr>
                <w:rFonts w:hint="default" w:ascii="Times New Roman" w:hAnsi="Times New Roman" w:eastAsia="宋体" w:cs="Times New Roman"/>
                <w:color w:val="auto"/>
                <w:sz w:val="24"/>
                <w:szCs w:val="24"/>
                <w:highlight w:val="none"/>
                <w:vertAlign w:val="subscript"/>
              </w:rPr>
              <w:t>m</w:t>
            </w:r>
            <w:r>
              <w:rPr>
                <w:rFonts w:hint="default" w:ascii="Times New Roman" w:hAnsi="Times New Roman" w:eastAsia="宋体" w:cs="Times New Roman"/>
                <w:color w:val="auto"/>
                <w:sz w:val="24"/>
                <w:szCs w:val="24"/>
                <w:highlight w:val="none"/>
              </w:rPr>
              <w:t>——标准浓度限值（mg/m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14:paraId="68D2F130">
            <w:pPr>
              <w:pStyle w:val="134"/>
              <w:keepNext w:val="0"/>
              <w:keepLines w:val="0"/>
              <w:pageBreakBefore w:val="0"/>
              <w:widowControl/>
              <w:kinsoku/>
              <w:wordWrap/>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L——工业企业所需卫生防护距离（m）；</w:t>
            </w:r>
          </w:p>
          <w:p w14:paraId="3FAF9ABE">
            <w:pPr>
              <w:pStyle w:val="134"/>
              <w:keepNext w:val="0"/>
              <w:keepLines w:val="0"/>
              <w:pageBreakBefore w:val="0"/>
              <w:widowControl/>
              <w:kinsoku/>
              <w:wordWrap/>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r——有害气体无组织排放源所在生产单元的等效半径（m）；</w:t>
            </w:r>
          </w:p>
          <w:p w14:paraId="5DAD4D8F">
            <w:pPr>
              <w:pStyle w:val="133"/>
              <w:keepNext w:val="0"/>
              <w:keepLines w:val="0"/>
              <w:pageBreakBefore w:val="0"/>
              <w:widowControl/>
              <w:numPr>
                <w:ilvl w:val="0"/>
                <w:numId w:val="6"/>
              </w:numPr>
              <w:kinsoku/>
              <w:wordWrap/>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B、C、D——卫生防护距离计算系数，根据工业企业所在地区近五年平均风速及工业企业大气污染源构成类别从表4-</w:t>
            </w:r>
            <w:r>
              <w:rPr>
                <w:rFonts w:hint="eastAsia" w:cs="Times New Roman"/>
                <w:color w:val="auto"/>
                <w:sz w:val="24"/>
                <w:szCs w:val="24"/>
                <w:highlight w:val="none"/>
                <w:lang w:val="en-US" w:eastAsia="zh-CN"/>
              </w:rPr>
              <w:t>15</w:t>
            </w:r>
            <w:r>
              <w:rPr>
                <w:rFonts w:hint="default" w:ascii="Times New Roman" w:hAnsi="Times New Roman" w:eastAsia="宋体" w:cs="Times New Roman"/>
                <w:color w:val="auto"/>
                <w:sz w:val="24"/>
                <w:szCs w:val="24"/>
                <w:highlight w:val="none"/>
              </w:rPr>
              <w:t>查取。</w:t>
            </w:r>
          </w:p>
          <w:p w14:paraId="26748B01">
            <w:pPr>
              <w:pStyle w:val="133"/>
              <w:keepNext w:val="0"/>
              <w:keepLines w:val="0"/>
              <w:pageBreakBefore w:val="0"/>
              <w:widowControl/>
              <w:numPr>
                <w:ilvl w:val="0"/>
                <w:numId w:val="0"/>
              </w:numPr>
              <w:kinsoku/>
              <w:wordWrap/>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项目区多年平均风速2.1m/s，A：470，B：0.021，C：1.85，D：0.84；</w:t>
            </w:r>
          </w:p>
          <w:p w14:paraId="3954E2E9">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auto"/>
                <w:highlight w:val="none"/>
                <w:lang w:bidi="ar"/>
              </w:rPr>
            </w:pPr>
          </w:p>
          <w:p w14:paraId="330569BB">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lang w:bidi="ar"/>
              </w:rPr>
              <w:t>表4-</w:t>
            </w:r>
            <w:r>
              <w:rPr>
                <w:rFonts w:hint="eastAsia" w:cs="Times New Roman"/>
                <w:b/>
                <w:bCs/>
                <w:color w:val="auto"/>
                <w:highlight w:val="none"/>
                <w:lang w:val="en-US" w:eastAsia="zh-CN" w:bidi="ar"/>
              </w:rPr>
              <w:t>15</w:t>
            </w:r>
            <w:r>
              <w:rPr>
                <w:rFonts w:hint="default" w:ascii="Times New Roman" w:hAnsi="Times New Roman" w:eastAsia="宋体" w:cs="Times New Roman"/>
                <w:b/>
                <w:bCs/>
                <w:color w:val="auto"/>
                <w:highlight w:val="none"/>
                <w:lang w:bidi="ar"/>
              </w:rPr>
              <w:t xml:space="preserve"> </w:t>
            </w:r>
            <w:r>
              <w:rPr>
                <w:rFonts w:hint="default" w:ascii="Times New Roman" w:hAnsi="Times New Roman" w:eastAsia="宋体" w:cs="Times New Roman"/>
                <w:b/>
                <w:bCs/>
                <w:color w:val="auto"/>
                <w:highlight w:val="none"/>
                <w:lang w:val="en-US" w:eastAsia="zh-CN" w:bidi="ar"/>
              </w:rPr>
              <w:t xml:space="preserve"> </w:t>
            </w:r>
            <w:r>
              <w:rPr>
                <w:rFonts w:hint="default" w:ascii="Times New Roman" w:hAnsi="Times New Roman" w:eastAsia="宋体" w:cs="Times New Roman"/>
                <w:b/>
                <w:bCs/>
                <w:color w:val="auto"/>
                <w:highlight w:val="none"/>
                <w:lang w:bidi="ar"/>
              </w:rPr>
              <w:t>卫生防护距离计算系数</w:t>
            </w:r>
          </w:p>
          <w:tbl>
            <w:tblPr>
              <w:tblStyle w:val="26"/>
              <w:tblW w:w="86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311"/>
              <w:gridCol w:w="588"/>
              <w:gridCol w:w="589"/>
              <w:gridCol w:w="589"/>
              <w:gridCol w:w="589"/>
              <w:gridCol w:w="589"/>
              <w:gridCol w:w="592"/>
              <w:gridCol w:w="590"/>
              <w:gridCol w:w="590"/>
              <w:gridCol w:w="818"/>
            </w:tblGrid>
            <w:tr w14:paraId="64C35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3" w:type="dxa"/>
                  <w:vMerge w:val="restart"/>
                  <w:tcBorders>
                    <w:top w:val="single" w:color="auto" w:sz="4" w:space="0"/>
                    <w:left w:val="single" w:color="auto" w:sz="4" w:space="0"/>
                    <w:bottom w:val="single" w:color="auto" w:sz="4" w:space="0"/>
                    <w:right w:val="single" w:color="auto" w:sz="4" w:space="0"/>
                  </w:tcBorders>
                  <w:noWrap w:val="0"/>
                  <w:vAlign w:val="center"/>
                </w:tcPr>
                <w:p w14:paraId="6C013D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计算</w:t>
                  </w:r>
                </w:p>
                <w:p w14:paraId="479449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系数</w:t>
                  </w:r>
                </w:p>
              </w:tc>
              <w:tc>
                <w:tcPr>
                  <w:tcW w:w="2311" w:type="dxa"/>
                  <w:vMerge w:val="restart"/>
                  <w:tcBorders>
                    <w:top w:val="single" w:color="auto" w:sz="4" w:space="0"/>
                    <w:left w:val="single" w:color="auto" w:sz="4" w:space="0"/>
                    <w:bottom w:val="single" w:color="auto" w:sz="4" w:space="0"/>
                    <w:right w:val="single" w:color="auto" w:sz="4" w:space="0"/>
                  </w:tcBorders>
                  <w:noWrap w:val="0"/>
                  <w:vAlign w:val="center"/>
                </w:tcPr>
                <w:p w14:paraId="4EDE1E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工业企业所在地区近五年平均风速m/s</w:t>
                  </w:r>
                </w:p>
              </w:tc>
              <w:tc>
                <w:tcPr>
                  <w:tcW w:w="5534" w:type="dxa"/>
                  <w:gridSpan w:val="9"/>
                  <w:tcBorders>
                    <w:top w:val="single" w:color="auto" w:sz="4" w:space="0"/>
                    <w:left w:val="single" w:color="auto" w:sz="4" w:space="0"/>
                    <w:bottom w:val="single" w:color="auto" w:sz="4" w:space="0"/>
                    <w:right w:val="single" w:color="auto" w:sz="4" w:space="0"/>
                  </w:tcBorders>
                  <w:noWrap w:val="0"/>
                  <w:vAlign w:val="center"/>
                </w:tcPr>
                <w:p w14:paraId="015FBA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卫生防护距离L,m</w:t>
                  </w:r>
                </w:p>
              </w:tc>
            </w:tr>
            <w:tr w14:paraId="7F3B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3" w:type="dxa"/>
                  <w:vMerge w:val="continue"/>
                  <w:tcBorders>
                    <w:top w:val="single" w:color="auto" w:sz="4" w:space="0"/>
                    <w:left w:val="single" w:color="auto" w:sz="4" w:space="0"/>
                    <w:bottom w:val="single" w:color="auto" w:sz="4" w:space="0"/>
                    <w:right w:val="single" w:color="auto" w:sz="4" w:space="0"/>
                  </w:tcBorders>
                  <w:noWrap w:val="0"/>
                  <w:vAlign w:val="center"/>
                </w:tcPr>
                <w:p w14:paraId="4EFB275C">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宋体" w:cs="Times New Roman"/>
                      <w:color w:val="auto"/>
                      <w:highlight w:val="none"/>
                    </w:rPr>
                  </w:pPr>
                </w:p>
              </w:tc>
              <w:tc>
                <w:tcPr>
                  <w:tcW w:w="2311" w:type="dxa"/>
                  <w:vMerge w:val="continue"/>
                  <w:tcBorders>
                    <w:top w:val="single" w:color="auto" w:sz="4" w:space="0"/>
                    <w:left w:val="single" w:color="auto" w:sz="4" w:space="0"/>
                    <w:bottom w:val="single" w:color="auto" w:sz="4" w:space="0"/>
                    <w:right w:val="single" w:color="auto" w:sz="4" w:space="0"/>
                  </w:tcBorders>
                  <w:noWrap w:val="0"/>
                  <w:vAlign w:val="center"/>
                </w:tcPr>
                <w:p w14:paraId="05CBBA86">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宋体" w:cs="Times New Roman"/>
                      <w:color w:val="auto"/>
                      <w:highlight w:val="none"/>
                    </w:rPr>
                  </w:pPr>
                </w:p>
              </w:tc>
              <w:tc>
                <w:tcPr>
                  <w:tcW w:w="1766" w:type="dxa"/>
                  <w:gridSpan w:val="3"/>
                  <w:tcBorders>
                    <w:top w:val="single" w:color="auto" w:sz="4" w:space="0"/>
                    <w:left w:val="single" w:color="auto" w:sz="4" w:space="0"/>
                    <w:bottom w:val="single" w:color="auto" w:sz="4" w:space="0"/>
                    <w:right w:val="single" w:color="auto" w:sz="4" w:space="0"/>
                  </w:tcBorders>
                  <w:noWrap w:val="0"/>
                  <w:vAlign w:val="center"/>
                </w:tcPr>
                <w:p w14:paraId="55220DA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L≤1000</w:t>
                  </w:r>
                </w:p>
              </w:tc>
              <w:tc>
                <w:tcPr>
                  <w:tcW w:w="1770" w:type="dxa"/>
                  <w:gridSpan w:val="3"/>
                  <w:tcBorders>
                    <w:top w:val="single" w:color="auto" w:sz="4" w:space="0"/>
                    <w:left w:val="single" w:color="auto" w:sz="4" w:space="0"/>
                    <w:bottom w:val="single" w:color="auto" w:sz="4" w:space="0"/>
                    <w:right w:val="single" w:color="auto" w:sz="4" w:space="0"/>
                  </w:tcBorders>
                  <w:noWrap w:val="0"/>
                  <w:vAlign w:val="center"/>
                </w:tcPr>
                <w:p w14:paraId="728AF3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1000＜L≤2000</w:t>
                  </w:r>
                </w:p>
              </w:tc>
              <w:tc>
                <w:tcPr>
                  <w:tcW w:w="1998" w:type="dxa"/>
                  <w:gridSpan w:val="3"/>
                  <w:tcBorders>
                    <w:top w:val="single" w:color="auto" w:sz="4" w:space="0"/>
                    <w:left w:val="single" w:color="auto" w:sz="4" w:space="0"/>
                    <w:bottom w:val="single" w:color="auto" w:sz="4" w:space="0"/>
                    <w:right w:val="single" w:color="auto" w:sz="4" w:space="0"/>
                  </w:tcBorders>
                  <w:noWrap w:val="0"/>
                  <w:vAlign w:val="center"/>
                </w:tcPr>
                <w:p w14:paraId="013DA5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L＞2000</w:t>
                  </w:r>
                </w:p>
              </w:tc>
            </w:tr>
            <w:tr w14:paraId="1632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3" w:type="dxa"/>
                  <w:vMerge w:val="continue"/>
                  <w:tcBorders>
                    <w:top w:val="single" w:color="auto" w:sz="4" w:space="0"/>
                    <w:left w:val="single" w:color="auto" w:sz="4" w:space="0"/>
                    <w:bottom w:val="single" w:color="auto" w:sz="4" w:space="0"/>
                    <w:right w:val="single" w:color="auto" w:sz="4" w:space="0"/>
                  </w:tcBorders>
                  <w:noWrap w:val="0"/>
                  <w:vAlign w:val="center"/>
                </w:tcPr>
                <w:p w14:paraId="32E1058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宋体" w:cs="Times New Roman"/>
                      <w:color w:val="auto"/>
                      <w:highlight w:val="none"/>
                    </w:rPr>
                  </w:pPr>
                </w:p>
              </w:tc>
              <w:tc>
                <w:tcPr>
                  <w:tcW w:w="2311" w:type="dxa"/>
                  <w:vMerge w:val="continue"/>
                  <w:tcBorders>
                    <w:top w:val="single" w:color="auto" w:sz="4" w:space="0"/>
                    <w:left w:val="single" w:color="auto" w:sz="4" w:space="0"/>
                    <w:bottom w:val="single" w:color="auto" w:sz="4" w:space="0"/>
                    <w:right w:val="single" w:color="auto" w:sz="4" w:space="0"/>
                  </w:tcBorders>
                  <w:noWrap w:val="0"/>
                  <w:vAlign w:val="center"/>
                </w:tcPr>
                <w:p w14:paraId="10115DCB">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宋体" w:cs="Times New Roman"/>
                      <w:color w:val="auto"/>
                      <w:highlight w:val="none"/>
                    </w:rPr>
                  </w:pPr>
                </w:p>
              </w:tc>
              <w:tc>
                <w:tcPr>
                  <w:tcW w:w="5534" w:type="dxa"/>
                  <w:gridSpan w:val="9"/>
                  <w:tcBorders>
                    <w:top w:val="single" w:color="auto" w:sz="4" w:space="0"/>
                    <w:left w:val="single" w:color="auto" w:sz="4" w:space="0"/>
                    <w:bottom w:val="single" w:color="auto" w:sz="4" w:space="0"/>
                    <w:right w:val="single" w:color="auto" w:sz="4" w:space="0"/>
                  </w:tcBorders>
                  <w:noWrap w:val="0"/>
                  <w:vAlign w:val="center"/>
                </w:tcPr>
                <w:p w14:paraId="638622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工业企业大气污染源构成类别</w:t>
                  </w:r>
                </w:p>
              </w:tc>
            </w:tr>
            <w:tr w14:paraId="7E119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3" w:type="dxa"/>
                  <w:vMerge w:val="continue"/>
                  <w:tcBorders>
                    <w:top w:val="single" w:color="auto" w:sz="4" w:space="0"/>
                    <w:left w:val="single" w:color="auto" w:sz="4" w:space="0"/>
                    <w:bottom w:val="single" w:color="auto" w:sz="4" w:space="0"/>
                    <w:right w:val="single" w:color="auto" w:sz="4" w:space="0"/>
                  </w:tcBorders>
                  <w:noWrap w:val="0"/>
                  <w:vAlign w:val="center"/>
                </w:tcPr>
                <w:p w14:paraId="16981EDB">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宋体" w:cs="Times New Roman"/>
                      <w:color w:val="auto"/>
                      <w:highlight w:val="none"/>
                    </w:rPr>
                  </w:pPr>
                </w:p>
              </w:tc>
              <w:tc>
                <w:tcPr>
                  <w:tcW w:w="2311" w:type="dxa"/>
                  <w:vMerge w:val="continue"/>
                  <w:tcBorders>
                    <w:top w:val="single" w:color="auto" w:sz="4" w:space="0"/>
                    <w:left w:val="single" w:color="auto" w:sz="4" w:space="0"/>
                    <w:bottom w:val="single" w:color="auto" w:sz="4" w:space="0"/>
                    <w:right w:val="single" w:color="auto" w:sz="4" w:space="0"/>
                  </w:tcBorders>
                  <w:noWrap w:val="0"/>
                  <w:vAlign w:val="center"/>
                </w:tcPr>
                <w:p w14:paraId="7321BE60">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宋体" w:cs="Times New Roman"/>
                      <w:color w:val="auto"/>
                      <w:highlight w:val="none"/>
                    </w:rPr>
                  </w:pPr>
                </w:p>
              </w:tc>
              <w:tc>
                <w:tcPr>
                  <w:tcW w:w="588" w:type="dxa"/>
                  <w:tcBorders>
                    <w:top w:val="single" w:color="auto" w:sz="4" w:space="0"/>
                    <w:left w:val="single" w:color="auto" w:sz="4" w:space="0"/>
                    <w:bottom w:val="single" w:color="auto" w:sz="4" w:space="0"/>
                    <w:right w:val="single" w:color="auto" w:sz="4" w:space="0"/>
                  </w:tcBorders>
                  <w:noWrap w:val="0"/>
                  <w:vAlign w:val="center"/>
                </w:tcPr>
                <w:p w14:paraId="57E507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Ⅰ</w:t>
                  </w:r>
                </w:p>
              </w:tc>
              <w:tc>
                <w:tcPr>
                  <w:tcW w:w="589" w:type="dxa"/>
                  <w:tcBorders>
                    <w:top w:val="single" w:color="auto" w:sz="4" w:space="0"/>
                    <w:left w:val="single" w:color="auto" w:sz="4" w:space="0"/>
                    <w:bottom w:val="single" w:color="auto" w:sz="4" w:space="0"/>
                    <w:right w:val="single" w:color="auto" w:sz="4" w:space="0"/>
                  </w:tcBorders>
                  <w:noWrap w:val="0"/>
                  <w:vAlign w:val="center"/>
                </w:tcPr>
                <w:p w14:paraId="6969A4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Ⅱ</w:t>
                  </w:r>
                </w:p>
              </w:tc>
              <w:tc>
                <w:tcPr>
                  <w:tcW w:w="589" w:type="dxa"/>
                  <w:tcBorders>
                    <w:top w:val="single" w:color="auto" w:sz="4" w:space="0"/>
                    <w:left w:val="single" w:color="auto" w:sz="4" w:space="0"/>
                    <w:bottom w:val="single" w:color="auto" w:sz="4" w:space="0"/>
                    <w:right w:val="single" w:color="auto" w:sz="4" w:space="0"/>
                  </w:tcBorders>
                  <w:noWrap w:val="0"/>
                  <w:vAlign w:val="center"/>
                </w:tcPr>
                <w:p w14:paraId="276F2E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Ⅲ</w:t>
                  </w:r>
                </w:p>
              </w:tc>
              <w:tc>
                <w:tcPr>
                  <w:tcW w:w="589" w:type="dxa"/>
                  <w:tcBorders>
                    <w:top w:val="single" w:color="auto" w:sz="4" w:space="0"/>
                    <w:left w:val="single" w:color="auto" w:sz="4" w:space="0"/>
                    <w:bottom w:val="single" w:color="auto" w:sz="4" w:space="0"/>
                    <w:right w:val="single" w:color="auto" w:sz="4" w:space="0"/>
                  </w:tcBorders>
                  <w:noWrap w:val="0"/>
                  <w:vAlign w:val="center"/>
                </w:tcPr>
                <w:p w14:paraId="698217F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Ⅰ</w:t>
                  </w:r>
                </w:p>
              </w:tc>
              <w:tc>
                <w:tcPr>
                  <w:tcW w:w="589" w:type="dxa"/>
                  <w:tcBorders>
                    <w:top w:val="single" w:color="auto" w:sz="4" w:space="0"/>
                    <w:left w:val="single" w:color="auto" w:sz="4" w:space="0"/>
                    <w:bottom w:val="single" w:color="auto" w:sz="4" w:space="0"/>
                    <w:right w:val="single" w:color="auto" w:sz="4" w:space="0"/>
                  </w:tcBorders>
                  <w:noWrap w:val="0"/>
                  <w:vAlign w:val="center"/>
                </w:tcPr>
                <w:p w14:paraId="286951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Ⅱ</w:t>
                  </w:r>
                </w:p>
              </w:tc>
              <w:tc>
                <w:tcPr>
                  <w:tcW w:w="592" w:type="dxa"/>
                  <w:tcBorders>
                    <w:top w:val="single" w:color="auto" w:sz="4" w:space="0"/>
                    <w:left w:val="single" w:color="auto" w:sz="4" w:space="0"/>
                    <w:bottom w:val="single" w:color="auto" w:sz="4" w:space="0"/>
                    <w:right w:val="single" w:color="auto" w:sz="4" w:space="0"/>
                  </w:tcBorders>
                  <w:noWrap w:val="0"/>
                  <w:vAlign w:val="center"/>
                </w:tcPr>
                <w:p w14:paraId="39462E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Ⅲ</w:t>
                  </w:r>
                </w:p>
              </w:tc>
              <w:tc>
                <w:tcPr>
                  <w:tcW w:w="590" w:type="dxa"/>
                  <w:tcBorders>
                    <w:top w:val="single" w:color="auto" w:sz="4" w:space="0"/>
                    <w:left w:val="single" w:color="auto" w:sz="4" w:space="0"/>
                    <w:bottom w:val="single" w:color="auto" w:sz="4" w:space="0"/>
                    <w:right w:val="single" w:color="auto" w:sz="4" w:space="0"/>
                  </w:tcBorders>
                  <w:noWrap w:val="0"/>
                  <w:vAlign w:val="center"/>
                </w:tcPr>
                <w:p w14:paraId="646520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Ⅰ</w:t>
                  </w:r>
                </w:p>
              </w:tc>
              <w:tc>
                <w:tcPr>
                  <w:tcW w:w="590" w:type="dxa"/>
                  <w:tcBorders>
                    <w:top w:val="single" w:color="auto" w:sz="4" w:space="0"/>
                    <w:left w:val="single" w:color="auto" w:sz="4" w:space="0"/>
                    <w:bottom w:val="single" w:color="auto" w:sz="4" w:space="0"/>
                    <w:right w:val="single" w:color="auto" w:sz="4" w:space="0"/>
                  </w:tcBorders>
                  <w:noWrap w:val="0"/>
                  <w:vAlign w:val="center"/>
                </w:tcPr>
                <w:p w14:paraId="2C20EE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Ⅱ</w:t>
                  </w:r>
                </w:p>
              </w:tc>
              <w:tc>
                <w:tcPr>
                  <w:tcW w:w="818" w:type="dxa"/>
                  <w:tcBorders>
                    <w:top w:val="single" w:color="auto" w:sz="4" w:space="0"/>
                    <w:left w:val="single" w:color="auto" w:sz="4" w:space="0"/>
                    <w:bottom w:val="single" w:color="auto" w:sz="4" w:space="0"/>
                    <w:right w:val="single" w:color="auto" w:sz="4" w:space="0"/>
                  </w:tcBorders>
                  <w:noWrap w:val="0"/>
                  <w:vAlign w:val="center"/>
                </w:tcPr>
                <w:p w14:paraId="5B8B3DF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Ⅲ</w:t>
                  </w:r>
                </w:p>
              </w:tc>
            </w:tr>
            <w:tr w14:paraId="37340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3" w:type="dxa"/>
                  <w:tcBorders>
                    <w:top w:val="single" w:color="auto" w:sz="4" w:space="0"/>
                    <w:left w:val="single" w:color="auto" w:sz="4" w:space="0"/>
                    <w:bottom w:val="single" w:color="auto" w:sz="4" w:space="0"/>
                    <w:right w:val="single" w:color="auto" w:sz="4" w:space="0"/>
                  </w:tcBorders>
                  <w:noWrap w:val="0"/>
                  <w:vAlign w:val="center"/>
                </w:tcPr>
                <w:p w14:paraId="7A84C2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A</w:t>
                  </w:r>
                </w:p>
              </w:tc>
              <w:tc>
                <w:tcPr>
                  <w:tcW w:w="2311" w:type="dxa"/>
                  <w:tcBorders>
                    <w:top w:val="single" w:color="auto" w:sz="4" w:space="0"/>
                    <w:left w:val="single" w:color="auto" w:sz="4" w:space="0"/>
                    <w:bottom w:val="single" w:color="auto" w:sz="4" w:space="0"/>
                    <w:right w:val="single" w:color="auto" w:sz="4" w:space="0"/>
                  </w:tcBorders>
                  <w:noWrap w:val="0"/>
                  <w:vAlign w:val="center"/>
                </w:tcPr>
                <w:p w14:paraId="246026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&lt;2</w:t>
                  </w:r>
                </w:p>
                <w:p w14:paraId="75CA70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2～4</w:t>
                  </w:r>
                </w:p>
                <w:p w14:paraId="740E8A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&gt;4</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397F60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400</w:t>
                  </w:r>
                </w:p>
                <w:p w14:paraId="173303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700</w:t>
                  </w:r>
                </w:p>
                <w:p w14:paraId="74CDE6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530</w:t>
                  </w:r>
                </w:p>
              </w:tc>
              <w:tc>
                <w:tcPr>
                  <w:tcW w:w="589" w:type="dxa"/>
                  <w:tcBorders>
                    <w:top w:val="single" w:color="auto" w:sz="4" w:space="0"/>
                    <w:left w:val="single" w:color="auto" w:sz="4" w:space="0"/>
                    <w:bottom w:val="single" w:color="auto" w:sz="4" w:space="0"/>
                    <w:right w:val="single" w:color="auto" w:sz="4" w:space="0"/>
                  </w:tcBorders>
                  <w:noWrap w:val="0"/>
                  <w:vAlign w:val="center"/>
                </w:tcPr>
                <w:p w14:paraId="152069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400</w:t>
                  </w:r>
                </w:p>
                <w:p w14:paraId="0B98F1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470</w:t>
                  </w:r>
                </w:p>
                <w:p w14:paraId="1846A5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350</w:t>
                  </w:r>
                </w:p>
              </w:tc>
              <w:tc>
                <w:tcPr>
                  <w:tcW w:w="589" w:type="dxa"/>
                  <w:tcBorders>
                    <w:top w:val="single" w:color="auto" w:sz="4" w:space="0"/>
                    <w:left w:val="single" w:color="auto" w:sz="4" w:space="0"/>
                    <w:bottom w:val="single" w:color="auto" w:sz="4" w:space="0"/>
                    <w:right w:val="single" w:color="auto" w:sz="4" w:space="0"/>
                  </w:tcBorders>
                  <w:noWrap w:val="0"/>
                  <w:vAlign w:val="center"/>
                </w:tcPr>
                <w:p w14:paraId="04B5C8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400</w:t>
                  </w:r>
                </w:p>
                <w:p w14:paraId="731A89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350</w:t>
                  </w:r>
                </w:p>
                <w:p w14:paraId="616863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260</w:t>
                  </w:r>
                </w:p>
              </w:tc>
              <w:tc>
                <w:tcPr>
                  <w:tcW w:w="589" w:type="dxa"/>
                  <w:tcBorders>
                    <w:top w:val="single" w:color="auto" w:sz="4" w:space="0"/>
                    <w:left w:val="single" w:color="auto" w:sz="4" w:space="0"/>
                    <w:bottom w:val="single" w:color="auto" w:sz="4" w:space="0"/>
                    <w:right w:val="single" w:color="auto" w:sz="4" w:space="0"/>
                  </w:tcBorders>
                  <w:noWrap w:val="0"/>
                  <w:vAlign w:val="center"/>
                </w:tcPr>
                <w:p w14:paraId="1169BB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400</w:t>
                  </w:r>
                </w:p>
                <w:p w14:paraId="2AD41D0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700</w:t>
                  </w:r>
                </w:p>
                <w:p w14:paraId="31BEFA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530</w:t>
                  </w:r>
                </w:p>
              </w:tc>
              <w:tc>
                <w:tcPr>
                  <w:tcW w:w="589" w:type="dxa"/>
                  <w:tcBorders>
                    <w:top w:val="single" w:color="auto" w:sz="4" w:space="0"/>
                    <w:left w:val="single" w:color="auto" w:sz="4" w:space="0"/>
                    <w:bottom w:val="single" w:color="auto" w:sz="4" w:space="0"/>
                    <w:right w:val="single" w:color="auto" w:sz="4" w:space="0"/>
                  </w:tcBorders>
                  <w:noWrap w:val="0"/>
                  <w:vAlign w:val="center"/>
                </w:tcPr>
                <w:p w14:paraId="1F30F9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400</w:t>
                  </w:r>
                </w:p>
                <w:p w14:paraId="08D388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470</w:t>
                  </w:r>
                </w:p>
                <w:p w14:paraId="7EAA96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350</w:t>
                  </w:r>
                </w:p>
              </w:tc>
              <w:tc>
                <w:tcPr>
                  <w:tcW w:w="592" w:type="dxa"/>
                  <w:tcBorders>
                    <w:top w:val="single" w:color="auto" w:sz="4" w:space="0"/>
                    <w:left w:val="single" w:color="auto" w:sz="4" w:space="0"/>
                    <w:bottom w:val="single" w:color="auto" w:sz="4" w:space="0"/>
                    <w:right w:val="single" w:color="auto" w:sz="4" w:space="0"/>
                  </w:tcBorders>
                  <w:noWrap w:val="0"/>
                  <w:vAlign w:val="center"/>
                </w:tcPr>
                <w:p w14:paraId="353A45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400</w:t>
                  </w:r>
                </w:p>
                <w:p w14:paraId="06D138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350</w:t>
                  </w:r>
                </w:p>
                <w:p w14:paraId="61747F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260</w:t>
                  </w:r>
                </w:p>
              </w:tc>
              <w:tc>
                <w:tcPr>
                  <w:tcW w:w="590" w:type="dxa"/>
                  <w:tcBorders>
                    <w:top w:val="single" w:color="auto" w:sz="4" w:space="0"/>
                    <w:left w:val="single" w:color="auto" w:sz="4" w:space="0"/>
                    <w:bottom w:val="single" w:color="auto" w:sz="4" w:space="0"/>
                    <w:right w:val="single" w:color="auto" w:sz="4" w:space="0"/>
                  </w:tcBorders>
                  <w:noWrap w:val="0"/>
                  <w:vAlign w:val="center"/>
                </w:tcPr>
                <w:p w14:paraId="2F6BB1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80</w:t>
                  </w:r>
                </w:p>
                <w:p w14:paraId="4F0CEA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380</w:t>
                  </w:r>
                </w:p>
                <w:p w14:paraId="4DFABD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290</w:t>
                  </w:r>
                </w:p>
              </w:tc>
              <w:tc>
                <w:tcPr>
                  <w:tcW w:w="590" w:type="dxa"/>
                  <w:tcBorders>
                    <w:top w:val="single" w:color="auto" w:sz="4" w:space="0"/>
                    <w:left w:val="single" w:color="auto" w:sz="4" w:space="0"/>
                    <w:bottom w:val="single" w:color="auto" w:sz="4" w:space="0"/>
                    <w:right w:val="single" w:color="auto" w:sz="4" w:space="0"/>
                  </w:tcBorders>
                  <w:noWrap w:val="0"/>
                  <w:vAlign w:val="center"/>
                </w:tcPr>
                <w:p w14:paraId="20320D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80</w:t>
                  </w:r>
                </w:p>
                <w:p w14:paraId="3675D6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250</w:t>
                  </w:r>
                </w:p>
                <w:p w14:paraId="67D1273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190</w:t>
                  </w:r>
                </w:p>
              </w:tc>
              <w:tc>
                <w:tcPr>
                  <w:tcW w:w="818" w:type="dxa"/>
                  <w:tcBorders>
                    <w:top w:val="single" w:color="auto" w:sz="4" w:space="0"/>
                    <w:left w:val="single" w:color="auto" w:sz="4" w:space="0"/>
                    <w:bottom w:val="single" w:color="auto" w:sz="4" w:space="0"/>
                    <w:right w:val="single" w:color="auto" w:sz="4" w:space="0"/>
                  </w:tcBorders>
                  <w:noWrap w:val="0"/>
                  <w:vAlign w:val="center"/>
                </w:tcPr>
                <w:p w14:paraId="2CC621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80</w:t>
                  </w:r>
                </w:p>
                <w:p w14:paraId="7D8AA5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190</w:t>
                  </w:r>
                </w:p>
                <w:p w14:paraId="202722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140</w:t>
                  </w:r>
                </w:p>
              </w:tc>
            </w:tr>
            <w:tr w14:paraId="0F5BE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3" w:type="dxa"/>
                  <w:tcBorders>
                    <w:top w:val="single" w:color="auto" w:sz="4" w:space="0"/>
                    <w:left w:val="single" w:color="auto" w:sz="4" w:space="0"/>
                    <w:bottom w:val="single" w:color="auto" w:sz="4" w:space="0"/>
                    <w:right w:val="single" w:color="auto" w:sz="4" w:space="0"/>
                  </w:tcBorders>
                  <w:noWrap w:val="0"/>
                  <w:vAlign w:val="center"/>
                </w:tcPr>
                <w:p w14:paraId="527B40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B</w:t>
                  </w:r>
                </w:p>
              </w:tc>
              <w:tc>
                <w:tcPr>
                  <w:tcW w:w="2311" w:type="dxa"/>
                  <w:tcBorders>
                    <w:top w:val="single" w:color="auto" w:sz="4" w:space="0"/>
                    <w:left w:val="single" w:color="auto" w:sz="4" w:space="0"/>
                    <w:bottom w:val="single" w:color="auto" w:sz="4" w:space="0"/>
                    <w:right w:val="single" w:color="auto" w:sz="4" w:space="0"/>
                  </w:tcBorders>
                  <w:noWrap w:val="0"/>
                  <w:vAlign w:val="center"/>
                </w:tcPr>
                <w:p w14:paraId="6F8581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&lt;2</w:t>
                  </w:r>
                </w:p>
                <w:p w14:paraId="7CA93D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&gt;2</w:t>
                  </w:r>
                </w:p>
              </w:tc>
              <w:tc>
                <w:tcPr>
                  <w:tcW w:w="1766" w:type="dxa"/>
                  <w:gridSpan w:val="3"/>
                  <w:tcBorders>
                    <w:top w:val="single" w:color="auto" w:sz="4" w:space="0"/>
                    <w:left w:val="single" w:color="auto" w:sz="4" w:space="0"/>
                    <w:bottom w:val="single" w:color="auto" w:sz="4" w:space="0"/>
                    <w:right w:val="single" w:color="auto" w:sz="4" w:space="0"/>
                  </w:tcBorders>
                  <w:noWrap w:val="0"/>
                  <w:vAlign w:val="center"/>
                </w:tcPr>
                <w:p w14:paraId="3FBF20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0.01</w:t>
                  </w:r>
                </w:p>
                <w:p w14:paraId="027DAB0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0.021</w:t>
                  </w:r>
                </w:p>
              </w:tc>
              <w:tc>
                <w:tcPr>
                  <w:tcW w:w="1770" w:type="dxa"/>
                  <w:gridSpan w:val="3"/>
                  <w:tcBorders>
                    <w:top w:val="single" w:color="auto" w:sz="4" w:space="0"/>
                    <w:left w:val="single" w:color="auto" w:sz="4" w:space="0"/>
                    <w:bottom w:val="single" w:color="auto" w:sz="4" w:space="0"/>
                    <w:right w:val="single" w:color="auto" w:sz="4" w:space="0"/>
                  </w:tcBorders>
                  <w:noWrap w:val="0"/>
                  <w:vAlign w:val="center"/>
                </w:tcPr>
                <w:p w14:paraId="0D5583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0.015</w:t>
                  </w:r>
                </w:p>
                <w:p w14:paraId="244945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0.036</w:t>
                  </w:r>
                </w:p>
              </w:tc>
              <w:tc>
                <w:tcPr>
                  <w:tcW w:w="1998" w:type="dxa"/>
                  <w:gridSpan w:val="3"/>
                  <w:tcBorders>
                    <w:top w:val="single" w:color="auto" w:sz="4" w:space="0"/>
                    <w:left w:val="single" w:color="auto" w:sz="4" w:space="0"/>
                    <w:bottom w:val="single" w:color="auto" w:sz="4" w:space="0"/>
                    <w:right w:val="single" w:color="auto" w:sz="4" w:space="0"/>
                  </w:tcBorders>
                  <w:noWrap w:val="0"/>
                  <w:vAlign w:val="center"/>
                </w:tcPr>
                <w:p w14:paraId="642922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0.015</w:t>
                  </w:r>
                </w:p>
                <w:p w14:paraId="55B773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0.036</w:t>
                  </w:r>
                </w:p>
              </w:tc>
            </w:tr>
            <w:tr w14:paraId="497E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3" w:type="dxa"/>
                  <w:tcBorders>
                    <w:top w:val="single" w:color="auto" w:sz="4" w:space="0"/>
                    <w:left w:val="single" w:color="auto" w:sz="4" w:space="0"/>
                    <w:bottom w:val="single" w:color="auto" w:sz="4" w:space="0"/>
                    <w:right w:val="single" w:color="auto" w:sz="4" w:space="0"/>
                  </w:tcBorders>
                  <w:noWrap w:val="0"/>
                  <w:vAlign w:val="center"/>
                </w:tcPr>
                <w:p w14:paraId="6769CE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C</w:t>
                  </w:r>
                </w:p>
              </w:tc>
              <w:tc>
                <w:tcPr>
                  <w:tcW w:w="2311" w:type="dxa"/>
                  <w:tcBorders>
                    <w:top w:val="single" w:color="auto" w:sz="4" w:space="0"/>
                    <w:left w:val="single" w:color="auto" w:sz="4" w:space="0"/>
                    <w:bottom w:val="single" w:color="auto" w:sz="4" w:space="0"/>
                    <w:right w:val="single" w:color="auto" w:sz="4" w:space="0"/>
                  </w:tcBorders>
                  <w:noWrap w:val="0"/>
                  <w:vAlign w:val="center"/>
                </w:tcPr>
                <w:p w14:paraId="66246E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&lt;2</w:t>
                  </w:r>
                </w:p>
                <w:p w14:paraId="1AB2D5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&gt;2</w:t>
                  </w:r>
                </w:p>
              </w:tc>
              <w:tc>
                <w:tcPr>
                  <w:tcW w:w="1766" w:type="dxa"/>
                  <w:gridSpan w:val="3"/>
                  <w:tcBorders>
                    <w:top w:val="single" w:color="auto" w:sz="4" w:space="0"/>
                    <w:left w:val="single" w:color="auto" w:sz="4" w:space="0"/>
                    <w:bottom w:val="single" w:color="auto" w:sz="4" w:space="0"/>
                    <w:right w:val="single" w:color="auto" w:sz="4" w:space="0"/>
                  </w:tcBorders>
                  <w:noWrap w:val="0"/>
                  <w:vAlign w:val="center"/>
                </w:tcPr>
                <w:p w14:paraId="0D61D2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1.85</w:t>
                  </w:r>
                </w:p>
                <w:p w14:paraId="212974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1.85</w:t>
                  </w:r>
                </w:p>
              </w:tc>
              <w:tc>
                <w:tcPr>
                  <w:tcW w:w="1770" w:type="dxa"/>
                  <w:gridSpan w:val="3"/>
                  <w:tcBorders>
                    <w:top w:val="single" w:color="auto" w:sz="4" w:space="0"/>
                    <w:left w:val="single" w:color="auto" w:sz="4" w:space="0"/>
                    <w:bottom w:val="single" w:color="auto" w:sz="4" w:space="0"/>
                    <w:right w:val="single" w:color="auto" w:sz="4" w:space="0"/>
                  </w:tcBorders>
                  <w:noWrap w:val="0"/>
                  <w:vAlign w:val="center"/>
                </w:tcPr>
                <w:p w14:paraId="3CEBB6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1.79</w:t>
                  </w:r>
                </w:p>
                <w:p w14:paraId="54E2E5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1.77</w:t>
                  </w:r>
                </w:p>
              </w:tc>
              <w:tc>
                <w:tcPr>
                  <w:tcW w:w="1998" w:type="dxa"/>
                  <w:gridSpan w:val="3"/>
                  <w:tcBorders>
                    <w:top w:val="single" w:color="auto" w:sz="4" w:space="0"/>
                    <w:left w:val="single" w:color="auto" w:sz="4" w:space="0"/>
                    <w:bottom w:val="single" w:color="auto" w:sz="4" w:space="0"/>
                    <w:right w:val="single" w:color="auto" w:sz="4" w:space="0"/>
                  </w:tcBorders>
                  <w:noWrap w:val="0"/>
                  <w:vAlign w:val="center"/>
                </w:tcPr>
                <w:p w14:paraId="0BDA2A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1.79</w:t>
                  </w:r>
                </w:p>
                <w:p w14:paraId="2317F1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1.77</w:t>
                  </w:r>
                </w:p>
              </w:tc>
            </w:tr>
            <w:tr w14:paraId="15C19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3" w:type="dxa"/>
                  <w:tcBorders>
                    <w:top w:val="single" w:color="auto" w:sz="4" w:space="0"/>
                    <w:left w:val="single" w:color="auto" w:sz="4" w:space="0"/>
                    <w:bottom w:val="single" w:color="auto" w:sz="4" w:space="0"/>
                    <w:right w:val="single" w:color="auto" w:sz="4" w:space="0"/>
                  </w:tcBorders>
                  <w:noWrap w:val="0"/>
                  <w:vAlign w:val="center"/>
                </w:tcPr>
                <w:p w14:paraId="46876C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D</w:t>
                  </w:r>
                </w:p>
              </w:tc>
              <w:tc>
                <w:tcPr>
                  <w:tcW w:w="2311" w:type="dxa"/>
                  <w:tcBorders>
                    <w:top w:val="single" w:color="auto" w:sz="4" w:space="0"/>
                    <w:left w:val="single" w:color="auto" w:sz="4" w:space="0"/>
                    <w:bottom w:val="single" w:color="auto" w:sz="4" w:space="0"/>
                    <w:right w:val="single" w:color="auto" w:sz="4" w:space="0"/>
                  </w:tcBorders>
                  <w:noWrap w:val="0"/>
                  <w:vAlign w:val="center"/>
                </w:tcPr>
                <w:p w14:paraId="01FFF1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&lt;2</w:t>
                  </w:r>
                </w:p>
                <w:p w14:paraId="1C7F32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&gt;2</w:t>
                  </w:r>
                </w:p>
              </w:tc>
              <w:tc>
                <w:tcPr>
                  <w:tcW w:w="1766" w:type="dxa"/>
                  <w:gridSpan w:val="3"/>
                  <w:tcBorders>
                    <w:top w:val="single" w:color="auto" w:sz="4" w:space="0"/>
                    <w:left w:val="single" w:color="auto" w:sz="4" w:space="0"/>
                    <w:bottom w:val="single" w:color="auto" w:sz="4" w:space="0"/>
                    <w:right w:val="single" w:color="auto" w:sz="4" w:space="0"/>
                  </w:tcBorders>
                  <w:noWrap w:val="0"/>
                  <w:vAlign w:val="center"/>
                </w:tcPr>
                <w:p w14:paraId="7EAF3D9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0.78</w:t>
                  </w:r>
                </w:p>
                <w:p w14:paraId="699569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0.84</w:t>
                  </w:r>
                </w:p>
              </w:tc>
              <w:tc>
                <w:tcPr>
                  <w:tcW w:w="1770" w:type="dxa"/>
                  <w:gridSpan w:val="3"/>
                  <w:tcBorders>
                    <w:top w:val="single" w:color="auto" w:sz="4" w:space="0"/>
                    <w:left w:val="single" w:color="auto" w:sz="4" w:space="0"/>
                    <w:bottom w:val="single" w:color="auto" w:sz="4" w:space="0"/>
                    <w:right w:val="single" w:color="auto" w:sz="4" w:space="0"/>
                  </w:tcBorders>
                  <w:noWrap w:val="0"/>
                  <w:vAlign w:val="center"/>
                </w:tcPr>
                <w:p w14:paraId="6CBFAB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0.78</w:t>
                  </w:r>
                </w:p>
                <w:p w14:paraId="4509148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0.84</w:t>
                  </w:r>
                </w:p>
              </w:tc>
              <w:tc>
                <w:tcPr>
                  <w:tcW w:w="1998" w:type="dxa"/>
                  <w:gridSpan w:val="3"/>
                  <w:tcBorders>
                    <w:top w:val="single" w:color="auto" w:sz="4" w:space="0"/>
                    <w:left w:val="single" w:color="auto" w:sz="4" w:space="0"/>
                    <w:bottom w:val="single" w:color="auto" w:sz="4" w:space="0"/>
                    <w:right w:val="single" w:color="auto" w:sz="4" w:space="0"/>
                  </w:tcBorders>
                  <w:noWrap w:val="0"/>
                  <w:vAlign w:val="center"/>
                </w:tcPr>
                <w:p w14:paraId="7A4C3D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0.57</w:t>
                  </w:r>
                </w:p>
                <w:p w14:paraId="34FAF5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0.76</w:t>
                  </w:r>
                </w:p>
              </w:tc>
            </w:tr>
          </w:tbl>
          <w:p w14:paraId="2B025ED8">
            <w:pPr>
              <w:pStyle w:val="2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bidi="ar"/>
              </w:rPr>
              <w:t>项目运营期大气有害物质主要为</w:t>
            </w:r>
            <w:r>
              <w:rPr>
                <w:rFonts w:hint="eastAsia" w:ascii="Times New Roman" w:hAnsi="Times New Roman" w:eastAsia="宋体" w:cs="Times New Roman"/>
                <w:color w:val="auto"/>
                <w:kern w:val="2"/>
                <w:sz w:val="21"/>
                <w:szCs w:val="21"/>
                <w:highlight w:val="none"/>
                <w:lang w:val="en-US" w:eastAsia="zh-CN" w:bidi="ar"/>
              </w:rPr>
              <w:t>硫化氢</w:t>
            </w:r>
            <w:r>
              <w:rPr>
                <w:rFonts w:hint="default" w:ascii="Times New Roman" w:hAnsi="Times New Roman" w:eastAsia="宋体" w:cs="Times New Roman"/>
                <w:color w:val="auto"/>
                <w:kern w:val="2"/>
                <w:sz w:val="21"/>
                <w:szCs w:val="21"/>
                <w:highlight w:val="none"/>
                <w:lang w:bidi="ar"/>
              </w:rPr>
              <w:t>，项目卫生防护距离计算见表4-</w:t>
            </w:r>
            <w:r>
              <w:rPr>
                <w:rFonts w:hint="eastAsia" w:cs="Times New Roman"/>
                <w:color w:val="auto"/>
                <w:kern w:val="2"/>
                <w:sz w:val="21"/>
                <w:szCs w:val="21"/>
                <w:highlight w:val="none"/>
                <w:lang w:val="en-US" w:eastAsia="zh-CN" w:bidi="ar"/>
              </w:rPr>
              <w:t>16</w:t>
            </w:r>
            <w:r>
              <w:rPr>
                <w:rFonts w:hint="default" w:ascii="Times New Roman" w:hAnsi="Times New Roman" w:eastAsia="宋体" w:cs="Times New Roman"/>
                <w:color w:val="auto"/>
                <w:kern w:val="2"/>
                <w:sz w:val="21"/>
                <w:szCs w:val="21"/>
                <w:highlight w:val="none"/>
                <w:lang w:bidi="ar"/>
              </w:rPr>
              <w:t>。</w:t>
            </w:r>
          </w:p>
          <w:p w14:paraId="5107DD45">
            <w:pPr>
              <w:pStyle w:val="2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2"/>
                <w:sz w:val="21"/>
                <w:szCs w:val="21"/>
                <w:highlight w:val="none"/>
                <w:lang w:bidi="ar"/>
              </w:rPr>
              <w:t>表4-</w:t>
            </w:r>
            <w:r>
              <w:rPr>
                <w:rFonts w:hint="eastAsia" w:cs="Times New Roman"/>
                <w:b/>
                <w:bCs/>
                <w:color w:val="auto"/>
                <w:kern w:val="2"/>
                <w:sz w:val="21"/>
                <w:szCs w:val="21"/>
                <w:highlight w:val="none"/>
                <w:lang w:val="en-US" w:eastAsia="zh-CN" w:bidi="ar"/>
              </w:rPr>
              <w:t>16</w:t>
            </w:r>
            <w:r>
              <w:rPr>
                <w:rFonts w:hint="default" w:ascii="Times New Roman" w:hAnsi="Times New Roman" w:eastAsia="宋体" w:cs="Times New Roman"/>
                <w:b/>
                <w:bCs/>
                <w:color w:val="auto"/>
                <w:kern w:val="2"/>
                <w:sz w:val="21"/>
                <w:szCs w:val="21"/>
                <w:highlight w:val="none"/>
                <w:lang w:bidi="ar"/>
              </w:rPr>
              <w:t xml:space="preserve">  项目卫生防护距离计算结果表</w:t>
            </w:r>
          </w:p>
          <w:tbl>
            <w:tblPr>
              <w:tblStyle w:val="26"/>
              <w:tblW w:w="86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2"/>
              <w:gridCol w:w="1180"/>
              <w:gridCol w:w="1348"/>
              <w:gridCol w:w="1230"/>
              <w:gridCol w:w="1230"/>
              <w:gridCol w:w="1875"/>
            </w:tblGrid>
            <w:tr w14:paraId="757A0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2" w:type="dxa"/>
                  <w:tcBorders>
                    <w:top w:val="single" w:color="auto" w:sz="4" w:space="0"/>
                    <w:left w:val="single" w:color="auto" w:sz="4" w:space="0"/>
                    <w:bottom w:val="single" w:color="auto" w:sz="4" w:space="0"/>
                    <w:right w:val="single" w:color="auto" w:sz="4" w:space="0"/>
                  </w:tcBorders>
                  <w:noWrap w:val="0"/>
                  <w:vAlign w:val="center"/>
                </w:tcPr>
                <w:p w14:paraId="672DA40C">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b/>
                      <w:color w:val="auto"/>
                      <w:highlight w:val="none"/>
                      <w:lang w:bidi="ar"/>
                    </w:rPr>
                  </w:pPr>
                  <w:r>
                    <w:rPr>
                      <w:rFonts w:hint="default" w:ascii="Times New Roman" w:hAnsi="Times New Roman" w:eastAsia="宋体" w:cs="Times New Roman"/>
                      <w:b/>
                      <w:color w:val="auto"/>
                      <w:highlight w:val="none"/>
                      <w:lang w:bidi="ar"/>
                    </w:rPr>
                    <w:t>产污单元</w:t>
                  </w:r>
                </w:p>
              </w:tc>
              <w:tc>
                <w:tcPr>
                  <w:tcW w:w="1180" w:type="dxa"/>
                  <w:tcBorders>
                    <w:top w:val="single" w:color="auto" w:sz="4" w:space="0"/>
                    <w:left w:val="single" w:color="auto" w:sz="4" w:space="0"/>
                    <w:bottom w:val="single" w:color="auto" w:sz="4" w:space="0"/>
                    <w:right w:val="single" w:color="auto" w:sz="4" w:space="0"/>
                  </w:tcBorders>
                  <w:noWrap w:val="0"/>
                  <w:vAlign w:val="center"/>
                </w:tcPr>
                <w:p w14:paraId="08DCC71C">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污染物</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14C2FB29">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Cm</w:t>
                  </w:r>
                  <w:r>
                    <w:rPr>
                      <w:rFonts w:hint="default" w:ascii="Times New Roman" w:hAnsi="Times New Roman" w:eastAsia="宋体" w:cs="Times New Roman"/>
                      <w:b/>
                      <w:color w:val="auto"/>
                      <w:highlight w:val="none"/>
                    </w:rPr>
                    <w:t>（mg/m</w:t>
                  </w:r>
                  <w:r>
                    <w:rPr>
                      <w:rFonts w:hint="default" w:ascii="Times New Roman" w:hAnsi="Times New Roman" w:eastAsia="宋体" w:cs="Times New Roman"/>
                      <w:b/>
                      <w:color w:val="auto"/>
                      <w:highlight w:val="none"/>
                      <w:vertAlign w:val="superscript"/>
                    </w:rPr>
                    <w:t>3</w:t>
                  </w:r>
                  <w:r>
                    <w:rPr>
                      <w:rFonts w:hint="default" w:ascii="Times New Roman" w:hAnsi="Times New Roman" w:eastAsia="宋体" w:cs="Times New Roman"/>
                      <w:b/>
                      <w:color w:val="auto"/>
                      <w:highlight w:val="none"/>
                    </w:rPr>
                    <w:t>）</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3D37005">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bidi="ar"/>
                    </w:rPr>
                    <w:t>Qc</w:t>
                  </w:r>
                  <w:r>
                    <w:rPr>
                      <w:rFonts w:hint="default" w:ascii="Times New Roman" w:hAnsi="Times New Roman" w:eastAsia="宋体" w:cs="Times New Roman"/>
                      <w:b/>
                      <w:color w:val="auto"/>
                      <w:highlight w:val="none"/>
                    </w:rPr>
                    <w:t>（kg/h）</w:t>
                  </w:r>
                </w:p>
              </w:tc>
              <w:tc>
                <w:tcPr>
                  <w:tcW w:w="123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645B93">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b/>
                      <w:color w:val="auto"/>
                      <w:kern w:val="2"/>
                      <w:sz w:val="21"/>
                      <w:szCs w:val="24"/>
                      <w:highlight w:val="none"/>
                      <w:lang w:val="en-US" w:eastAsia="zh-CN" w:bidi="ar-SA"/>
                    </w:rPr>
                  </w:pPr>
                  <w:r>
                    <w:rPr>
                      <w:rFonts w:hint="default" w:ascii="Times New Roman" w:hAnsi="Times New Roman" w:eastAsia="宋体" w:cs="Times New Roman"/>
                      <w:b/>
                      <w:color w:val="auto"/>
                      <w:highlight w:val="none"/>
                      <w:lang w:bidi="ar"/>
                    </w:rPr>
                    <w:t>计算值</w:t>
                  </w:r>
                </w:p>
              </w:tc>
              <w:tc>
                <w:tcPr>
                  <w:tcW w:w="18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50A4A3">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b/>
                      <w:color w:val="auto"/>
                      <w:kern w:val="2"/>
                      <w:sz w:val="21"/>
                      <w:szCs w:val="24"/>
                      <w:highlight w:val="none"/>
                      <w:lang w:val="en-US" w:eastAsia="zh-CN" w:bidi="ar"/>
                    </w:rPr>
                  </w:pPr>
                  <w:r>
                    <w:rPr>
                      <w:rFonts w:hint="default" w:ascii="Times New Roman" w:hAnsi="Times New Roman" w:eastAsia="宋体" w:cs="Times New Roman"/>
                      <w:b/>
                      <w:color w:val="auto"/>
                      <w:highlight w:val="none"/>
                      <w:lang w:bidi="ar"/>
                    </w:rPr>
                    <w:t>卫生防护距离</w:t>
                  </w:r>
                </w:p>
              </w:tc>
            </w:tr>
            <w:tr w14:paraId="4B68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2" w:type="dxa"/>
                  <w:tcBorders>
                    <w:top w:val="single" w:color="auto" w:sz="4" w:space="0"/>
                    <w:left w:val="single" w:color="auto" w:sz="4" w:space="0"/>
                    <w:right w:val="single" w:color="auto" w:sz="4" w:space="0"/>
                  </w:tcBorders>
                  <w:noWrap w:val="0"/>
                  <w:vAlign w:val="center"/>
                </w:tcPr>
                <w:p w14:paraId="55601E1B">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highlight w:val="none"/>
                      <w:lang w:val="en-US" w:eastAsia="zh-CN" w:bidi="ar"/>
                    </w:rPr>
                  </w:pPr>
                  <w:r>
                    <w:rPr>
                      <w:rFonts w:hint="eastAsia" w:ascii="Times New Roman" w:hAnsi="Times New Roman" w:eastAsia="宋体" w:cs="Times New Roman"/>
                      <w:color w:val="auto"/>
                      <w:highlight w:val="none"/>
                      <w:lang w:val="en-US" w:eastAsia="zh-CN" w:bidi="ar"/>
                    </w:rPr>
                    <w:t>液体复合微生物肥生产车间</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984AF0">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硫化氢</w:t>
                  </w:r>
                </w:p>
              </w:tc>
              <w:tc>
                <w:tcPr>
                  <w:tcW w:w="1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4F22E1">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0.01</w:t>
                  </w:r>
                </w:p>
              </w:tc>
              <w:tc>
                <w:tcPr>
                  <w:tcW w:w="123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122A8A">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kern w:val="2"/>
                      <w:sz w:val="21"/>
                      <w:szCs w:val="24"/>
                      <w:highlight w:val="none"/>
                      <w:lang w:val="en-US" w:eastAsia="zh-CN" w:bidi="ar"/>
                    </w:rPr>
                  </w:pPr>
                  <w:r>
                    <w:rPr>
                      <w:rFonts w:hint="eastAsia" w:ascii="Times New Roman" w:hAnsi="Times New Roman" w:eastAsia="宋体" w:cs="Times New Roman"/>
                      <w:color w:val="auto"/>
                      <w:highlight w:val="none"/>
                      <w:lang w:val="en-US" w:eastAsia="zh-CN" w:bidi="ar"/>
                    </w:rPr>
                    <w:t>0.002</w:t>
                  </w:r>
                </w:p>
              </w:tc>
              <w:tc>
                <w:tcPr>
                  <w:tcW w:w="123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375801">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22.7</w:t>
                  </w:r>
                </w:p>
              </w:tc>
              <w:tc>
                <w:tcPr>
                  <w:tcW w:w="18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444A5A">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kern w:val="2"/>
                      <w:sz w:val="21"/>
                      <w:szCs w:val="24"/>
                      <w:highlight w:val="none"/>
                      <w:lang w:val="en-US" w:eastAsia="zh-CN" w:bidi="ar"/>
                    </w:rPr>
                  </w:pPr>
                  <w:r>
                    <w:rPr>
                      <w:rFonts w:hint="eastAsia" w:ascii="Times New Roman" w:hAnsi="Times New Roman" w:eastAsia="宋体" w:cs="Times New Roman"/>
                      <w:color w:val="auto"/>
                      <w:highlight w:val="none"/>
                      <w:lang w:val="en-US" w:eastAsia="zh-CN" w:bidi="ar"/>
                    </w:rPr>
                    <w:t>50</w:t>
                  </w:r>
                  <w:r>
                    <w:rPr>
                      <w:rFonts w:hint="default" w:ascii="Times New Roman" w:hAnsi="Times New Roman" w:eastAsia="宋体" w:cs="Times New Roman"/>
                      <w:color w:val="auto"/>
                      <w:highlight w:val="none"/>
                      <w:lang w:bidi="ar"/>
                    </w:rPr>
                    <w:t>m</w:t>
                  </w:r>
                </w:p>
              </w:tc>
            </w:tr>
            <w:tr w14:paraId="0BF6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2" w:type="dxa"/>
                  <w:tcBorders>
                    <w:top w:val="single" w:color="auto" w:sz="4" w:space="0"/>
                    <w:left w:val="single" w:color="auto" w:sz="4" w:space="0"/>
                    <w:right w:val="single" w:color="auto" w:sz="4" w:space="0"/>
                  </w:tcBorders>
                  <w:noWrap w:val="0"/>
                  <w:vAlign w:val="center"/>
                </w:tcPr>
                <w:p w14:paraId="6B109477">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eastAsia" w:ascii="Times New Roman" w:hAnsi="Times New Roman" w:eastAsia="宋体" w:cs="Times New Roman"/>
                      <w:color w:val="auto"/>
                      <w:highlight w:val="none"/>
                      <w:lang w:val="en-US" w:eastAsia="zh-CN" w:bidi="ar"/>
                    </w:rPr>
                  </w:pPr>
                  <w:r>
                    <w:rPr>
                      <w:rFonts w:hint="eastAsia" w:ascii="Times New Roman" w:hAnsi="Times New Roman" w:eastAsia="宋体" w:cs="Times New Roman"/>
                      <w:color w:val="auto"/>
                      <w:highlight w:val="none"/>
                      <w:lang w:val="en-US" w:eastAsia="zh-CN" w:bidi="ar"/>
                    </w:rPr>
                    <w:t>固体复合微生物肥生产车间</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896C20">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硫化氢</w:t>
                  </w:r>
                </w:p>
              </w:tc>
              <w:tc>
                <w:tcPr>
                  <w:tcW w:w="1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96D960">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0.01</w:t>
                  </w:r>
                </w:p>
              </w:tc>
              <w:tc>
                <w:tcPr>
                  <w:tcW w:w="123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848A8C">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kern w:val="2"/>
                      <w:sz w:val="21"/>
                      <w:szCs w:val="24"/>
                      <w:highlight w:val="none"/>
                      <w:lang w:val="en-US" w:eastAsia="zh-CN" w:bidi="ar"/>
                    </w:rPr>
                  </w:pPr>
                  <w:r>
                    <w:rPr>
                      <w:rFonts w:hint="eastAsia" w:ascii="Times New Roman" w:hAnsi="Times New Roman" w:eastAsia="宋体" w:cs="Times New Roman"/>
                      <w:color w:val="auto"/>
                      <w:highlight w:val="none"/>
                      <w:lang w:val="en-US" w:eastAsia="zh-CN" w:bidi="ar"/>
                    </w:rPr>
                    <w:t>0.0024</w:t>
                  </w:r>
                </w:p>
              </w:tc>
              <w:tc>
                <w:tcPr>
                  <w:tcW w:w="123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28ABC5">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kern w:val="2"/>
                      <w:sz w:val="21"/>
                      <w:szCs w:val="24"/>
                      <w:highlight w:val="none"/>
                      <w:lang w:val="en-US" w:eastAsia="zh-CN" w:bidi="ar"/>
                    </w:rPr>
                  </w:pPr>
                  <w:r>
                    <w:rPr>
                      <w:rFonts w:hint="eastAsia" w:ascii="Times New Roman" w:hAnsi="Times New Roman" w:eastAsia="宋体" w:cs="Times New Roman"/>
                      <w:color w:val="auto"/>
                      <w:kern w:val="2"/>
                      <w:sz w:val="21"/>
                      <w:szCs w:val="24"/>
                      <w:highlight w:val="none"/>
                      <w:lang w:val="en-US" w:eastAsia="zh-CN" w:bidi="ar"/>
                    </w:rPr>
                    <w:t>27.3</w:t>
                  </w:r>
                </w:p>
              </w:tc>
              <w:tc>
                <w:tcPr>
                  <w:tcW w:w="18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BF123E">
                  <w:pPr>
                    <w:keepNext w:val="0"/>
                    <w:keepLines w:val="0"/>
                    <w:pageBreakBefore w:val="0"/>
                    <w:widowControl w:val="0"/>
                    <w:kinsoku/>
                    <w:wordWrap/>
                    <w:overflowPunct/>
                    <w:topLinePunct w:val="0"/>
                    <w:autoSpaceDE/>
                    <w:autoSpaceDN/>
                    <w:bidi w:val="0"/>
                    <w:adjustRightInd/>
                    <w:snapToGrid/>
                    <w:spacing w:line="320" w:lineRule="exact"/>
                    <w:jc w:val="center"/>
                    <w:textAlignment w:val="baseline"/>
                    <w:rPr>
                      <w:rFonts w:hint="default" w:ascii="Times New Roman" w:hAnsi="Times New Roman" w:eastAsia="宋体" w:cs="Times New Roman"/>
                      <w:color w:val="auto"/>
                      <w:kern w:val="2"/>
                      <w:sz w:val="21"/>
                      <w:szCs w:val="24"/>
                      <w:highlight w:val="none"/>
                      <w:lang w:val="en-US" w:eastAsia="zh-CN" w:bidi="ar"/>
                    </w:rPr>
                  </w:pPr>
                  <w:r>
                    <w:rPr>
                      <w:rFonts w:hint="eastAsia" w:ascii="Times New Roman" w:hAnsi="Times New Roman" w:eastAsia="宋体" w:cs="Times New Roman"/>
                      <w:color w:val="auto"/>
                      <w:kern w:val="2"/>
                      <w:sz w:val="21"/>
                      <w:szCs w:val="24"/>
                      <w:highlight w:val="none"/>
                      <w:lang w:val="en-US" w:eastAsia="zh-CN" w:bidi="ar"/>
                    </w:rPr>
                    <w:t>50m</w:t>
                  </w:r>
                </w:p>
              </w:tc>
            </w:tr>
          </w:tbl>
          <w:p w14:paraId="65A2709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80" w:firstLineChars="200"/>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bidi="ar"/>
              </w:rPr>
              <w:t>根据</w:t>
            </w:r>
            <w:r>
              <w:rPr>
                <w:rFonts w:hint="default" w:ascii="Times New Roman" w:hAnsi="Times New Roman" w:eastAsia="宋体" w:cs="Times New Roman"/>
                <w:bCs/>
                <w:color w:val="auto"/>
                <w:sz w:val="24"/>
                <w:szCs w:val="24"/>
                <w:highlight w:val="none"/>
                <w:lang w:bidi="ar"/>
              </w:rPr>
              <w:t>上述卫生防护距离计算结果</w:t>
            </w:r>
            <w:r>
              <w:rPr>
                <w:rFonts w:hint="default" w:ascii="Times New Roman" w:hAnsi="Times New Roman" w:eastAsia="宋体" w:cs="Times New Roman"/>
                <w:bCs/>
                <w:color w:val="auto"/>
                <w:sz w:val="24"/>
                <w:szCs w:val="24"/>
                <w:highlight w:val="none"/>
                <w:lang w:val="en-US" w:eastAsia="zh-CN" w:bidi="ar"/>
              </w:rPr>
              <w:t>和</w:t>
            </w:r>
            <w:r>
              <w:rPr>
                <w:rFonts w:hint="default" w:ascii="Times New Roman" w:hAnsi="Times New Roman" w:eastAsia="宋体" w:cs="Times New Roman"/>
                <w:color w:val="auto"/>
                <w:sz w:val="24"/>
                <w:szCs w:val="24"/>
                <w:highlight w:val="none"/>
              </w:rPr>
              <w:t>《大气有害物质无组织排放卫生防护距离推导技术导则》（GBT39499-2020），本次评价提出卫生防护距离确定为产污单元边界往外</w:t>
            </w:r>
            <w:r>
              <w:rPr>
                <w:rFonts w:hint="eastAsia" w:ascii="Times New Roman" w:hAnsi="Times New Roman" w:eastAsia="宋体" w:cs="Times New Roman"/>
                <w:color w:val="auto"/>
                <w:sz w:val="24"/>
                <w:szCs w:val="24"/>
                <w:highlight w:val="none"/>
                <w:lang w:val="en-US" w:eastAsia="zh-CN"/>
              </w:rPr>
              <w:t>50</w:t>
            </w:r>
            <w:r>
              <w:rPr>
                <w:rFonts w:hint="default" w:ascii="Times New Roman" w:hAnsi="Times New Roman" w:eastAsia="宋体" w:cs="Times New Roman"/>
                <w:color w:val="auto"/>
                <w:sz w:val="24"/>
                <w:szCs w:val="24"/>
                <w:highlight w:val="none"/>
              </w:rPr>
              <w:t>m范围</w:t>
            </w:r>
            <w:r>
              <w:rPr>
                <w:rFonts w:hint="eastAsia" w:ascii="Times New Roman" w:hAnsi="Times New Roman" w:eastAsia="宋体" w:cs="Times New Roman"/>
                <w:color w:val="auto"/>
                <w:sz w:val="24"/>
                <w:szCs w:val="24"/>
                <w:highlight w:val="none"/>
                <w:lang w:eastAsia="zh-CN"/>
              </w:rPr>
              <w:t>。</w:t>
            </w:r>
          </w:p>
          <w:p w14:paraId="5D3FC73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b w:val="0"/>
                <w:bCs w:val="0"/>
                <w:color w:val="auto"/>
                <w:kern w:val="0"/>
                <w:sz w:val="24"/>
                <w:highlight w:val="none"/>
              </w:rPr>
            </w:pPr>
            <w:r>
              <w:rPr>
                <w:rFonts w:hint="eastAsia"/>
                <w:b w:val="0"/>
                <w:bCs w:val="0"/>
                <w:color w:val="auto"/>
                <w:kern w:val="0"/>
                <w:sz w:val="24"/>
                <w:szCs w:val="24"/>
                <w:highlight w:val="none"/>
              </w:rPr>
              <w:t>根据现场踏勘，项目最近敏感点为厂区</w:t>
            </w:r>
            <w:r>
              <w:rPr>
                <w:rFonts w:hint="eastAsia"/>
                <w:b w:val="0"/>
                <w:bCs w:val="0"/>
                <w:color w:val="auto"/>
                <w:kern w:val="0"/>
                <w:sz w:val="24"/>
                <w:szCs w:val="24"/>
                <w:highlight w:val="none"/>
                <w:lang w:val="en-US" w:eastAsia="zh-CN"/>
              </w:rPr>
              <w:t>西南</w:t>
            </w:r>
            <w:r>
              <w:rPr>
                <w:rFonts w:hint="eastAsia"/>
                <w:b w:val="0"/>
                <w:bCs w:val="0"/>
                <w:color w:val="auto"/>
                <w:kern w:val="0"/>
                <w:sz w:val="24"/>
                <w:szCs w:val="24"/>
                <w:highlight w:val="none"/>
              </w:rPr>
              <w:t>侧157m的</w:t>
            </w:r>
            <w:r>
              <w:rPr>
                <w:rFonts w:hint="eastAsia"/>
                <w:b w:val="0"/>
                <w:bCs w:val="0"/>
                <w:color w:val="auto"/>
                <w:kern w:val="0"/>
                <w:sz w:val="24"/>
                <w:szCs w:val="24"/>
                <w:highlight w:val="none"/>
                <w:lang w:val="en-US" w:eastAsia="zh-CN"/>
              </w:rPr>
              <w:t>散户</w:t>
            </w:r>
            <w:r>
              <w:rPr>
                <w:rFonts w:hint="eastAsia"/>
                <w:b w:val="0"/>
                <w:bCs w:val="0"/>
                <w:color w:val="auto"/>
                <w:kern w:val="0"/>
                <w:sz w:val="24"/>
                <w:szCs w:val="24"/>
                <w:highlight w:val="none"/>
              </w:rPr>
              <w:t>，不在项目卫生防护距离内，项目卫生防护距离内无居民、医院等敏感目标，满足卫生防护距离的要求。</w:t>
            </w:r>
          </w:p>
          <w:p w14:paraId="5DEA46BD">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b/>
                <w:bCs/>
                <w:color w:val="auto"/>
                <w:kern w:val="0"/>
                <w:sz w:val="24"/>
                <w:szCs w:val="32"/>
                <w:highlight w:val="none"/>
              </w:rPr>
            </w:pPr>
            <w:r>
              <w:rPr>
                <w:rFonts w:hint="eastAsia"/>
                <w:b/>
                <w:bCs/>
                <w:color w:val="auto"/>
                <w:kern w:val="0"/>
                <w:sz w:val="24"/>
                <w:highlight w:val="none"/>
                <w:lang w:eastAsia="zh-CN"/>
              </w:rPr>
              <w:t>（</w:t>
            </w:r>
            <w:r>
              <w:rPr>
                <w:rFonts w:hint="eastAsia"/>
                <w:b/>
                <w:bCs/>
                <w:color w:val="auto"/>
                <w:kern w:val="0"/>
                <w:sz w:val="24"/>
                <w:highlight w:val="none"/>
                <w:lang w:val="en-US" w:eastAsia="zh-CN"/>
              </w:rPr>
              <w:t>7</w:t>
            </w:r>
            <w:r>
              <w:rPr>
                <w:rFonts w:hint="eastAsia"/>
                <w:b/>
                <w:bCs/>
                <w:color w:val="auto"/>
                <w:kern w:val="0"/>
                <w:sz w:val="24"/>
                <w:highlight w:val="none"/>
                <w:lang w:eastAsia="zh-CN"/>
              </w:rPr>
              <w:t>）</w:t>
            </w:r>
            <w:r>
              <w:rPr>
                <w:b/>
                <w:bCs/>
                <w:color w:val="auto"/>
                <w:kern w:val="0"/>
                <w:sz w:val="24"/>
                <w:szCs w:val="32"/>
                <w:highlight w:val="none"/>
              </w:rPr>
              <w:t>大气污染物</w:t>
            </w:r>
            <w:r>
              <w:rPr>
                <w:rFonts w:hint="eastAsia"/>
                <w:b/>
                <w:bCs/>
                <w:color w:val="auto"/>
                <w:kern w:val="0"/>
                <w:sz w:val="24"/>
                <w:szCs w:val="32"/>
                <w:highlight w:val="none"/>
              </w:rPr>
              <w:t>环境影响分析结论</w:t>
            </w:r>
          </w:p>
          <w:p w14:paraId="21840BC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outlineLvl w:val="9"/>
              <w:rPr>
                <w:rFonts w:hint="eastAsia" w:ascii="Times New Roman" w:hAnsi="Times New Roman" w:eastAsia="宋体" w:cs="Times New Roman"/>
                <w:b w:val="0"/>
                <w:bCs w:val="0"/>
                <w:color w:val="auto"/>
                <w:sz w:val="24"/>
                <w:highlight w:val="none"/>
                <w:shd w:val="clear"/>
                <w:lang w:val="zh-CN"/>
              </w:rPr>
            </w:pPr>
            <w:r>
              <w:rPr>
                <w:rFonts w:hint="eastAsia" w:ascii="Times New Roman" w:hAnsi="Times New Roman" w:eastAsia="宋体" w:cs="Times New Roman"/>
                <w:color w:val="auto"/>
                <w:sz w:val="24"/>
                <w:szCs w:val="22"/>
                <w:highlight w:val="none"/>
                <w:lang w:val="en-US" w:eastAsia="zh-CN"/>
              </w:rPr>
              <w:t>综上所述，本项目DA003排气筒排放的氨、硫化氢排放速率满足《恶臭污染物排放标准》（GB14554-93）中表2二级标准大气污染物排放限值要求；DA004排气筒排放的颗粒物排放速率及排放浓度均满足《大气污染物综合排放标准》（GB16297-1996）中表2二级标准大气污染物排放限值要求；本项目建设完成后</w:t>
            </w:r>
            <w:r>
              <w:rPr>
                <w:rFonts w:hint="eastAsia"/>
                <w:color w:val="auto"/>
                <w:kern w:val="0"/>
                <w:sz w:val="24"/>
                <w:szCs w:val="32"/>
                <w:highlight w:val="none"/>
                <w:lang w:val="en-US" w:eastAsia="zh-CN"/>
              </w:rPr>
              <w:t>全厂无组织排放的氨、硫化氢的排放量相比现有项目相比氨和硫化氢的排放量均有消减，厂界无组织排放的氨、硫化氢、臭气浓度满足《恶臭污染物排放标准》（GB14554-93）表1、表2二级新改扩建标准；经AERSCREEN模型预测，本项目液体复合微生物肥生产车间颗粒物最大落地浓度为0.147mg/m</w:t>
            </w:r>
            <w:r>
              <w:rPr>
                <w:rFonts w:hint="eastAsia"/>
                <w:color w:val="auto"/>
                <w:kern w:val="0"/>
                <w:sz w:val="24"/>
                <w:szCs w:val="32"/>
                <w:highlight w:val="none"/>
                <w:vertAlign w:val="superscript"/>
                <w:lang w:val="en-US" w:eastAsia="zh-CN"/>
              </w:rPr>
              <w:t>3</w:t>
            </w:r>
            <w:r>
              <w:rPr>
                <w:rFonts w:hint="eastAsia"/>
                <w:color w:val="auto"/>
                <w:kern w:val="0"/>
                <w:sz w:val="24"/>
                <w:szCs w:val="32"/>
                <w:highlight w:val="none"/>
                <w:lang w:val="en-US" w:eastAsia="zh-CN"/>
              </w:rPr>
              <w:t>，出现距离为下风向23m处；液体复合微生物肥生产车间颗粒物最大落地浓度为0.373mg/m</w:t>
            </w:r>
            <w:r>
              <w:rPr>
                <w:rFonts w:hint="eastAsia"/>
                <w:color w:val="auto"/>
                <w:kern w:val="0"/>
                <w:sz w:val="24"/>
                <w:szCs w:val="32"/>
                <w:highlight w:val="none"/>
                <w:vertAlign w:val="superscript"/>
                <w:lang w:val="en-US" w:eastAsia="zh-CN"/>
              </w:rPr>
              <w:t>3</w:t>
            </w:r>
            <w:r>
              <w:rPr>
                <w:rFonts w:hint="eastAsia"/>
                <w:color w:val="auto"/>
                <w:kern w:val="0"/>
                <w:sz w:val="24"/>
                <w:szCs w:val="32"/>
                <w:highlight w:val="none"/>
                <w:lang w:val="en-US" w:eastAsia="zh-CN"/>
              </w:rPr>
              <w:t>，出现距离为下风向29m处；满足《大气污染物综合排放标准》（GB16297-1996）的要求，即浓度≤1mg/m</w:t>
            </w:r>
            <w:r>
              <w:rPr>
                <w:rFonts w:hint="eastAsia"/>
                <w:color w:val="auto"/>
                <w:kern w:val="0"/>
                <w:sz w:val="24"/>
                <w:szCs w:val="32"/>
                <w:highlight w:val="none"/>
                <w:vertAlign w:val="superscript"/>
                <w:lang w:val="en-US" w:eastAsia="zh-CN"/>
              </w:rPr>
              <w:t>3</w:t>
            </w:r>
            <w:r>
              <w:rPr>
                <w:rFonts w:hint="eastAsia"/>
                <w:color w:val="auto"/>
                <w:kern w:val="0"/>
                <w:sz w:val="24"/>
                <w:szCs w:val="32"/>
                <w:highlight w:val="none"/>
                <w:vertAlign w:val="baseline"/>
                <w:lang w:val="en-US" w:eastAsia="zh-CN"/>
              </w:rPr>
              <w:t>，颗粒物</w:t>
            </w:r>
            <w:r>
              <w:rPr>
                <w:rFonts w:hint="eastAsia"/>
                <w:color w:val="auto"/>
                <w:kern w:val="0"/>
                <w:sz w:val="24"/>
                <w:szCs w:val="32"/>
                <w:highlight w:val="none"/>
                <w:lang w:val="en-US" w:eastAsia="zh-CN"/>
              </w:rPr>
              <w:t>最大落地浓度373ug/m</w:t>
            </w:r>
            <w:r>
              <w:rPr>
                <w:rFonts w:hint="eastAsia"/>
                <w:color w:val="auto"/>
                <w:kern w:val="0"/>
                <w:sz w:val="24"/>
                <w:szCs w:val="32"/>
                <w:highlight w:val="none"/>
                <w:vertAlign w:val="superscript"/>
                <w:lang w:val="en-US" w:eastAsia="zh-CN"/>
              </w:rPr>
              <w:t>3</w:t>
            </w:r>
            <w:r>
              <w:rPr>
                <w:rFonts w:hint="eastAsia"/>
                <w:color w:val="auto"/>
                <w:kern w:val="0"/>
                <w:sz w:val="24"/>
                <w:szCs w:val="32"/>
                <w:highlight w:val="none"/>
                <w:lang w:val="en-US" w:eastAsia="zh-CN"/>
              </w:rPr>
              <w:t>满足《环境空气质量标准》（GB3095-2026）中的二级标准要求（TSP浓度≤900μg/m</w:t>
            </w:r>
            <w:r>
              <w:rPr>
                <w:rFonts w:hint="eastAsia"/>
                <w:color w:val="auto"/>
                <w:kern w:val="0"/>
                <w:sz w:val="24"/>
                <w:szCs w:val="32"/>
                <w:highlight w:val="none"/>
                <w:vertAlign w:val="superscript"/>
                <w:lang w:val="en-US" w:eastAsia="zh-CN"/>
              </w:rPr>
              <w:t>3</w:t>
            </w:r>
            <w:r>
              <w:rPr>
                <w:rFonts w:hint="eastAsia"/>
                <w:color w:val="auto"/>
                <w:kern w:val="0"/>
                <w:sz w:val="24"/>
                <w:szCs w:val="32"/>
                <w:highlight w:val="none"/>
                <w:lang w:val="en-US" w:eastAsia="zh-CN"/>
              </w:rPr>
              <w:t>）要求，</w:t>
            </w:r>
            <w:r>
              <w:rPr>
                <w:rFonts w:hint="eastAsia" w:ascii="Times New Roman" w:hAnsi="Times New Roman" w:eastAsia="宋体" w:cs="Times New Roman"/>
                <w:caps w:val="0"/>
                <w:color w:val="auto"/>
                <w:kern w:val="2"/>
                <w:sz w:val="24"/>
                <w:szCs w:val="24"/>
                <w:highlight w:val="none"/>
                <w:lang w:val="en-US" w:eastAsia="zh-CN" w:bidi="ar"/>
              </w:rPr>
              <w:t>项目厂界周围500m范围内最近的大气环境保护目标为西南侧74m散户和313m处的大法古村，寻甸县常年主导风向为西南风，保护目标不在区域常年主导风向的下风向范围，</w:t>
            </w:r>
            <w:r>
              <w:rPr>
                <w:rFonts w:hint="eastAsia" w:ascii="Times New Roman" w:hAnsi="Times New Roman" w:eastAsia="宋体" w:cs="Times New Roman"/>
                <w:color w:val="auto"/>
                <w:sz w:val="24"/>
                <w:szCs w:val="24"/>
                <w:highlight w:val="none"/>
                <w:lang w:eastAsia="zh-CN"/>
              </w:rPr>
              <w:t>项目</w:t>
            </w:r>
            <w:r>
              <w:rPr>
                <w:rFonts w:hint="eastAsia" w:ascii="Times New Roman" w:hAnsi="Times New Roman" w:eastAsia="宋体" w:cs="Times New Roman"/>
                <w:color w:val="auto"/>
                <w:sz w:val="24"/>
                <w:szCs w:val="32"/>
                <w:highlight w:val="none"/>
                <w:lang w:val="en-US" w:eastAsia="zh-CN"/>
              </w:rPr>
              <w:t>废气</w:t>
            </w:r>
            <w:r>
              <w:rPr>
                <w:rFonts w:hint="eastAsia" w:ascii="Times New Roman" w:hAnsi="Times New Roman" w:eastAsia="宋体" w:cs="Times New Roman"/>
                <w:color w:val="auto"/>
                <w:sz w:val="24"/>
                <w:szCs w:val="24"/>
                <w:highlight w:val="none"/>
                <w:lang w:eastAsia="zh-CN"/>
              </w:rPr>
              <w:t>经处理达标</w:t>
            </w:r>
            <w:r>
              <w:rPr>
                <w:rFonts w:hint="eastAsia" w:ascii="Times New Roman" w:hAnsi="Times New Roman" w:eastAsia="宋体" w:cs="Times New Roman"/>
                <w:color w:val="auto"/>
                <w:sz w:val="24"/>
                <w:szCs w:val="24"/>
                <w:highlight w:val="none"/>
                <w:lang w:val="en-US" w:eastAsia="zh-CN"/>
              </w:rPr>
              <w:t>后</w:t>
            </w:r>
            <w:r>
              <w:rPr>
                <w:rFonts w:hint="eastAsia" w:ascii="Times New Roman" w:hAnsi="Times New Roman" w:eastAsia="宋体" w:cs="Times New Roman"/>
                <w:color w:val="auto"/>
                <w:sz w:val="24"/>
                <w:szCs w:val="24"/>
                <w:highlight w:val="none"/>
                <w:lang w:eastAsia="zh-CN"/>
              </w:rPr>
              <w:t>排放，</w:t>
            </w:r>
            <w:r>
              <w:rPr>
                <w:rFonts w:hint="eastAsia" w:ascii="Times New Roman" w:hAnsi="Times New Roman" w:eastAsia="宋体" w:cs="Times New Roman"/>
                <w:color w:val="auto"/>
                <w:sz w:val="24"/>
                <w:szCs w:val="24"/>
                <w:highlight w:val="none"/>
                <w:lang w:val="en-US" w:eastAsia="zh-CN"/>
              </w:rPr>
              <w:t>对大法古村</w:t>
            </w:r>
            <w:r>
              <w:rPr>
                <w:rFonts w:hint="eastAsia" w:ascii="Times New Roman" w:hAnsi="Times New Roman" w:eastAsia="宋体" w:cs="Times New Roman"/>
                <w:color w:val="auto"/>
                <w:sz w:val="24"/>
                <w:szCs w:val="24"/>
                <w:highlight w:val="none"/>
                <w:lang w:eastAsia="zh-CN"/>
              </w:rPr>
              <w:t>影响有限，基本不会对其造成影响。</w:t>
            </w:r>
          </w:p>
          <w:p w14:paraId="22E65CC6">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bCs/>
                <w:color w:val="auto"/>
                <w:kern w:val="0"/>
                <w:sz w:val="24"/>
                <w:highlight w:val="none"/>
              </w:rPr>
            </w:pPr>
            <w:r>
              <w:rPr>
                <w:rFonts w:hint="eastAsia"/>
                <w:b/>
                <w:bCs/>
                <w:color w:val="auto"/>
                <w:kern w:val="0"/>
                <w:sz w:val="24"/>
                <w:highlight w:val="none"/>
                <w:lang w:eastAsia="zh-CN"/>
              </w:rPr>
              <w:t>（</w:t>
            </w:r>
            <w:r>
              <w:rPr>
                <w:rFonts w:hint="eastAsia"/>
                <w:b/>
                <w:bCs/>
                <w:color w:val="auto"/>
                <w:kern w:val="0"/>
                <w:sz w:val="24"/>
                <w:highlight w:val="none"/>
                <w:lang w:val="en-US" w:eastAsia="zh-CN"/>
              </w:rPr>
              <w:t>8</w:t>
            </w:r>
            <w:r>
              <w:rPr>
                <w:rFonts w:hint="eastAsia"/>
                <w:b/>
                <w:bCs/>
                <w:color w:val="auto"/>
                <w:kern w:val="0"/>
                <w:sz w:val="24"/>
                <w:highlight w:val="none"/>
                <w:lang w:eastAsia="zh-CN"/>
              </w:rPr>
              <w:t>）</w:t>
            </w:r>
            <w:r>
              <w:rPr>
                <w:rFonts w:hint="eastAsia"/>
                <w:b/>
                <w:bCs/>
                <w:color w:val="auto"/>
                <w:kern w:val="0"/>
                <w:sz w:val="24"/>
                <w:highlight w:val="none"/>
              </w:rPr>
              <w:t>废气自行监测要求</w:t>
            </w:r>
          </w:p>
          <w:p w14:paraId="7A81CB7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highlight w:val="none"/>
              </w:rPr>
            </w:pPr>
            <w:r>
              <w:rPr>
                <w:rFonts w:hint="eastAsia"/>
                <w:bCs/>
                <w:color w:val="auto"/>
                <w:kern w:val="0"/>
                <w:sz w:val="24"/>
                <w:highlight w:val="none"/>
              </w:rPr>
              <w:t>环评根据《排污单位自行监测技术指南磷肥、钾肥、复混肥料、有机肥料和微生物肥料》（HJ1088—2020）制定废气监测计划。</w:t>
            </w:r>
            <w:r>
              <w:rPr>
                <w:rFonts w:hint="eastAsia"/>
                <w:color w:val="auto"/>
                <w:kern w:val="0"/>
                <w:sz w:val="24"/>
                <w:highlight w:val="none"/>
                <w:lang w:val="en-US" w:eastAsia="zh-CN"/>
              </w:rPr>
              <w:t>本项目建设完成后全厂</w:t>
            </w:r>
            <w:r>
              <w:rPr>
                <w:color w:val="auto"/>
                <w:kern w:val="0"/>
                <w:sz w:val="24"/>
                <w:highlight w:val="none"/>
              </w:rPr>
              <w:t>运营期废气监测计划见表</w:t>
            </w:r>
            <w:r>
              <w:rPr>
                <w:rFonts w:hint="eastAsia"/>
                <w:color w:val="auto"/>
                <w:kern w:val="0"/>
                <w:sz w:val="24"/>
                <w:highlight w:val="none"/>
              </w:rPr>
              <w:t>4-</w:t>
            </w:r>
            <w:r>
              <w:rPr>
                <w:rFonts w:hint="eastAsia"/>
                <w:color w:val="auto"/>
                <w:kern w:val="0"/>
                <w:sz w:val="24"/>
                <w:highlight w:val="none"/>
                <w:lang w:val="en-US" w:eastAsia="zh-CN"/>
              </w:rPr>
              <w:t>17</w:t>
            </w:r>
            <w:r>
              <w:rPr>
                <w:color w:val="auto"/>
                <w:kern w:val="0"/>
                <w:sz w:val="24"/>
                <w:highlight w:val="none"/>
              </w:rPr>
              <w:t>。</w:t>
            </w:r>
          </w:p>
          <w:p w14:paraId="60680652">
            <w:pPr>
              <w:jc w:val="center"/>
              <w:rPr>
                <w:rFonts w:hint="default" w:ascii="Times New Roman" w:hAnsi="Times New Roman" w:eastAsia="宋体" w:cs="Times New Roman"/>
                <w:b/>
                <w:bCs/>
                <w:color w:val="auto"/>
                <w:spacing w:val="8"/>
                <w:sz w:val="21"/>
                <w:szCs w:val="21"/>
                <w:highlight w:val="none"/>
              </w:rPr>
            </w:pPr>
            <w:r>
              <w:rPr>
                <w:rFonts w:hint="default" w:ascii="Times New Roman" w:hAnsi="Times New Roman" w:eastAsia="宋体" w:cs="Times New Roman"/>
                <w:b/>
                <w:bCs/>
                <w:color w:val="auto"/>
                <w:spacing w:val="8"/>
                <w:sz w:val="21"/>
                <w:szCs w:val="21"/>
                <w:highlight w:val="none"/>
              </w:rPr>
              <w:t>表4-</w:t>
            </w:r>
            <w:r>
              <w:rPr>
                <w:rFonts w:hint="eastAsia" w:cs="Times New Roman"/>
                <w:b/>
                <w:bCs/>
                <w:color w:val="auto"/>
                <w:spacing w:val="8"/>
                <w:sz w:val="21"/>
                <w:szCs w:val="21"/>
                <w:highlight w:val="none"/>
                <w:lang w:val="en-US" w:eastAsia="zh-CN"/>
              </w:rPr>
              <w:t>17</w:t>
            </w:r>
            <w:r>
              <w:rPr>
                <w:rFonts w:hint="eastAsia" w:ascii="Times New Roman" w:hAnsi="Times New Roman" w:eastAsia="宋体" w:cs="Times New Roman"/>
                <w:b/>
                <w:bCs/>
                <w:color w:val="auto"/>
                <w:spacing w:val="8"/>
                <w:sz w:val="21"/>
                <w:szCs w:val="21"/>
                <w:highlight w:val="none"/>
                <w:lang w:val="en-US" w:eastAsia="zh-CN"/>
              </w:rPr>
              <w:t xml:space="preserve">  </w:t>
            </w:r>
            <w:r>
              <w:rPr>
                <w:rFonts w:hint="default" w:ascii="Times New Roman" w:hAnsi="Times New Roman" w:eastAsia="宋体" w:cs="Times New Roman"/>
                <w:b/>
                <w:bCs/>
                <w:color w:val="auto"/>
                <w:spacing w:val="8"/>
                <w:sz w:val="21"/>
                <w:szCs w:val="21"/>
                <w:highlight w:val="none"/>
              </w:rPr>
              <w:t>运营期大气环境监测计划表</w:t>
            </w:r>
          </w:p>
          <w:tbl>
            <w:tblPr>
              <w:tblStyle w:val="26"/>
              <w:tblW w:w="8692"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1"/>
              <w:gridCol w:w="1580"/>
              <w:gridCol w:w="1884"/>
              <w:gridCol w:w="1398"/>
              <w:gridCol w:w="2999"/>
            </w:tblGrid>
            <w:tr w14:paraId="63D0E4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8" w:type="pct"/>
                  <w:tcBorders>
                    <w:left w:val="single" w:color="auto" w:sz="4" w:space="0"/>
                  </w:tcBorders>
                  <w:vAlign w:val="center"/>
                </w:tcPr>
                <w:p w14:paraId="11C77380">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color w:val="auto"/>
                      <w:kern w:val="0"/>
                      <w:sz w:val="21"/>
                      <w:szCs w:val="21"/>
                      <w:highlight w:val="none"/>
                    </w:rPr>
                  </w:pPr>
                  <w:r>
                    <w:rPr>
                      <w:rFonts w:hint="default" w:ascii="Times New Roman" w:hAnsi="Times New Roman" w:cs="Times New Roman" w:eastAsiaTheme="minorEastAsia"/>
                      <w:b/>
                      <w:color w:val="auto"/>
                      <w:kern w:val="0"/>
                      <w:sz w:val="21"/>
                      <w:szCs w:val="21"/>
                      <w:highlight w:val="none"/>
                    </w:rPr>
                    <w:t>类别</w:t>
                  </w:r>
                </w:p>
              </w:tc>
              <w:tc>
                <w:tcPr>
                  <w:tcW w:w="908" w:type="pct"/>
                  <w:vAlign w:val="center"/>
                </w:tcPr>
                <w:p w14:paraId="2BA6A4B5">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color w:val="auto"/>
                      <w:kern w:val="0"/>
                      <w:sz w:val="21"/>
                      <w:szCs w:val="21"/>
                      <w:highlight w:val="none"/>
                    </w:rPr>
                  </w:pPr>
                  <w:r>
                    <w:rPr>
                      <w:rFonts w:hint="default" w:ascii="Times New Roman" w:hAnsi="Times New Roman" w:cs="Times New Roman" w:eastAsiaTheme="minorEastAsia"/>
                      <w:b/>
                      <w:color w:val="auto"/>
                      <w:kern w:val="0"/>
                      <w:sz w:val="21"/>
                      <w:szCs w:val="21"/>
                      <w:highlight w:val="none"/>
                    </w:rPr>
                    <w:t>监测点位</w:t>
                  </w:r>
                </w:p>
              </w:tc>
              <w:tc>
                <w:tcPr>
                  <w:tcW w:w="1083" w:type="pct"/>
                  <w:vAlign w:val="center"/>
                </w:tcPr>
                <w:p w14:paraId="330977DD">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color w:val="auto"/>
                      <w:kern w:val="0"/>
                      <w:sz w:val="21"/>
                      <w:szCs w:val="21"/>
                      <w:highlight w:val="none"/>
                    </w:rPr>
                  </w:pPr>
                  <w:r>
                    <w:rPr>
                      <w:rFonts w:hint="default" w:ascii="Times New Roman" w:hAnsi="Times New Roman" w:cs="Times New Roman" w:eastAsiaTheme="minorEastAsia"/>
                      <w:b/>
                      <w:color w:val="auto"/>
                      <w:kern w:val="0"/>
                      <w:sz w:val="21"/>
                      <w:szCs w:val="21"/>
                      <w:highlight w:val="none"/>
                    </w:rPr>
                    <w:t>监测因子</w:t>
                  </w:r>
                </w:p>
              </w:tc>
              <w:tc>
                <w:tcPr>
                  <w:tcW w:w="804" w:type="pct"/>
                  <w:vAlign w:val="center"/>
                </w:tcPr>
                <w:p w14:paraId="0D483766">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color w:val="auto"/>
                      <w:kern w:val="0"/>
                      <w:sz w:val="21"/>
                      <w:szCs w:val="21"/>
                      <w:highlight w:val="none"/>
                    </w:rPr>
                  </w:pPr>
                  <w:r>
                    <w:rPr>
                      <w:rFonts w:hint="default" w:ascii="Times New Roman" w:hAnsi="Times New Roman" w:cs="Times New Roman" w:eastAsiaTheme="minorEastAsia"/>
                      <w:b/>
                      <w:color w:val="auto"/>
                      <w:kern w:val="0"/>
                      <w:sz w:val="21"/>
                      <w:szCs w:val="21"/>
                      <w:highlight w:val="none"/>
                    </w:rPr>
                    <w:t>监测频率</w:t>
                  </w:r>
                </w:p>
              </w:tc>
              <w:tc>
                <w:tcPr>
                  <w:tcW w:w="1725" w:type="pct"/>
                  <w:tcBorders>
                    <w:right w:val="single" w:color="auto" w:sz="4" w:space="0"/>
                  </w:tcBorders>
                  <w:vAlign w:val="center"/>
                </w:tcPr>
                <w:p w14:paraId="2681FCED">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color w:val="auto"/>
                      <w:kern w:val="0"/>
                      <w:sz w:val="21"/>
                      <w:szCs w:val="21"/>
                      <w:highlight w:val="none"/>
                    </w:rPr>
                  </w:pPr>
                  <w:r>
                    <w:rPr>
                      <w:rFonts w:hint="default" w:ascii="Times New Roman" w:hAnsi="Times New Roman" w:cs="Times New Roman" w:eastAsiaTheme="minorEastAsia"/>
                      <w:b/>
                      <w:color w:val="auto"/>
                      <w:kern w:val="0"/>
                      <w:sz w:val="21"/>
                      <w:szCs w:val="21"/>
                      <w:highlight w:val="none"/>
                    </w:rPr>
                    <w:t>执行标准</w:t>
                  </w:r>
                </w:p>
              </w:tc>
            </w:tr>
            <w:tr w14:paraId="34AB7F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8" w:type="pct"/>
                  <w:vMerge w:val="restart"/>
                  <w:tcBorders>
                    <w:left w:val="single" w:color="auto" w:sz="4" w:space="0"/>
                  </w:tcBorders>
                  <w:vAlign w:val="center"/>
                </w:tcPr>
                <w:p w14:paraId="5FE516C8">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有组织监测</w:t>
                  </w:r>
                </w:p>
              </w:tc>
              <w:tc>
                <w:tcPr>
                  <w:tcW w:w="908" w:type="pct"/>
                  <w:shd w:val="clear" w:color="auto" w:fill="auto"/>
                  <w:vAlign w:val="center"/>
                </w:tcPr>
                <w:p w14:paraId="72A7DF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DA001</w:t>
                  </w:r>
                </w:p>
              </w:tc>
              <w:tc>
                <w:tcPr>
                  <w:tcW w:w="1083" w:type="pct"/>
                  <w:vMerge w:val="restart"/>
                  <w:shd w:val="clear" w:color="auto" w:fill="auto"/>
                  <w:vAlign w:val="center"/>
                </w:tcPr>
                <w:p w14:paraId="2D43AF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废气量、颗粒物、</w:t>
                  </w:r>
                  <w:r>
                    <w:rPr>
                      <w:rFonts w:hint="default" w:ascii="Times New Roman" w:hAnsi="Times New Roman" w:cs="Times New Roman" w:eastAsiaTheme="minorEastAsia"/>
                      <w:color w:val="auto"/>
                      <w:kern w:val="0"/>
                      <w:sz w:val="21"/>
                      <w:szCs w:val="21"/>
                      <w:highlight w:val="none"/>
                    </w:rPr>
                    <w:t>SO</w:t>
                  </w:r>
                  <w:r>
                    <w:rPr>
                      <w:rFonts w:hint="default" w:ascii="Times New Roman" w:hAnsi="Times New Roman" w:cs="Times New Roman" w:eastAsiaTheme="minorEastAsia"/>
                      <w:color w:val="auto"/>
                      <w:kern w:val="0"/>
                      <w:sz w:val="21"/>
                      <w:szCs w:val="21"/>
                      <w:highlight w:val="none"/>
                      <w:vertAlign w:val="subscript"/>
                    </w:rPr>
                    <w:t>2</w:t>
                  </w:r>
                  <w:r>
                    <w:rPr>
                      <w:rFonts w:hint="default" w:ascii="Times New Roman" w:hAnsi="Times New Roman" w:cs="Times New Roman" w:eastAsiaTheme="minorEastAsia"/>
                      <w:color w:val="auto"/>
                      <w:sz w:val="21"/>
                      <w:szCs w:val="21"/>
                      <w:highlight w:val="none"/>
                    </w:rPr>
                    <w:t>、</w:t>
                  </w:r>
                  <w:r>
                    <w:rPr>
                      <w:rFonts w:hint="default" w:ascii="Times New Roman" w:hAnsi="Times New Roman" w:cs="Times New Roman" w:eastAsiaTheme="minorEastAsia"/>
                      <w:color w:val="auto"/>
                      <w:kern w:val="0"/>
                      <w:sz w:val="21"/>
                      <w:szCs w:val="21"/>
                      <w:highlight w:val="none"/>
                    </w:rPr>
                    <w:t>NO</w:t>
                  </w:r>
                  <w:r>
                    <w:rPr>
                      <w:rFonts w:hint="default" w:ascii="Times New Roman" w:hAnsi="Times New Roman" w:cs="Times New Roman" w:eastAsiaTheme="minorEastAsia"/>
                      <w:color w:val="auto"/>
                      <w:kern w:val="0"/>
                      <w:sz w:val="21"/>
                      <w:szCs w:val="21"/>
                      <w:highlight w:val="none"/>
                      <w:vertAlign w:val="subscript"/>
                    </w:rPr>
                    <w:t>X</w:t>
                  </w:r>
                  <w:r>
                    <w:rPr>
                      <w:rFonts w:hint="default" w:ascii="Times New Roman" w:hAnsi="Times New Roman" w:cs="Times New Roman" w:eastAsiaTheme="minorEastAsia"/>
                      <w:color w:val="auto"/>
                      <w:sz w:val="21"/>
                      <w:szCs w:val="21"/>
                      <w:highlight w:val="none"/>
                    </w:rPr>
                    <w:t>、臭气浓度、NH</w:t>
                  </w:r>
                  <w:r>
                    <w:rPr>
                      <w:rFonts w:hint="default" w:ascii="Times New Roman" w:hAnsi="Times New Roman" w:cs="Times New Roman" w:eastAsiaTheme="minorEastAsia"/>
                      <w:color w:val="auto"/>
                      <w:sz w:val="21"/>
                      <w:szCs w:val="21"/>
                      <w:highlight w:val="none"/>
                      <w:vertAlign w:val="subscript"/>
                    </w:rPr>
                    <w:t>3</w:t>
                  </w:r>
                  <w:r>
                    <w:rPr>
                      <w:rFonts w:hint="default" w:ascii="Times New Roman" w:hAnsi="Times New Roman" w:cs="Times New Roman" w:eastAsiaTheme="minorEastAsia"/>
                      <w:color w:val="auto"/>
                      <w:sz w:val="21"/>
                      <w:szCs w:val="21"/>
                      <w:highlight w:val="none"/>
                    </w:rPr>
                    <w:t>、H</w:t>
                  </w:r>
                  <w:r>
                    <w:rPr>
                      <w:rFonts w:hint="default" w:ascii="Times New Roman" w:hAnsi="Times New Roman" w:cs="Times New Roman" w:eastAsiaTheme="minorEastAsia"/>
                      <w:color w:val="auto"/>
                      <w:sz w:val="21"/>
                      <w:szCs w:val="21"/>
                      <w:highlight w:val="none"/>
                      <w:vertAlign w:val="subscript"/>
                    </w:rPr>
                    <w:t>2</w:t>
                  </w:r>
                  <w:r>
                    <w:rPr>
                      <w:rFonts w:hint="default" w:ascii="Times New Roman" w:hAnsi="Times New Roman" w:cs="Times New Roman" w:eastAsiaTheme="minorEastAsia"/>
                      <w:color w:val="auto"/>
                      <w:sz w:val="21"/>
                      <w:szCs w:val="21"/>
                      <w:highlight w:val="none"/>
                    </w:rPr>
                    <w:t>S</w:t>
                  </w:r>
                </w:p>
              </w:tc>
              <w:tc>
                <w:tcPr>
                  <w:tcW w:w="804" w:type="pct"/>
                  <w:vAlign w:val="center"/>
                </w:tcPr>
                <w:p w14:paraId="18A8CF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bCs/>
                      <w:color w:val="auto"/>
                      <w:sz w:val="21"/>
                      <w:szCs w:val="21"/>
                      <w:highlight w:val="none"/>
                    </w:rPr>
                    <w:t>1次/半年</w:t>
                  </w:r>
                </w:p>
              </w:tc>
              <w:tc>
                <w:tcPr>
                  <w:tcW w:w="1725" w:type="pct"/>
                  <w:vMerge w:val="restart"/>
                  <w:tcBorders>
                    <w:right w:val="single" w:color="auto" w:sz="4" w:space="0"/>
                  </w:tcBorders>
                  <w:vAlign w:val="center"/>
                </w:tcPr>
                <w:p w14:paraId="1F239F85">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r>
                    <w:rPr>
                      <w:rFonts w:hint="default" w:ascii="Times New Roman" w:hAnsi="Times New Roman" w:cs="Times New Roman" w:eastAsiaTheme="minorEastAsia"/>
                      <w:color w:val="auto"/>
                      <w:kern w:val="0"/>
                      <w:sz w:val="21"/>
                      <w:szCs w:val="21"/>
                      <w:highlight w:val="none"/>
                      <w:lang w:bidi="ar"/>
                    </w:rPr>
                    <w:t>《大气污染物综合排放标准》（GB16297-1996）、</w:t>
                  </w:r>
                  <w:r>
                    <w:rPr>
                      <w:rFonts w:hint="default" w:ascii="Times New Roman" w:hAnsi="Times New Roman" w:cs="Times New Roman" w:eastAsiaTheme="minorEastAsia"/>
                      <w:color w:val="auto"/>
                      <w:sz w:val="21"/>
                      <w:szCs w:val="21"/>
                      <w:highlight w:val="none"/>
                    </w:rPr>
                    <w:t>《</w:t>
                  </w:r>
                  <w:r>
                    <w:rPr>
                      <w:rFonts w:hint="default" w:ascii="Times New Roman" w:hAnsi="Times New Roman" w:cs="Times New Roman" w:eastAsiaTheme="minorEastAsia"/>
                      <w:color w:val="auto"/>
                      <w:kern w:val="0"/>
                      <w:sz w:val="21"/>
                      <w:szCs w:val="21"/>
                      <w:highlight w:val="none"/>
                      <w:lang w:bidi="ar"/>
                    </w:rPr>
                    <w:t>恶臭污染物排放标准》（GB14554-93）</w:t>
                  </w:r>
                </w:p>
              </w:tc>
            </w:tr>
            <w:tr w14:paraId="49C75A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8" w:type="pct"/>
                  <w:vMerge w:val="continue"/>
                  <w:tcBorders>
                    <w:left w:val="single" w:color="auto" w:sz="4" w:space="0"/>
                  </w:tcBorders>
                  <w:vAlign w:val="center"/>
                </w:tcPr>
                <w:p w14:paraId="10460EED">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p>
              </w:tc>
              <w:tc>
                <w:tcPr>
                  <w:tcW w:w="908" w:type="pct"/>
                  <w:shd w:val="clear" w:color="auto" w:fill="auto"/>
                  <w:vAlign w:val="center"/>
                </w:tcPr>
                <w:p w14:paraId="73F080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DA002</w:t>
                  </w:r>
                </w:p>
              </w:tc>
              <w:tc>
                <w:tcPr>
                  <w:tcW w:w="1083" w:type="pct"/>
                  <w:vMerge w:val="continue"/>
                  <w:shd w:val="clear" w:color="auto" w:fill="auto"/>
                  <w:vAlign w:val="center"/>
                </w:tcPr>
                <w:p w14:paraId="65907DF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p>
              </w:tc>
              <w:tc>
                <w:tcPr>
                  <w:tcW w:w="804" w:type="pct"/>
                  <w:vAlign w:val="center"/>
                </w:tcPr>
                <w:p w14:paraId="305996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1次/半年</w:t>
                  </w:r>
                </w:p>
              </w:tc>
              <w:tc>
                <w:tcPr>
                  <w:tcW w:w="1725" w:type="pct"/>
                  <w:vMerge w:val="continue"/>
                  <w:tcBorders>
                    <w:right w:val="single" w:color="auto" w:sz="4" w:space="0"/>
                  </w:tcBorders>
                  <w:vAlign w:val="center"/>
                </w:tcPr>
                <w:p w14:paraId="0FBF68BB">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lang w:bidi="ar"/>
                    </w:rPr>
                  </w:pPr>
                </w:p>
              </w:tc>
            </w:tr>
            <w:tr w14:paraId="3F4387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8" w:type="pct"/>
                  <w:vMerge w:val="continue"/>
                  <w:tcBorders>
                    <w:left w:val="single" w:color="auto" w:sz="4" w:space="0"/>
                  </w:tcBorders>
                  <w:vAlign w:val="center"/>
                </w:tcPr>
                <w:p w14:paraId="1A67753E">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p>
              </w:tc>
              <w:tc>
                <w:tcPr>
                  <w:tcW w:w="908" w:type="pct"/>
                  <w:vAlign w:val="center"/>
                </w:tcPr>
                <w:p w14:paraId="53D74BAE">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lang w:val="en-US" w:eastAsia="zh-CN"/>
                    </w:rPr>
                  </w:pPr>
                  <w:r>
                    <w:rPr>
                      <w:rFonts w:hint="default" w:ascii="Times New Roman" w:hAnsi="Times New Roman" w:cs="Times New Roman" w:eastAsiaTheme="minorEastAsia"/>
                      <w:color w:val="auto"/>
                      <w:sz w:val="21"/>
                      <w:szCs w:val="21"/>
                      <w:highlight w:val="none"/>
                    </w:rPr>
                    <w:t>DA00</w:t>
                  </w:r>
                  <w:r>
                    <w:rPr>
                      <w:rFonts w:hint="default" w:ascii="Times New Roman" w:hAnsi="Times New Roman" w:cs="Times New Roman" w:eastAsiaTheme="minorEastAsia"/>
                      <w:color w:val="auto"/>
                      <w:sz w:val="21"/>
                      <w:szCs w:val="21"/>
                      <w:highlight w:val="none"/>
                      <w:lang w:val="en-US" w:eastAsia="zh-CN"/>
                    </w:rPr>
                    <w:t>3</w:t>
                  </w:r>
                </w:p>
              </w:tc>
              <w:tc>
                <w:tcPr>
                  <w:tcW w:w="1083" w:type="pct"/>
                  <w:vAlign w:val="center"/>
                </w:tcPr>
                <w:p w14:paraId="057F34F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sz w:val="21"/>
                      <w:szCs w:val="21"/>
                      <w:highlight w:val="none"/>
                    </w:rPr>
                    <w:t>臭气浓度、NH</w:t>
                  </w:r>
                  <w:r>
                    <w:rPr>
                      <w:rFonts w:hint="default" w:ascii="Times New Roman" w:hAnsi="Times New Roman" w:cs="Times New Roman" w:eastAsiaTheme="minorEastAsia"/>
                      <w:color w:val="auto"/>
                      <w:sz w:val="21"/>
                      <w:szCs w:val="21"/>
                      <w:highlight w:val="none"/>
                      <w:vertAlign w:val="subscript"/>
                    </w:rPr>
                    <w:t>3</w:t>
                  </w:r>
                  <w:r>
                    <w:rPr>
                      <w:rFonts w:hint="default" w:ascii="Times New Roman" w:hAnsi="Times New Roman" w:cs="Times New Roman" w:eastAsiaTheme="minorEastAsia"/>
                      <w:color w:val="auto"/>
                      <w:sz w:val="21"/>
                      <w:szCs w:val="21"/>
                      <w:highlight w:val="none"/>
                    </w:rPr>
                    <w:t>、H</w:t>
                  </w:r>
                  <w:r>
                    <w:rPr>
                      <w:rFonts w:hint="default" w:ascii="Times New Roman" w:hAnsi="Times New Roman" w:cs="Times New Roman" w:eastAsiaTheme="minorEastAsia"/>
                      <w:color w:val="auto"/>
                      <w:sz w:val="21"/>
                      <w:szCs w:val="21"/>
                      <w:highlight w:val="none"/>
                      <w:vertAlign w:val="subscript"/>
                    </w:rPr>
                    <w:t>2</w:t>
                  </w:r>
                  <w:r>
                    <w:rPr>
                      <w:rFonts w:hint="default" w:ascii="Times New Roman" w:hAnsi="Times New Roman" w:cs="Times New Roman" w:eastAsiaTheme="minorEastAsia"/>
                      <w:color w:val="auto"/>
                      <w:sz w:val="21"/>
                      <w:szCs w:val="21"/>
                      <w:highlight w:val="none"/>
                    </w:rPr>
                    <w:t>S</w:t>
                  </w:r>
                </w:p>
              </w:tc>
              <w:tc>
                <w:tcPr>
                  <w:tcW w:w="804" w:type="pct"/>
                  <w:vAlign w:val="center"/>
                </w:tcPr>
                <w:p w14:paraId="7C1FD1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bCs/>
                      <w:color w:val="auto"/>
                      <w:sz w:val="21"/>
                      <w:szCs w:val="21"/>
                      <w:highlight w:val="none"/>
                    </w:rPr>
                    <w:t>1次/半年</w:t>
                  </w:r>
                </w:p>
              </w:tc>
              <w:tc>
                <w:tcPr>
                  <w:tcW w:w="1725" w:type="pct"/>
                  <w:tcBorders>
                    <w:right w:val="single" w:color="auto" w:sz="4" w:space="0"/>
                  </w:tcBorders>
                  <w:vAlign w:val="center"/>
                </w:tcPr>
                <w:p w14:paraId="6BA1F511">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r>
                    <w:rPr>
                      <w:rFonts w:hint="default" w:ascii="Times New Roman" w:hAnsi="Times New Roman" w:cs="Times New Roman" w:eastAsiaTheme="minorEastAsia"/>
                      <w:color w:val="auto"/>
                      <w:sz w:val="21"/>
                      <w:szCs w:val="21"/>
                      <w:highlight w:val="none"/>
                    </w:rPr>
                    <w:t>《</w:t>
                  </w:r>
                  <w:r>
                    <w:rPr>
                      <w:rFonts w:hint="default" w:ascii="Times New Roman" w:hAnsi="Times New Roman" w:cs="Times New Roman" w:eastAsiaTheme="minorEastAsia"/>
                      <w:color w:val="auto"/>
                      <w:kern w:val="0"/>
                      <w:sz w:val="21"/>
                      <w:szCs w:val="21"/>
                      <w:highlight w:val="none"/>
                      <w:lang w:bidi="ar"/>
                    </w:rPr>
                    <w:t>恶臭污染物排放标准》（GB14554-93）</w:t>
                  </w:r>
                </w:p>
              </w:tc>
            </w:tr>
            <w:tr w14:paraId="263FDE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8" w:type="pct"/>
                  <w:vMerge w:val="continue"/>
                  <w:tcBorders>
                    <w:left w:val="single" w:color="auto" w:sz="4" w:space="0"/>
                  </w:tcBorders>
                  <w:vAlign w:val="center"/>
                </w:tcPr>
                <w:p w14:paraId="1CC49D4D">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p>
              </w:tc>
              <w:tc>
                <w:tcPr>
                  <w:tcW w:w="908" w:type="pct"/>
                  <w:vAlign w:val="center"/>
                </w:tcPr>
                <w:p w14:paraId="3DD342C7">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eastAsia" w:ascii="Times New Roman" w:hAnsi="Times New Roman" w:cs="Times New Roman" w:eastAsiaTheme="minorEastAsia"/>
                      <w:color w:val="auto"/>
                      <w:kern w:val="0"/>
                      <w:sz w:val="21"/>
                      <w:szCs w:val="21"/>
                      <w:highlight w:val="none"/>
                      <w:lang w:val="en-US" w:eastAsia="zh-CN"/>
                    </w:rPr>
                  </w:pPr>
                  <w:r>
                    <w:rPr>
                      <w:rFonts w:hint="default" w:ascii="Times New Roman" w:hAnsi="Times New Roman" w:cs="Times New Roman" w:eastAsiaTheme="minorEastAsia"/>
                      <w:color w:val="auto"/>
                      <w:kern w:val="0"/>
                      <w:sz w:val="21"/>
                      <w:szCs w:val="21"/>
                      <w:highlight w:val="none"/>
                    </w:rPr>
                    <w:t>DA00</w:t>
                  </w:r>
                  <w:r>
                    <w:rPr>
                      <w:rFonts w:hint="eastAsia" w:ascii="Times New Roman" w:hAnsi="Times New Roman" w:cs="Times New Roman" w:eastAsiaTheme="minorEastAsia"/>
                      <w:color w:val="auto"/>
                      <w:kern w:val="0"/>
                      <w:sz w:val="21"/>
                      <w:szCs w:val="21"/>
                      <w:highlight w:val="none"/>
                      <w:lang w:val="en-US" w:eastAsia="zh-CN"/>
                    </w:rPr>
                    <w:t>4</w:t>
                  </w:r>
                </w:p>
              </w:tc>
              <w:tc>
                <w:tcPr>
                  <w:tcW w:w="1083" w:type="pct"/>
                  <w:vAlign w:val="center"/>
                </w:tcPr>
                <w:p w14:paraId="6CB5A1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颗粒物</w:t>
                  </w:r>
                </w:p>
              </w:tc>
              <w:tc>
                <w:tcPr>
                  <w:tcW w:w="804" w:type="pct"/>
                  <w:vAlign w:val="center"/>
                </w:tcPr>
                <w:p w14:paraId="0F0C7F87">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1次/半年</w:t>
                  </w:r>
                </w:p>
              </w:tc>
              <w:tc>
                <w:tcPr>
                  <w:tcW w:w="1725" w:type="pct"/>
                  <w:tcBorders>
                    <w:right w:val="single" w:color="auto" w:sz="4" w:space="0"/>
                  </w:tcBorders>
                  <w:vAlign w:val="center"/>
                </w:tcPr>
                <w:p w14:paraId="6D8519E9">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r>
                    <w:rPr>
                      <w:rFonts w:hint="default" w:ascii="Times New Roman" w:hAnsi="Times New Roman" w:cs="Times New Roman" w:eastAsiaTheme="minorEastAsia"/>
                      <w:bCs/>
                      <w:color w:val="auto"/>
                      <w:kern w:val="0"/>
                      <w:sz w:val="21"/>
                      <w:szCs w:val="21"/>
                      <w:highlight w:val="none"/>
                    </w:rPr>
                    <w:t>《大气污染物综合排放标准》（GB16297-1996）</w:t>
                  </w:r>
                </w:p>
              </w:tc>
            </w:tr>
            <w:tr w14:paraId="640375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8" w:type="pct"/>
                  <w:vMerge w:val="restart"/>
                  <w:tcBorders>
                    <w:left w:val="single" w:color="auto" w:sz="4" w:space="0"/>
                  </w:tcBorders>
                  <w:vAlign w:val="center"/>
                </w:tcPr>
                <w:p w14:paraId="7B47D333">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无组织监测</w:t>
                  </w:r>
                </w:p>
              </w:tc>
              <w:tc>
                <w:tcPr>
                  <w:tcW w:w="908" w:type="pct"/>
                  <w:vMerge w:val="restart"/>
                  <w:vAlign w:val="center"/>
                </w:tcPr>
                <w:p w14:paraId="0D7E51A7">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lang w:val="en-US" w:eastAsia="zh-CN"/>
                    </w:rPr>
                  </w:pPr>
                  <w:r>
                    <w:rPr>
                      <w:rFonts w:hint="eastAsia" w:ascii="Times New Roman" w:hAnsi="Times New Roman" w:cs="Times New Roman" w:eastAsiaTheme="minorEastAsia"/>
                      <w:color w:val="auto"/>
                      <w:kern w:val="0"/>
                      <w:sz w:val="21"/>
                      <w:szCs w:val="21"/>
                      <w:highlight w:val="none"/>
                      <w:lang w:val="en-US" w:eastAsia="zh-CN"/>
                    </w:rPr>
                    <w:t>项目</w:t>
                  </w:r>
                  <w:r>
                    <w:rPr>
                      <w:rFonts w:hint="default" w:ascii="Times New Roman" w:hAnsi="Times New Roman" w:cs="Times New Roman" w:eastAsiaTheme="minorEastAsia"/>
                      <w:color w:val="auto"/>
                      <w:kern w:val="0"/>
                      <w:sz w:val="21"/>
                      <w:szCs w:val="21"/>
                      <w:highlight w:val="none"/>
                    </w:rPr>
                    <w:t>厂界外上风向1个点，下风向厂界处2个点</w:t>
                  </w:r>
                </w:p>
              </w:tc>
              <w:tc>
                <w:tcPr>
                  <w:tcW w:w="1083" w:type="pct"/>
                  <w:vAlign w:val="center"/>
                </w:tcPr>
                <w:p w14:paraId="420F2C8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颗粒物</w:t>
                  </w:r>
                </w:p>
              </w:tc>
              <w:tc>
                <w:tcPr>
                  <w:tcW w:w="804" w:type="pct"/>
                  <w:vAlign w:val="center"/>
                </w:tcPr>
                <w:p w14:paraId="5B2C7ECD">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1次/半年</w:t>
                  </w:r>
                </w:p>
              </w:tc>
              <w:tc>
                <w:tcPr>
                  <w:tcW w:w="1725" w:type="pct"/>
                  <w:tcBorders>
                    <w:right w:val="single" w:color="auto" w:sz="4" w:space="0"/>
                  </w:tcBorders>
                  <w:vAlign w:val="center"/>
                </w:tcPr>
                <w:p w14:paraId="5509620D">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bCs/>
                      <w:color w:val="auto"/>
                      <w:kern w:val="0"/>
                      <w:sz w:val="21"/>
                      <w:szCs w:val="21"/>
                      <w:highlight w:val="none"/>
                    </w:rPr>
                    <w:t>《大气污染物综合排放标准》（GB16297-1996）</w:t>
                  </w:r>
                </w:p>
              </w:tc>
            </w:tr>
            <w:tr w14:paraId="55F604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8" w:type="pct"/>
                  <w:vMerge w:val="continue"/>
                  <w:tcBorders>
                    <w:left w:val="single" w:color="auto" w:sz="4" w:space="0"/>
                  </w:tcBorders>
                  <w:vAlign w:val="center"/>
                </w:tcPr>
                <w:p w14:paraId="73CFB978">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p>
              </w:tc>
              <w:tc>
                <w:tcPr>
                  <w:tcW w:w="908" w:type="pct"/>
                  <w:vMerge w:val="continue"/>
                  <w:vAlign w:val="center"/>
                </w:tcPr>
                <w:p w14:paraId="030B2F87">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p>
              </w:tc>
              <w:tc>
                <w:tcPr>
                  <w:tcW w:w="1083" w:type="pct"/>
                  <w:vAlign w:val="center"/>
                </w:tcPr>
                <w:p w14:paraId="5F2AF6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氨、臭气浓度、硫化氢</w:t>
                  </w:r>
                </w:p>
              </w:tc>
              <w:tc>
                <w:tcPr>
                  <w:tcW w:w="804" w:type="pct"/>
                  <w:vAlign w:val="center"/>
                </w:tcPr>
                <w:p w14:paraId="0E3130A7">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1次/半年</w:t>
                  </w:r>
                </w:p>
              </w:tc>
              <w:tc>
                <w:tcPr>
                  <w:tcW w:w="1725" w:type="pct"/>
                  <w:tcBorders>
                    <w:right w:val="single" w:color="auto" w:sz="4" w:space="0"/>
                  </w:tcBorders>
                  <w:vAlign w:val="center"/>
                </w:tcPr>
                <w:p w14:paraId="102426ED">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r>
                    <w:rPr>
                      <w:rFonts w:hint="default" w:ascii="Times New Roman" w:hAnsi="Times New Roman" w:cs="Times New Roman" w:eastAsiaTheme="minorEastAsia"/>
                      <w:bCs/>
                      <w:color w:val="auto"/>
                      <w:kern w:val="0"/>
                      <w:sz w:val="21"/>
                      <w:szCs w:val="21"/>
                      <w:highlight w:val="none"/>
                    </w:rPr>
                    <w:t>《恶臭污染物排放标准》（GB14554-93）</w:t>
                  </w:r>
                </w:p>
              </w:tc>
            </w:tr>
          </w:tbl>
          <w:p w14:paraId="5A1E2BA0">
            <w:pPr>
              <w:keepNext w:val="0"/>
              <w:keepLines w:val="0"/>
              <w:pageBreakBefore w:val="0"/>
              <w:widowControl w:val="0"/>
              <w:kinsoku/>
              <w:wordWrap/>
              <w:overflowPunct/>
              <w:topLinePunct w:val="0"/>
              <w:autoSpaceDE/>
              <w:autoSpaceDN/>
              <w:bidi w:val="0"/>
              <w:adjustRightInd/>
              <w:snapToGrid/>
              <w:spacing w:line="440" w:lineRule="exact"/>
              <w:textAlignment w:val="auto"/>
              <w:rPr>
                <w:b/>
                <w:bCs/>
                <w:color w:val="auto"/>
                <w:kern w:val="0"/>
                <w:sz w:val="24"/>
                <w:highlight w:val="none"/>
              </w:rPr>
            </w:pPr>
            <w:r>
              <w:rPr>
                <w:rFonts w:hint="eastAsia"/>
                <w:b/>
                <w:bCs/>
                <w:color w:val="auto"/>
                <w:kern w:val="0"/>
                <w:sz w:val="24"/>
                <w:highlight w:val="none"/>
                <w:lang w:val="en-US" w:eastAsia="zh-CN"/>
              </w:rPr>
              <w:t>2</w:t>
            </w:r>
            <w:r>
              <w:rPr>
                <w:rFonts w:hint="eastAsia"/>
                <w:b/>
                <w:bCs/>
                <w:color w:val="auto"/>
                <w:kern w:val="0"/>
                <w:sz w:val="24"/>
                <w:highlight w:val="none"/>
              </w:rPr>
              <w:t>、运营期废水环境影响及保护措施</w:t>
            </w:r>
          </w:p>
          <w:p w14:paraId="527C7D9A">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b/>
                <w:bCs/>
                <w:color w:val="auto"/>
                <w:kern w:val="0"/>
                <w:sz w:val="24"/>
                <w:highlight w:val="none"/>
                <w:lang w:val="en-US"/>
              </w:rPr>
            </w:pPr>
            <w:r>
              <w:rPr>
                <w:rFonts w:hint="eastAsia"/>
                <w:b/>
                <w:bCs/>
                <w:color w:val="auto"/>
                <w:kern w:val="0"/>
                <w:sz w:val="24"/>
                <w:highlight w:val="none"/>
                <w:lang w:eastAsia="zh-CN"/>
              </w:rPr>
              <w:t>（</w:t>
            </w:r>
            <w:r>
              <w:rPr>
                <w:rFonts w:hint="eastAsia"/>
                <w:b/>
                <w:bCs/>
                <w:color w:val="auto"/>
                <w:kern w:val="0"/>
                <w:sz w:val="24"/>
                <w:highlight w:val="none"/>
                <w:lang w:val="en-US" w:eastAsia="zh-CN"/>
              </w:rPr>
              <w:t>1</w:t>
            </w:r>
            <w:r>
              <w:rPr>
                <w:rFonts w:hint="eastAsia"/>
                <w:b/>
                <w:bCs/>
                <w:color w:val="auto"/>
                <w:kern w:val="0"/>
                <w:sz w:val="24"/>
                <w:highlight w:val="none"/>
                <w:lang w:eastAsia="zh-CN"/>
              </w:rPr>
              <w:t>）</w:t>
            </w:r>
            <w:r>
              <w:rPr>
                <w:rFonts w:hint="eastAsia"/>
                <w:b/>
                <w:bCs/>
                <w:color w:val="auto"/>
                <w:kern w:val="0"/>
                <w:sz w:val="24"/>
                <w:highlight w:val="none"/>
                <w:lang w:val="en-US" w:eastAsia="zh-CN"/>
              </w:rPr>
              <w:t>产污节点</w:t>
            </w:r>
          </w:p>
          <w:p w14:paraId="123186A7">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jc w:val="left"/>
              <w:textAlignment w:val="auto"/>
              <w:rPr>
                <w:b w:val="0"/>
                <w:bCs/>
                <w:color w:val="auto"/>
                <w:sz w:val="24"/>
                <w:szCs w:val="24"/>
                <w:highlight w:val="none"/>
              </w:rPr>
            </w:pPr>
            <w:r>
              <w:rPr>
                <w:rFonts w:hint="eastAsia"/>
                <w:color w:val="auto"/>
                <w:kern w:val="0"/>
                <w:sz w:val="24"/>
                <w:highlight w:val="none"/>
              </w:rPr>
              <w:t>根据分析，</w:t>
            </w:r>
            <w:r>
              <w:rPr>
                <w:rFonts w:hint="eastAsia"/>
                <w:b w:val="0"/>
                <w:bCs/>
                <w:color w:val="auto"/>
                <w:sz w:val="24"/>
                <w:szCs w:val="24"/>
                <w:highlight w:val="none"/>
              </w:rPr>
              <w:t>本项目</w:t>
            </w:r>
            <w:r>
              <w:rPr>
                <w:rFonts w:hint="eastAsia"/>
                <w:b w:val="0"/>
                <w:bCs/>
                <w:color w:val="auto"/>
                <w:sz w:val="24"/>
                <w:szCs w:val="24"/>
                <w:highlight w:val="none"/>
                <w:lang w:val="en-US" w:eastAsia="zh-CN"/>
              </w:rPr>
              <w:t>产生的废水主要为</w:t>
            </w:r>
            <w:r>
              <w:rPr>
                <w:rFonts w:hint="eastAsia"/>
                <w:b w:val="0"/>
                <w:bCs/>
                <w:color w:val="auto"/>
                <w:sz w:val="24"/>
                <w:szCs w:val="24"/>
                <w:highlight w:val="none"/>
              </w:rPr>
              <w:t>液体复合微生物肥生产设备清洗</w:t>
            </w:r>
            <w:r>
              <w:rPr>
                <w:rFonts w:hint="eastAsia"/>
                <w:b w:val="0"/>
                <w:bCs/>
                <w:color w:val="auto"/>
                <w:sz w:val="24"/>
                <w:szCs w:val="24"/>
                <w:highlight w:val="none"/>
                <w:lang w:val="en-US" w:eastAsia="zh-CN"/>
              </w:rPr>
              <w:t>废水</w:t>
            </w:r>
            <w:r>
              <w:rPr>
                <w:rFonts w:hint="eastAsia"/>
                <w:b w:val="0"/>
                <w:bCs/>
                <w:color w:val="auto"/>
                <w:sz w:val="24"/>
                <w:szCs w:val="24"/>
                <w:highlight w:val="none"/>
              </w:rPr>
              <w:t>、固体复合微生物发酵区地面冲洗废水、实验室</w:t>
            </w:r>
            <w:r>
              <w:rPr>
                <w:rFonts w:hint="eastAsia"/>
                <w:b w:val="0"/>
                <w:bCs/>
                <w:color w:val="auto"/>
                <w:sz w:val="24"/>
                <w:szCs w:val="24"/>
                <w:highlight w:val="none"/>
                <w:lang w:val="en-US" w:eastAsia="zh-CN"/>
              </w:rPr>
              <w:t>废水、堆放发酵渗滤液和初期雨水</w:t>
            </w:r>
            <w:r>
              <w:rPr>
                <w:rFonts w:hint="eastAsia"/>
                <w:b w:val="0"/>
                <w:bCs/>
                <w:color w:val="auto"/>
                <w:sz w:val="24"/>
                <w:szCs w:val="24"/>
                <w:highlight w:val="none"/>
              </w:rPr>
              <w:t>。</w:t>
            </w:r>
          </w:p>
          <w:p w14:paraId="1D7F0897">
            <w:pPr>
              <w:keepNext w:val="0"/>
              <w:keepLines w:val="0"/>
              <w:pageBreakBefore w:val="0"/>
              <w:widowControl w:val="0"/>
              <w:kinsoku/>
              <w:wordWrap/>
              <w:overflowPunct/>
              <w:topLinePunct w:val="0"/>
              <w:autoSpaceDE w:val="0"/>
              <w:autoSpaceDN w:val="0"/>
              <w:bidi w:val="0"/>
              <w:adjustRightInd/>
              <w:snapToGrid/>
              <w:spacing w:line="440" w:lineRule="exact"/>
              <w:ind w:firstLine="420"/>
              <w:textAlignment w:val="auto"/>
              <w:rPr>
                <w:rFonts w:hint="eastAsia" w:ascii="Times New Roman"/>
                <w:b/>
                <w:bCs/>
                <w:color w:val="auto"/>
                <w:sz w:val="24"/>
                <w:szCs w:val="24"/>
                <w:highlight w:val="none"/>
                <w:u w:val="none"/>
                <w:lang w:val="en-US" w:eastAsia="zh-CN"/>
              </w:rPr>
            </w:pPr>
            <w:r>
              <w:rPr>
                <w:rFonts w:hint="eastAsia" w:ascii="Times New Roman"/>
                <w:b/>
                <w:bCs/>
                <w:color w:val="auto"/>
                <w:sz w:val="24"/>
                <w:szCs w:val="24"/>
                <w:highlight w:val="none"/>
                <w:u w:val="none"/>
                <w:lang w:val="en-US" w:eastAsia="zh-CN"/>
              </w:rPr>
              <w:t>（2）废水产生情况</w:t>
            </w:r>
          </w:p>
          <w:p w14:paraId="19D3673C">
            <w:pPr>
              <w:keepNext w:val="0"/>
              <w:keepLines w:val="0"/>
              <w:pageBreakBefore w:val="0"/>
              <w:widowControl w:val="0"/>
              <w:kinsoku/>
              <w:wordWrap/>
              <w:overflowPunct/>
              <w:topLinePunct w:val="0"/>
              <w:autoSpaceDE w:val="0"/>
              <w:autoSpaceDN w:val="0"/>
              <w:bidi w:val="0"/>
              <w:adjustRightInd/>
              <w:snapToGrid/>
              <w:spacing w:line="440" w:lineRule="exact"/>
              <w:ind w:firstLine="420"/>
              <w:textAlignment w:val="auto"/>
              <w:rPr>
                <w:rFonts w:hint="default" w:ascii="Times New Roman"/>
                <w:b/>
                <w:bCs/>
                <w:color w:val="auto"/>
                <w:sz w:val="24"/>
                <w:szCs w:val="24"/>
                <w:highlight w:val="none"/>
                <w:u w:val="none"/>
                <w:lang w:val="en-US" w:eastAsia="zh-CN"/>
              </w:rPr>
            </w:pPr>
            <w:r>
              <w:rPr>
                <w:rFonts w:hint="eastAsia" w:ascii="Times New Roman"/>
                <w:b/>
                <w:bCs/>
                <w:color w:val="auto"/>
                <w:sz w:val="24"/>
                <w:szCs w:val="24"/>
                <w:highlight w:val="none"/>
                <w:u w:val="none"/>
                <w:lang w:val="en-US" w:eastAsia="zh-CN"/>
              </w:rPr>
              <w:t>1）</w:t>
            </w:r>
            <w:r>
              <w:rPr>
                <w:rFonts w:hint="eastAsia"/>
                <w:b/>
                <w:bCs/>
                <w:color w:val="auto"/>
                <w:sz w:val="24"/>
                <w:szCs w:val="24"/>
                <w:highlight w:val="none"/>
              </w:rPr>
              <w:t>液体复合微生物肥生产设备清洗</w:t>
            </w:r>
            <w:r>
              <w:rPr>
                <w:rFonts w:hint="eastAsia"/>
                <w:b/>
                <w:bCs/>
                <w:color w:val="auto"/>
                <w:sz w:val="24"/>
                <w:szCs w:val="24"/>
                <w:highlight w:val="none"/>
                <w:lang w:val="en-US" w:eastAsia="zh-CN"/>
              </w:rPr>
              <w:t>废水</w:t>
            </w:r>
          </w:p>
          <w:p w14:paraId="6F4576CB">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textAlignment w:val="auto"/>
              <w:rPr>
                <w:rFonts w:hint="default" w:ascii="Times New Roman"/>
                <w:b w:val="0"/>
                <w:bCs w:val="0"/>
                <w:color w:val="auto"/>
                <w:sz w:val="24"/>
                <w:szCs w:val="24"/>
                <w:highlight w:val="none"/>
                <w:u w:val="none"/>
                <w:lang w:val="en-US" w:eastAsia="zh-CN"/>
              </w:rPr>
            </w:pPr>
            <w:r>
              <w:rPr>
                <w:rFonts w:hint="eastAsia"/>
                <w:color w:val="auto"/>
                <w:kern w:val="0"/>
                <w:sz w:val="24"/>
                <w:highlight w:val="none"/>
              </w:rPr>
              <w:t>根据第二章水平衡章节分析</w:t>
            </w:r>
            <w:r>
              <w:rPr>
                <w:rFonts w:hint="eastAsia" w:ascii="Times New Roman"/>
                <w:b w:val="0"/>
                <w:bCs w:val="0"/>
                <w:color w:val="auto"/>
                <w:sz w:val="24"/>
                <w:szCs w:val="24"/>
                <w:highlight w:val="none"/>
                <w:u w:val="none"/>
                <w:lang w:val="en-US" w:eastAsia="zh-CN"/>
              </w:rPr>
              <w:t>，本项目液体复合微生物肥生产设备清洗用水量为1.45m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/d（482.85m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/d），产污系数按80%计，则废水产生量为1.16m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/d（386.28m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/d），该废水收集后经现有污水处理站处理后，排入寻甸县污水处理厂处理。</w:t>
            </w:r>
          </w:p>
          <w:p w14:paraId="78DFD4F4">
            <w:pPr>
              <w:keepNext w:val="0"/>
              <w:keepLines w:val="0"/>
              <w:pageBreakBefore w:val="0"/>
              <w:widowControl w:val="0"/>
              <w:kinsoku/>
              <w:wordWrap/>
              <w:overflowPunct/>
              <w:topLinePunct w:val="0"/>
              <w:autoSpaceDE w:val="0"/>
              <w:autoSpaceDN w:val="0"/>
              <w:bidi w:val="0"/>
              <w:adjustRightInd/>
              <w:snapToGrid/>
              <w:spacing w:line="440" w:lineRule="exact"/>
              <w:ind w:firstLine="482" w:firstLineChars="200"/>
              <w:textAlignment w:val="auto"/>
              <w:rPr>
                <w:rFonts w:hint="default" w:ascii="Times New Roman"/>
                <w:b/>
                <w:bCs/>
                <w:color w:val="auto"/>
                <w:sz w:val="24"/>
                <w:szCs w:val="24"/>
                <w:highlight w:val="none"/>
                <w:u w:val="none"/>
                <w:lang w:val="en-US" w:eastAsia="zh-CN"/>
              </w:rPr>
            </w:pPr>
            <w:r>
              <w:rPr>
                <w:rFonts w:hint="eastAsia" w:ascii="Times New Roman"/>
                <w:b/>
                <w:bCs/>
                <w:color w:val="auto"/>
                <w:sz w:val="24"/>
                <w:szCs w:val="24"/>
                <w:highlight w:val="none"/>
                <w:u w:val="none"/>
                <w:lang w:val="en-US" w:eastAsia="zh-CN"/>
              </w:rPr>
              <w:t>2）固体复合微生物发酵区地面冲洗废水</w:t>
            </w:r>
          </w:p>
          <w:p w14:paraId="296140AE">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textAlignment w:val="auto"/>
              <w:rPr>
                <w:rFonts w:hint="default" w:ascii="Times New Roman"/>
                <w:b w:val="0"/>
                <w:bCs w:val="0"/>
                <w:color w:val="auto"/>
                <w:sz w:val="24"/>
                <w:szCs w:val="24"/>
                <w:highlight w:val="none"/>
                <w:u w:val="none"/>
                <w:lang w:val="en-US" w:eastAsia="zh-CN"/>
              </w:rPr>
            </w:pPr>
            <w:r>
              <w:rPr>
                <w:rFonts w:hint="eastAsia"/>
                <w:color w:val="auto"/>
                <w:kern w:val="0"/>
                <w:sz w:val="24"/>
                <w:highlight w:val="none"/>
              </w:rPr>
              <w:t>根据第二章水平衡章节分析，</w:t>
            </w:r>
            <w:r>
              <w:rPr>
                <w:rFonts w:hint="eastAsia" w:ascii="Times New Roman"/>
                <w:b w:val="0"/>
                <w:bCs w:val="0"/>
                <w:color w:val="auto"/>
                <w:sz w:val="24"/>
                <w:szCs w:val="24"/>
                <w:highlight w:val="none"/>
                <w:u w:val="none"/>
                <w:lang w:val="en-US" w:eastAsia="zh-CN"/>
              </w:rPr>
              <w:t>固体复合微生物发酵区地面冲洗用水为0.2m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/次（0.067m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/d，22.2m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/a），产污系数按80%计，则废水产生量为0.16m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/次（0.053m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/d，17.65m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/d），该废水收集于25m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vertAlign w:val="baseline"/>
                <w:lang w:val="en-US" w:eastAsia="zh-CN"/>
              </w:rPr>
              <w:t>渗滤液收集池，泵至</w:t>
            </w:r>
            <w:r>
              <w:rPr>
                <w:rFonts w:hint="eastAsia" w:ascii="Times New Roman"/>
                <w:b w:val="0"/>
                <w:bCs w:val="0"/>
                <w:color w:val="auto"/>
                <w:sz w:val="24"/>
                <w:szCs w:val="24"/>
                <w:highlight w:val="none"/>
                <w:u w:val="none"/>
                <w:lang w:val="en-US" w:eastAsia="zh-CN"/>
              </w:rPr>
              <w:t>现有污水处理站处理后，排入寻甸县污水处理厂处理。</w:t>
            </w:r>
          </w:p>
          <w:p w14:paraId="2B327ACD">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2" w:firstLineChars="200"/>
              <w:textAlignment w:val="auto"/>
              <w:rPr>
                <w:rFonts w:hint="eastAsia"/>
                <w:b/>
                <w:bCs w:val="0"/>
                <w:color w:val="auto"/>
                <w:sz w:val="24"/>
                <w:szCs w:val="24"/>
                <w:highlight w:val="none"/>
                <w:lang w:val="en-US" w:eastAsia="zh-CN"/>
              </w:rPr>
            </w:pPr>
            <w:r>
              <w:rPr>
                <w:rFonts w:hint="eastAsia" w:cs="Times New Roman"/>
                <w:b/>
                <w:bCs w:val="0"/>
                <w:color w:val="auto"/>
                <w:kern w:val="2"/>
                <w:sz w:val="24"/>
                <w:szCs w:val="24"/>
                <w:highlight w:val="none"/>
                <w:lang w:val="en-US" w:eastAsia="zh-CN" w:bidi="ar-SA"/>
              </w:rPr>
              <w:t>3</w:t>
            </w:r>
            <w:r>
              <w:rPr>
                <w:rFonts w:hint="eastAsia" w:ascii="Times New Roman" w:hAnsi="Times New Roman" w:eastAsia="宋体" w:cs="Times New Roman"/>
                <w:b/>
                <w:bCs w:val="0"/>
                <w:color w:val="auto"/>
                <w:kern w:val="2"/>
                <w:sz w:val="24"/>
                <w:szCs w:val="24"/>
                <w:highlight w:val="none"/>
                <w:lang w:val="en-US" w:eastAsia="zh-CN" w:bidi="ar-SA"/>
              </w:rPr>
              <w:t>）</w:t>
            </w:r>
            <w:r>
              <w:rPr>
                <w:rFonts w:hint="eastAsia"/>
                <w:b/>
                <w:bCs w:val="0"/>
                <w:color w:val="auto"/>
                <w:sz w:val="24"/>
                <w:szCs w:val="24"/>
                <w:highlight w:val="none"/>
              </w:rPr>
              <w:t>实验室</w:t>
            </w:r>
            <w:r>
              <w:rPr>
                <w:rFonts w:hint="eastAsia"/>
                <w:b/>
                <w:bCs w:val="0"/>
                <w:color w:val="auto"/>
                <w:sz w:val="24"/>
                <w:szCs w:val="24"/>
                <w:highlight w:val="none"/>
                <w:lang w:val="en-US" w:eastAsia="zh-CN"/>
              </w:rPr>
              <w:t>废水</w:t>
            </w:r>
          </w:p>
          <w:p w14:paraId="3AD2A662">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textAlignment w:val="auto"/>
              <w:rPr>
                <w:rFonts w:hint="default" w:ascii="Times New Roman"/>
                <w:b w:val="0"/>
                <w:bCs w:val="0"/>
                <w:color w:val="auto"/>
                <w:sz w:val="24"/>
                <w:szCs w:val="24"/>
                <w:highlight w:val="none"/>
                <w:u w:val="none"/>
                <w:lang w:val="en-US" w:eastAsia="zh-CN"/>
              </w:rPr>
            </w:pPr>
            <w:r>
              <w:rPr>
                <w:rFonts w:hint="eastAsia"/>
                <w:color w:val="auto"/>
                <w:kern w:val="0"/>
                <w:sz w:val="24"/>
                <w:highlight w:val="none"/>
              </w:rPr>
              <w:t>根据第二章水平衡章节分析，</w:t>
            </w:r>
            <w:r>
              <w:rPr>
                <w:rFonts w:hint="eastAsia" w:ascii="Times New Roman"/>
                <w:b w:val="0"/>
                <w:bCs w:val="0"/>
                <w:color w:val="auto"/>
                <w:sz w:val="24"/>
                <w:szCs w:val="24"/>
                <w:highlight w:val="none"/>
                <w:u w:val="none"/>
                <w:lang w:val="en-US" w:eastAsia="zh-CN"/>
              </w:rPr>
              <w:t>实验室主要进行pH、水分和杂菌数的实验，不使用强酸、强碱、有机试剂和有毒有害的试剂，根据上述分析，实验室每日使用纯水50L/d，其主要用于实验室设备和玻璃器皿的清洗，产污系数按80%计，则实验室废水产生量为0.04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/d，其废水收集后经现有污水处理站处理后，排入寻甸县污水处理厂处理。</w:t>
            </w:r>
          </w:p>
          <w:p w14:paraId="5617AD6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2" w:firstLineChars="200"/>
              <w:jc w:val="both"/>
              <w:textAlignment w:val="auto"/>
              <w:rPr>
                <w:rFonts w:hint="default"/>
                <w:b/>
                <w:bCs w:val="0"/>
                <w:color w:val="auto"/>
                <w:sz w:val="24"/>
                <w:szCs w:val="24"/>
                <w:highlight w:val="none"/>
                <w:lang w:val="en-US" w:eastAsia="zh-CN"/>
              </w:rPr>
            </w:pPr>
            <w:r>
              <w:rPr>
                <w:rFonts w:hint="eastAsia"/>
                <w:b/>
                <w:bCs w:val="0"/>
                <w:color w:val="auto"/>
                <w:sz w:val="24"/>
                <w:szCs w:val="24"/>
                <w:highlight w:val="none"/>
                <w:lang w:val="en-US" w:eastAsia="zh-CN"/>
              </w:rPr>
              <w:t>4）纯水制备排水</w:t>
            </w:r>
          </w:p>
          <w:p w14:paraId="57C5BE66">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textAlignment w:val="auto"/>
              <w:rPr>
                <w:rFonts w:hint="default" w:ascii="Times New Roman"/>
                <w:b w:val="0"/>
                <w:bCs w:val="0"/>
                <w:color w:val="auto"/>
                <w:sz w:val="24"/>
                <w:szCs w:val="24"/>
                <w:highlight w:val="none"/>
                <w:u w:val="none"/>
                <w:lang w:val="en-US" w:eastAsia="zh-CN"/>
              </w:rPr>
            </w:pPr>
            <w:r>
              <w:rPr>
                <w:rFonts w:hint="eastAsia"/>
                <w:color w:val="auto"/>
                <w:kern w:val="0"/>
                <w:sz w:val="24"/>
                <w:highlight w:val="none"/>
              </w:rPr>
              <w:t>根据第二章水平衡章节分析，</w:t>
            </w:r>
            <w:r>
              <w:rPr>
                <w:rFonts w:hint="eastAsia" w:ascii="Times New Roman"/>
                <w:b w:val="0"/>
                <w:bCs w:val="0"/>
                <w:color w:val="auto"/>
                <w:sz w:val="24"/>
                <w:szCs w:val="24"/>
                <w:highlight w:val="none"/>
                <w:u w:val="none"/>
                <w:lang w:val="en-US" w:eastAsia="zh-CN"/>
              </w:rPr>
              <w:t>本项目实验室采取传统蒸馏水器‌（电热式），其废水主要为‌初馏分弃液‌（通常丢弃前10%馏分以去除挥发性杂质）和‌冷却水排水‌（循环水冷）。根据调查本项目实验室用水量为50L/d，废水产生量为‌初馏分弃液0.005m</w:t>
            </w:r>
            <w:r>
              <w:rPr>
                <w:rFonts w:hint="eastAsia" w:ascii="Times New Roman"/>
                <w:b w:val="0"/>
                <w:bCs w:val="0"/>
                <w:color w:val="auto"/>
                <w:sz w:val="24"/>
                <w:szCs w:val="24"/>
                <w:highlight w:val="none"/>
                <w:u w:val="none"/>
                <w:vertAlign w:val="superscript"/>
                <w:lang w:val="en-US" w:eastAsia="zh-CN"/>
              </w:rPr>
              <w:t>3</w:t>
            </w:r>
            <w:r>
              <w:rPr>
                <w:rFonts w:hint="eastAsia" w:ascii="Times New Roman"/>
                <w:b w:val="0"/>
                <w:bCs w:val="0"/>
                <w:color w:val="auto"/>
                <w:sz w:val="24"/>
                <w:szCs w:val="24"/>
                <w:highlight w:val="none"/>
                <w:u w:val="none"/>
                <w:lang w:val="en-US" w:eastAsia="zh-CN"/>
              </w:rPr>
              <w:t>/d，循环水冷系统补水可忽略。</w:t>
            </w:r>
          </w:p>
          <w:p w14:paraId="260D33F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2" w:firstLineChars="200"/>
              <w:jc w:val="both"/>
              <w:textAlignment w:val="auto"/>
              <w:rPr>
                <w:rFonts w:hint="default"/>
                <w:b/>
                <w:bCs w:val="0"/>
                <w:color w:val="auto"/>
                <w:sz w:val="24"/>
                <w:szCs w:val="24"/>
                <w:highlight w:val="none"/>
                <w:lang w:val="en-US" w:eastAsia="zh-CN"/>
              </w:rPr>
            </w:pPr>
            <w:r>
              <w:rPr>
                <w:rFonts w:hint="eastAsia"/>
                <w:b/>
                <w:bCs w:val="0"/>
                <w:color w:val="auto"/>
                <w:sz w:val="24"/>
                <w:szCs w:val="24"/>
                <w:highlight w:val="none"/>
                <w:lang w:val="en-US" w:eastAsia="zh-CN"/>
              </w:rPr>
              <w:t>5）堆放发酵渗滤液</w:t>
            </w:r>
          </w:p>
          <w:p w14:paraId="5AC11585">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jc w:val="both"/>
              <w:textAlignment w:val="auto"/>
              <w:rPr>
                <w:rFonts w:hint="eastAsia"/>
                <w:b w:val="0"/>
                <w:bCs/>
                <w:color w:val="auto"/>
                <w:sz w:val="24"/>
                <w:szCs w:val="24"/>
                <w:highlight w:val="none"/>
                <w:lang w:val="en-US" w:eastAsia="zh-CN"/>
              </w:rPr>
            </w:pPr>
            <w:r>
              <w:rPr>
                <w:rFonts w:hint="eastAsia"/>
                <w:color w:val="auto"/>
                <w:kern w:val="0"/>
                <w:sz w:val="24"/>
                <w:highlight w:val="none"/>
              </w:rPr>
              <w:t>根据第二章水平衡章节分析，</w:t>
            </w:r>
            <w:r>
              <w:rPr>
                <w:rFonts w:hint="eastAsia"/>
                <w:b w:val="0"/>
                <w:bCs/>
                <w:color w:val="auto"/>
                <w:sz w:val="24"/>
                <w:szCs w:val="24"/>
                <w:highlight w:val="none"/>
                <w:lang w:val="en-US" w:eastAsia="zh-CN"/>
              </w:rPr>
              <w:t>本项目液体复合微生物肥发酵为厌氧罐发酵，其无渗滤液产生；固体复合微生物发酵采取翻堆发酵，其在发酵时，会产生少量的渗滤液，其产生量依据发酵原料处理规模及行业排放系数核算。</w:t>
            </w:r>
          </w:p>
          <w:p w14:paraId="2E9569B0">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0" w:firstLineChars="200"/>
              <w:jc w:val="both"/>
              <w:textAlignment w:val="auto"/>
              <w:rPr>
                <w:rFonts w:hint="default" w:ascii="Times New Roman" w:hAnsi="Times New Roman" w:eastAsia="宋体" w:cs="Times New Roman"/>
                <w:b w:val="0"/>
                <w:bCs w:val="0"/>
                <w:color w:val="auto"/>
                <w:sz w:val="24"/>
                <w:szCs w:val="24"/>
                <w:highlight w:val="none"/>
                <w:u w:val="none"/>
                <w:lang w:val="en-US" w:eastAsia="zh-CN"/>
              </w:rPr>
            </w:pPr>
            <w:r>
              <w:rPr>
                <w:rFonts w:hint="eastAsia"/>
                <w:b w:val="0"/>
                <w:bCs/>
                <w:color w:val="auto"/>
                <w:sz w:val="24"/>
                <w:szCs w:val="24"/>
                <w:highlight w:val="none"/>
                <w:lang w:val="en-US" w:eastAsia="zh-CN"/>
              </w:rPr>
              <w:t>参考《发酵工业废水治理工程技术规范》（HJ 2042-2014）及同类发酵项目实际运行数据发酵渗滤液产生系数为0.06m³/吨原料（即每处理1吨发酵原料产生0.05~0.07m³渗滤液，取均值0.06m³/吨）。根据前文物料平衡分析，发酵工段日均处理原</w:t>
            </w:r>
            <w:r>
              <w:rPr>
                <w:rFonts w:hint="default" w:ascii="Times New Roman" w:hAnsi="Times New Roman" w:eastAsia="宋体" w:cs="Times New Roman"/>
                <w:b w:val="0"/>
                <w:bCs/>
                <w:color w:val="auto"/>
                <w:sz w:val="24"/>
                <w:szCs w:val="24"/>
                <w:highlight w:val="none"/>
                <w:lang w:val="en-US" w:eastAsia="zh-CN"/>
              </w:rPr>
              <w:t>料量为304吨，则现有发酵渗滤液日产生量18.24m³/d，年产生量为6073.92m³/a（按年运行333天计）。其进入渗滤液收集池（25m</w:t>
            </w:r>
            <w:r>
              <w:rPr>
                <w:rFonts w:hint="default" w:ascii="Times New Roman" w:hAnsi="Times New Roman" w:eastAsia="宋体" w:cs="Times New Roman"/>
                <w:b w:val="0"/>
                <w:bCs/>
                <w:color w:val="auto"/>
                <w:sz w:val="24"/>
                <w:szCs w:val="24"/>
                <w:highlight w:val="none"/>
                <w:vertAlign w:val="superscript"/>
                <w:lang w:val="en-US" w:eastAsia="zh-CN"/>
              </w:rPr>
              <w:t>3</w:t>
            </w:r>
            <w:r>
              <w:rPr>
                <w:rFonts w:hint="default" w:ascii="Times New Roman" w:hAnsi="Times New Roman" w:eastAsia="宋体" w:cs="Times New Roman"/>
                <w:b w:val="0"/>
                <w:bCs/>
                <w:color w:val="auto"/>
                <w:sz w:val="24"/>
                <w:szCs w:val="24"/>
                <w:highlight w:val="none"/>
                <w:lang w:val="en-US" w:eastAsia="zh-CN"/>
              </w:rPr>
              <w:t>）后泵至污水处理站</w:t>
            </w:r>
            <w:r>
              <w:rPr>
                <w:rFonts w:hint="default" w:ascii="Times New Roman" w:hAnsi="Times New Roman" w:eastAsia="宋体" w:cs="Times New Roman"/>
                <w:b w:val="0"/>
                <w:bCs w:val="0"/>
                <w:color w:val="auto"/>
                <w:sz w:val="24"/>
                <w:szCs w:val="24"/>
                <w:highlight w:val="none"/>
                <w:u w:val="none"/>
                <w:lang w:val="en-US" w:eastAsia="zh-CN"/>
              </w:rPr>
              <w:t>处理后，排入寻甸县污水处理厂处理。</w:t>
            </w:r>
          </w:p>
          <w:p w14:paraId="36412843">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82" w:firstLineChars="200"/>
              <w:jc w:val="both"/>
              <w:textAlignment w:val="auto"/>
              <w:rPr>
                <w:rFonts w:hint="default" w:ascii="Times New Roman" w:hAnsi="Times New Roman" w:eastAsia="宋体" w:cs="Times New Roman"/>
                <w:b/>
                <w:bCs w:val="0"/>
                <w:color w:val="auto"/>
                <w:sz w:val="24"/>
                <w:szCs w:val="24"/>
                <w:highlight w:val="none"/>
                <w:lang w:val="en-US" w:eastAsia="zh-CN"/>
              </w:rPr>
            </w:pPr>
            <w:r>
              <w:rPr>
                <w:rFonts w:hint="eastAsia" w:ascii="Times New Roman" w:hAnsi="Times New Roman" w:eastAsia="宋体" w:cs="Times New Roman"/>
                <w:b/>
                <w:bCs w:val="0"/>
                <w:color w:val="auto"/>
                <w:sz w:val="24"/>
                <w:szCs w:val="24"/>
                <w:highlight w:val="none"/>
                <w:lang w:val="en-US" w:eastAsia="zh-CN"/>
              </w:rPr>
              <w:t>6</w:t>
            </w:r>
            <w:r>
              <w:rPr>
                <w:rFonts w:hint="default" w:ascii="Times New Roman" w:hAnsi="Times New Roman" w:eastAsia="宋体" w:cs="Times New Roman"/>
                <w:b/>
                <w:bCs w:val="0"/>
                <w:color w:val="auto"/>
                <w:sz w:val="24"/>
                <w:szCs w:val="24"/>
                <w:highlight w:val="none"/>
                <w:lang w:val="en-US" w:eastAsia="zh-CN"/>
              </w:rPr>
              <w:t>）初期雨水</w:t>
            </w:r>
          </w:p>
          <w:p w14:paraId="09FEFEBB">
            <w:pPr>
              <w:keepNext w:val="0"/>
              <w:keepLines w:val="0"/>
              <w:pageBreakBefore w:val="0"/>
              <w:widowControl w:val="0"/>
              <w:kinsoku/>
              <w:wordWrap/>
              <w:overflowPunct/>
              <w:topLinePunct w:val="0"/>
              <w:bidi w:val="0"/>
              <w:adjustRightInd/>
              <w:snapToGrid w:val="0"/>
              <w:spacing w:line="440" w:lineRule="exact"/>
              <w:ind w:firstLine="480" w:firstLineChars="200"/>
              <w:jc w:val="both"/>
              <w:textAlignment w:val="auto"/>
              <w:rPr>
                <w:b/>
                <w:color w:val="auto"/>
                <w:szCs w:val="21"/>
                <w:highlight w:val="none"/>
              </w:rPr>
            </w:pPr>
            <w:r>
              <w:rPr>
                <w:rFonts w:hint="eastAsia"/>
                <w:color w:val="auto"/>
                <w:kern w:val="0"/>
                <w:sz w:val="24"/>
                <w:highlight w:val="none"/>
              </w:rPr>
              <w:t>根据第二章水平衡章节分析，</w:t>
            </w:r>
            <w:r>
              <w:rPr>
                <w:rFonts w:hint="eastAsia"/>
                <w:color w:val="auto"/>
                <w:kern w:val="0"/>
                <w:sz w:val="24"/>
                <w:highlight w:val="none"/>
                <w:lang w:val="en-US" w:eastAsia="zh-CN"/>
              </w:rPr>
              <w:t>本项目</w:t>
            </w:r>
            <w:r>
              <w:rPr>
                <w:rFonts w:hint="default" w:ascii="Times New Roman" w:hAnsi="Times New Roman" w:eastAsia="宋体" w:cs="Times New Roman"/>
                <w:b w:val="0"/>
                <w:bCs w:val="0"/>
                <w:color w:val="auto"/>
                <w:sz w:val="24"/>
                <w:szCs w:val="24"/>
                <w:highlight w:val="none"/>
                <w:u w:val="none"/>
              </w:rPr>
              <w:t>初期雨水量为</w:t>
            </w:r>
            <w:r>
              <w:rPr>
                <w:rFonts w:hint="default" w:ascii="Times New Roman" w:hAnsi="Times New Roman" w:eastAsia="宋体" w:cs="Times New Roman"/>
                <w:b w:val="0"/>
                <w:bCs w:val="0"/>
                <w:color w:val="auto"/>
                <w:sz w:val="24"/>
                <w:szCs w:val="24"/>
                <w:highlight w:val="none"/>
                <w:u w:val="none"/>
                <w:lang w:val="en-US" w:eastAsia="zh-CN"/>
              </w:rPr>
              <w:t>2</w:t>
            </w:r>
            <w:r>
              <w:rPr>
                <w:rFonts w:hint="eastAsia" w:ascii="Times New Roman" w:hAnsi="Times New Roman" w:eastAsia="宋体" w:cs="Times New Roman"/>
                <w:b w:val="0"/>
                <w:bCs w:val="0"/>
                <w:color w:val="auto"/>
                <w:sz w:val="24"/>
                <w:szCs w:val="24"/>
                <w:highlight w:val="none"/>
                <w:u w:val="none"/>
                <w:lang w:val="en-US" w:eastAsia="zh-CN"/>
              </w:rPr>
              <w:t>2</w:t>
            </w:r>
            <w:r>
              <w:rPr>
                <w:rFonts w:hint="default" w:ascii="Times New Roman" w:hAnsi="Times New Roman" w:eastAsia="宋体" w:cs="Times New Roman"/>
                <w:b w:val="0"/>
                <w:bCs w:val="0"/>
                <w:color w:val="auto"/>
                <w:sz w:val="24"/>
                <w:szCs w:val="24"/>
                <w:highlight w:val="none"/>
                <w:u w:val="none"/>
              </w:rPr>
              <w:t>m</w:t>
            </w:r>
            <w:r>
              <w:rPr>
                <w:rFonts w:hint="default" w:ascii="Times New Roman" w:hAnsi="Times New Roman" w:eastAsia="宋体" w:cs="Times New Roman"/>
                <w:b w:val="0"/>
                <w:bCs w:val="0"/>
                <w:color w:val="auto"/>
                <w:sz w:val="24"/>
                <w:szCs w:val="24"/>
                <w:highlight w:val="none"/>
                <w:u w:val="none"/>
                <w:vertAlign w:val="superscript"/>
              </w:rPr>
              <w:t>3</w:t>
            </w:r>
            <w:r>
              <w:rPr>
                <w:rFonts w:hint="default" w:ascii="Times New Roman" w:hAnsi="Times New Roman" w:eastAsia="宋体" w:cs="Times New Roman"/>
                <w:b w:val="0"/>
                <w:bCs w:val="0"/>
                <w:color w:val="auto"/>
                <w:sz w:val="24"/>
                <w:szCs w:val="24"/>
                <w:highlight w:val="none"/>
                <w:u w:val="none"/>
              </w:rPr>
              <w:t>/次</w:t>
            </w:r>
            <w:r>
              <w:rPr>
                <w:rFonts w:hint="eastAsia" w:ascii="Times New Roman" w:hAnsi="Times New Roman" w:eastAsia="宋体" w:cs="Times New Roman"/>
                <w:b w:val="0"/>
                <w:bCs w:val="0"/>
                <w:color w:val="auto"/>
                <w:sz w:val="24"/>
                <w:szCs w:val="24"/>
                <w:highlight w:val="none"/>
                <w:u w:val="none"/>
                <w:lang w:eastAsia="zh-CN"/>
              </w:rPr>
              <w:t>，</w:t>
            </w:r>
            <w:r>
              <w:rPr>
                <w:rFonts w:hint="eastAsia" w:ascii="Times New Roman" w:hAnsi="Times New Roman" w:eastAsia="宋体" w:cs="Times New Roman"/>
                <w:b w:val="0"/>
                <w:bCs w:val="0"/>
                <w:color w:val="auto"/>
                <w:sz w:val="24"/>
                <w:szCs w:val="24"/>
                <w:highlight w:val="none"/>
                <w:u w:val="none"/>
                <w:lang w:val="en-US" w:eastAsia="zh-CN"/>
              </w:rPr>
              <w:t>考虑1.2的安全系数</w:t>
            </w:r>
            <w:r>
              <w:rPr>
                <w:rFonts w:hint="default" w:ascii="Times New Roman" w:hAnsi="Times New Roman" w:eastAsia="宋体" w:cs="Times New Roman"/>
                <w:b w:val="0"/>
                <w:bCs w:val="0"/>
                <w:color w:val="auto"/>
                <w:sz w:val="24"/>
                <w:szCs w:val="24"/>
                <w:highlight w:val="none"/>
                <w:u w:val="none"/>
              </w:rPr>
              <w:t>。因此，本项目环评要求建设总容积不低于30m</w:t>
            </w:r>
            <w:r>
              <w:rPr>
                <w:rFonts w:hint="default" w:ascii="Times New Roman" w:hAnsi="Times New Roman" w:eastAsia="宋体" w:cs="Times New Roman"/>
                <w:b w:val="0"/>
                <w:bCs w:val="0"/>
                <w:color w:val="auto"/>
                <w:sz w:val="24"/>
                <w:szCs w:val="24"/>
                <w:highlight w:val="none"/>
                <w:u w:val="none"/>
                <w:vertAlign w:val="superscript"/>
              </w:rPr>
              <w:t>3</w:t>
            </w:r>
            <w:r>
              <w:rPr>
                <w:rFonts w:hint="default" w:ascii="Times New Roman" w:hAnsi="Times New Roman" w:eastAsia="宋体" w:cs="Times New Roman"/>
                <w:b w:val="0"/>
                <w:bCs w:val="0"/>
                <w:color w:val="auto"/>
                <w:sz w:val="24"/>
                <w:szCs w:val="24"/>
                <w:highlight w:val="none"/>
                <w:u w:val="none"/>
              </w:rPr>
              <w:t>的初期雨水池对初期雨水进行收集，初期雨水经</w:t>
            </w:r>
            <w:r>
              <w:rPr>
                <w:rFonts w:hint="default" w:ascii="Times New Roman" w:hAnsi="Times New Roman" w:eastAsia="宋体" w:cs="Times New Roman"/>
                <w:b w:val="0"/>
                <w:bCs w:val="0"/>
                <w:color w:val="auto"/>
                <w:sz w:val="24"/>
                <w:szCs w:val="24"/>
                <w:highlight w:val="none"/>
                <w:u w:val="none"/>
                <w:lang w:val="en-US" w:eastAsia="zh-CN"/>
              </w:rPr>
              <w:t>初期雨水池沉淀处理后回用于厂区</w:t>
            </w:r>
            <w:r>
              <w:rPr>
                <w:rFonts w:hint="eastAsia" w:ascii="Times New Roman" w:hAnsi="Times New Roman" w:eastAsia="宋体" w:cs="Times New Roman"/>
                <w:b w:val="0"/>
                <w:bCs w:val="0"/>
                <w:color w:val="auto"/>
                <w:sz w:val="24"/>
                <w:szCs w:val="24"/>
                <w:highlight w:val="none"/>
                <w:u w:val="none"/>
                <w:lang w:val="en-US" w:eastAsia="zh-CN"/>
              </w:rPr>
              <w:t>道路</w:t>
            </w:r>
            <w:r>
              <w:rPr>
                <w:rFonts w:hint="default" w:ascii="Times New Roman" w:hAnsi="Times New Roman" w:eastAsia="宋体" w:cs="Times New Roman"/>
                <w:b w:val="0"/>
                <w:bCs w:val="0"/>
                <w:color w:val="auto"/>
                <w:sz w:val="24"/>
                <w:szCs w:val="24"/>
                <w:highlight w:val="none"/>
                <w:u w:val="none"/>
                <w:lang w:val="en-US" w:eastAsia="zh-CN"/>
              </w:rPr>
              <w:t>抑尘用水，不外排。</w:t>
            </w:r>
          </w:p>
          <w:p w14:paraId="3617F409">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b/>
                <w:bCs/>
                <w:color w:val="auto"/>
                <w:sz w:val="24"/>
                <w:highlight w:val="none"/>
                <w:lang w:eastAsia="zh-CN"/>
              </w:rPr>
            </w:pPr>
          </w:p>
          <w:p w14:paraId="336277B7">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default" w:eastAsia="宋体"/>
                <w:b/>
                <w:bCs/>
                <w:color w:val="auto"/>
                <w:sz w:val="24"/>
                <w:highlight w:val="none"/>
                <w:lang w:val="en-US" w:eastAsia="zh-CN"/>
              </w:rPr>
            </w:pPr>
            <w:r>
              <w:rPr>
                <w:rFonts w:hint="eastAsia"/>
                <w:b/>
                <w:bCs/>
                <w:color w:val="auto"/>
                <w:sz w:val="24"/>
                <w:highlight w:val="none"/>
                <w:lang w:eastAsia="zh-CN"/>
              </w:rPr>
              <w:t>（</w:t>
            </w:r>
            <w:r>
              <w:rPr>
                <w:rFonts w:hint="eastAsia"/>
                <w:b/>
                <w:bCs/>
                <w:color w:val="auto"/>
                <w:sz w:val="24"/>
                <w:highlight w:val="none"/>
                <w:lang w:val="en-US" w:eastAsia="zh-CN"/>
              </w:rPr>
              <w:t>3</w:t>
            </w:r>
            <w:r>
              <w:rPr>
                <w:rFonts w:hint="eastAsia"/>
                <w:b/>
                <w:bCs/>
                <w:color w:val="auto"/>
                <w:sz w:val="24"/>
                <w:highlight w:val="none"/>
                <w:lang w:eastAsia="zh-CN"/>
              </w:rPr>
              <w:t>）</w:t>
            </w:r>
            <w:r>
              <w:rPr>
                <w:rFonts w:hint="eastAsia"/>
                <w:b/>
                <w:bCs/>
                <w:color w:val="auto"/>
                <w:sz w:val="24"/>
                <w:highlight w:val="none"/>
                <w:lang w:val="en-US" w:eastAsia="zh-CN"/>
              </w:rPr>
              <w:t>废水产排污分析</w:t>
            </w:r>
          </w:p>
          <w:p w14:paraId="54E6A2D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sz w:val="24"/>
                <w:highlight w:val="none"/>
              </w:rPr>
            </w:pPr>
            <w:r>
              <w:rPr>
                <w:rFonts w:hint="eastAsia"/>
                <w:color w:val="auto"/>
                <w:sz w:val="24"/>
                <w:highlight w:val="none"/>
              </w:rPr>
              <w:t>本项目产生的废水主要为液体复合微生物肥生产设备清洗废水、固体复合微生物发酵区地面冲洗废水、实验室废水、堆放发酵渗滤液和初期雨水。</w:t>
            </w:r>
          </w:p>
          <w:p w14:paraId="067701F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eastAsia="宋体"/>
                <w:color w:val="auto"/>
                <w:sz w:val="24"/>
                <w:highlight w:val="none"/>
                <w:lang w:eastAsia="zh-CN"/>
              </w:rPr>
            </w:pPr>
            <w:r>
              <w:rPr>
                <w:rFonts w:hint="eastAsia"/>
                <w:color w:val="auto"/>
                <w:sz w:val="24"/>
                <w:highlight w:val="none"/>
                <w:lang w:val="en-US" w:eastAsia="zh-CN"/>
              </w:rPr>
              <w:t>本项目产生的</w:t>
            </w:r>
            <w:r>
              <w:rPr>
                <w:rFonts w:hint="eastAsia"/>
                <w:color w:val="auto"/>
                <w:sz w:val="24"/>
                <w:highlight w:val="none"/>
              </w:rPr>
              <w:t>废水污水种类与现有项目一致</w:t>
            </w:r>
            <w:r>
              <w:rPr>
                <w:rFonts w:hint="eastAsia"/>
                <w:color w:val="auto"/>
                <w:sz w:val="24"/>
                <w:highlight w:val="none"/>
                <w:lang w:eastAsia="zh-CN"/>
              </w:rPr>
              <w:t>。</w:t>
            </w:r>
          </w:p>
          <w:p w14:paraId="3B0533B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eastAsia="宋体"/>
                <w:color w:val="auto"/>
                <w:sz w:val="24"/>
                <w:highlight w:val="none"/>
                <w:lang w:eastAsia="zh-CN"/>
              </w:rPr>
            </w:pPr>
            <w:r>
              <w:rPr>
                <w:rFonts w:hint="eastAsia"/>
                <w:color w:val="auto"/>
                <w:sz w:val="24"/>
                <w:highlight w:val="none"/>
                <w:lang w:val="en-US" w:eastAsia="zh-CN"/>
              </w:rPr>
              <w:t>本项目</w:t>
            </w:r>
            <w:r>
              <w:rPr>
                <w:rFonts w:hint="eastAsia"/>
                <w:color w:val="auto"/>
                <w:sz w:val="24"/>
                <w:highlight w:val="none"/>
              </w:rPr>
              <w:t>原料本身属于农业有机废弃物，有机物料发酵渗滤液</w:t>
            </w:r>
            <w:r>
              <w:rPr>
                <w:rFonts w:hint="eastAsia"/>
                <w:color w:val="auto"/>
                <w:sz w:val="24"/>
                <w:highlight w:val="none"/>
                <w:lang w:val="en-US" w:eastAsia="zh-CN"/>
              </w:rPr>
              <w:t>中</w:t>
            </w:r>
            <w:r>
              <w:rPr>
                <w:rFonts w:hint="eastAsia"/>
                <w:color w:val="auto"/>
                <w:sz w:val="24"/>
                <w:highlight w:val="none"/>
              </w:rPr>
              <w:t>氮磷为天然养分，无工业重金属、难降解有毒有机物，参考“建树环保关于废弃菜叶处理厂废水处理工艺”分析（https://www.jianshukeji.net/index.php/article/2711），高浓度的渗滤液浓度为COD≤6300mg/L，</w:t>
            </w:r>
            <w:r>
              <w:rPr>
                <w:color w:val="auto"/>
                <w:sz w:val="24"/>
                <w:highlight w:val="none"/>
              </w:rPr>
              <w:t>BOD</w:t>
            </w:r>
            <w:r>
              <w:rPr>
                <w:color w:val="auto"/>
                <w:sz w:val="24"/>
                <w:highlight w:val="none"/>
                <w:vertAlign w:val="subscript"/>
              </w:rPr>
              <w:t>5</w:t>
            </w:r>
            <w:r>
              <w:rPr>
                <w:rFonts w:hint="eastAsia"/>
                <w:color w:val="auto"/>
                <w:sz w:val="24"/>
                <w:highlight w:val="none"/>
              </w:rPr>
              <w:t>≤3000mg/L，氨氮≤1300mg/L，TN≤1800mg/L，TP≤50mg/L，SS≤8000mg/L，</w:t>
            </w:r>
            <w:r>
              <w:rPr>
                <w:rFonts w:hint="eastAsia"/>
                <w:color w:val="auto"/>
                <w:sz w:val="24"/>
                <w:highlight w:val="none"/>
                <w:lang w:val="en-US" w:eastAsia="zh-CN"/>
              </w:rPr>
              <w:t>p</w:t>
            </w:r>
            <w:r>
              <w:rPr>
                <w:rFonts w:hint="eastAsia"/>
                <w:color w:val="auto"/>
                <w:sz w:val="24"/>
                <w:highlight w:val="none"/>
              </w:rPr>
              <w:t>H为7.5~9.0</w:t>
            </w:r>
            <w:r>
              <w:rPr>
                <w:rFonts w:hint="eastAsia"/>
                <w:color w:val="auto"/>
                <w:sz w:val="24"/>
                <w:highlight w:val="none"/>
                <w:lang w:eastAsia="zh-CN"/>
              </w:rPr>
              <w:t>。</w:t>
            </w:r>
          </w:p>
          <w:p w14:paraId="74F3848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sz w:val="24"/>
                <w:highlight w:val="none"/>
                <w:lang w:val="en-US" w:eastAsia="zh-CN"/>
              </w:rPr>
            </w:pPr>
          </w:p>
          <w:p w14:paraId="46A1898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eastAsia="宋体"/>
                <w:color w:val="auto"/>
                <w:sz w:val="24"/>
                <w:highlight w:val="none"/>
                <w:lang w:val="en-US" w:eastAsia="zh-CN"/>
              </w:rPr>
            </w:pPr>
            <w:r>
              <w:rPr>
                <w:rFonts w:hint="eastAsia"/>
                <w:color w:val="auto"/>
                <w:sz w:val="24"/>
                <w:highlight w:val="none"/>
                <w:lang w:val="en-US" w:eastAsia="zh-CN"/>
              </w:rPr>
              <w:t>鉴于本项目实验室废水产生量较小，其取值对总量核算较小，且类比同类型项目，污染物产生浓度小于</w:t>
            </w:r>
            <w:r>
              <w:rPr>
                <w:rFonts w:hint="eastAsia"/>
                <w:color w:val="auto"/>
                <w:sz w:val="24"/>
                <w:highlight w:val="none"/>
              </w:rPr>
              <w:t>发酵渗滤液浓度</w:t>
            </w:r>
            <w:r>
              <w:rPr>
                <w:rFonts w:hint="eastAsia"/>
                <w:color w:val="auto"/>
                <w:sz w:val="24"/>
                <w:highlight w:val="none"/>
                <w:lang w:val="en-US" w:eastAsia="zh-CN"/>
              </w:rPr>
              <w:t>；</w:t>
            </w:r>
            <w:r>
              <w:rPr>
                <w:rFonts w:hint="eastAsia"/>
                <w:color w:val="auto"/>
                <w:sz w:val="24"/>
                <w:highlight w:val="none"/>
              </w:rPr>
              <w:t>液体复合微生物肥生产设备清洗废水、固体复合微生物发酵区地面冲洗废水残留发酵渗滤液，因此</w:t>
            </w:r>
            <w:r>
              <w:rPr>
                <w:rFonts w:hint="eastAsia"/>
                <w:color w:val="auto"/>
                <w:sz w:val="24"/>
                <w:highlight w:val="none"/>
                <w:lang w:val="en-US" w:eastAsia="zh-CN"/>
              </w:rPr>
              <w:t>以上废水</w:t>
            </w:r>
            <w:r>
              <w:rPr>
                <w:rFonts w:hint="eastAsia"/>
                <w:color w:val="auto"/>
                <w:sz w:val="24"/>
                <w:highlight w:val="none"/>
              </w:rPr>
              <w:t>均按照发酵渗滤液浓度进行取值</w:t>
            </w:r>
            <w:r>
              <w:rPr>
                <w:rFonts w:hint="eastAsia"/>
                <w:color w:val="auto"/>
                <w:sz w:val="24"/>
                <w:highlight w:val="none"/>
                <w:lang w:eastAsia="zh-CN"/>
              </w:rPr>
              <w:t>。</w:t>
            </w:r>
          </w:p>
          <w:p w14:paraId="317E5E6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highlight w:val="none"/>
              </w:rPr>
            </w:pPr>
            <w:r>
              <w:rPr>
                <w:rFonts w:hint="eastAsia"/>
                <w:color w:val="auto"/>
                <w:sz w:val="24"/>
                <w:highlight w:val="none"/>
              </w:rPr>
              <w:t>现有污水处理设施对污染物的去除效率、现有生产废水量、现有排放口污染物浓度引用《</w:t>
            </w:r>
            <w:r>
              <w:rPr>
                <w:rFonts w:hint="eastAsia" w:ascii="宋体" w:hAnsi="宋体" w:cs="宋体"/>
                <w:color w:val="auto"/>
                <w:kern w:val="0"/>
                <w:sz w:val="24"/>
                <w:highlight w:val="none"/>
                <w:lang w:bidi="ar"/>
              </w:rPr>
              <w:t>云南錦创环境科技有限公司果蔬废弃物处理项目</w:t>
            </w:r>
            <w:r>
              <w:rPr>
                <w:color w:val="auto"/>
                <w:sz w:val="24"/>
                <w:highlight w:val="none"/>
              </w:rPr>
              <w:t>竣工环境保护验收监测报告表</w:t>
            </w:r>
            <w:r>
              <w:rPr>
                <w:rFonts w:hint="eastAsia"/>
                <w:color w:val="auto"/>
                <w:sz w:val="24"/>
                <w:highlight w:val="none"/>
              </w:rPr>
              <w:t>》对于厂区废水排口的监测值。</w:t>
            </w:r>
          </w:p>
          <w:p w14:paraId="440F8CED">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eastAsia="宋体"/>
                <w:color w:val="auto"/>
                <w:highlight w:val="none"/>
                <w:lang w:eastAsia="zh-CN"/>
              </w:rPr>
            </w:pPr>
            <w:r>
              <w:rPr>
                <w:rFonts w:hint="eastAsia"/>
                <w:color w:val="auto"/>
                <w:sz w:val="24"/>
                <w:highlight w:val="none"/>
              </w:rPr>
              <w:t>本项目改扩建后生产废水污染物产排情况如下</w:t>
            </w:r>
            <w:r>
              <w:rPr>
                <w:rFonts w:hint="eastAsia"/>
                <w:color w:val="auto"/>
                <w:sz w:val="24"/>
                <w:highlight w:val="none"/>
                <w:lang w:eastAsia="zh-CN"/>
              </w:rPr>
              <w:t>。</w:t>
            </w:r>
          </w:p>
          <w:p w14:paraId="5B8F3E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4"/>
                <w:highlight w:val="none"/>
              </w:rPr>
            </w:pPr>
            <w:r>
              <w:rPr>
                <w:b/>
                <w:snapToGrid w:val="0"/>
                <w:color w:val="auto"/>
                <w:szCs w:val="21"/>
                <w:highlight w:val="none"/>
              </w:rPr>
              <w:t>表4-</w:t>
            </w:r>
            <w:r>
              <w:rPr>
                <w:rFonts w:hint="eastAsia"/>
                <w:b/>
                <w:snapToGrid w:val="0"/>
                <w:color w:val="auto"/>
                <w:szCs w:val="21"/>
                <w:highlight w:val="none"/>
                <w:lang w:val="en-US" w:eastAsia="zh-CN"/>
              </w:rPr>
              <w:t>18</w:t>
            </w:r>
            <w:r>
              <w:rPr>
                <w:b/>
                <w:snapToGrid w:val="0"/>
                <w:color w:val="auto"/>
                <w:szCs w:val="21"/>
                <w:highlight w:val="none"/>
              </w:rPr>
              <w:t xml:space="preserve"> </w:t>
            </w:r>
            <w:r>
              <w:rPr>
                <w:rFonts w:hint="eastAsia"/>
                <w:b/>
                <w:snapToGrid w:val="0"/>
                <w:color w:val="auto"/>
                <w:szCs w:val="21"/>
                <w:highlight w:val="none"/>
                <w:lang w:val="en-US" w:eastAsia="zh-CN"/>
              </w:rPr>
              <w:t xml:space="preserve"> </w:t>
            </w:r>
            <w:r>
              <w:rPr>
                <w:b/>
                <w:snapToGrid w:val="0"/>
                <w:color w:val="auto"/>
                <w:szCs w:val="21"/>
                <w:highlight w:val="none"/>
              </w:rPr>
              <w:t>项目</w:t>
            </w:r>
            <w:r>
              <w:rPr>
                <w:rFonts w:hint="eastAsia"/>
                <w:b/>
                <w:snapToGrid w:val="0"/>
                <w:color w:val="auto"/>
                <w:szCs w:val="21"/>
                <w:highlight w:val="none"/>
              </w:rPr>
              <w:t>生产废水</w:t>
            </w:r>
            <w:r>
              <w:rPr>
                <w:b/>
                <w:snapToGrid w:val="0"/>
                <w:color w:val="auto"/>
                <w:szCs w:val="21"/>
                <w:highlight w:val="none"/>
              </w:rPr>
              <w:t>污染物产排情况汇总表</w:t>
            </w:r>
          </w:p>
          <w:tbl>
            <w:tblPr>
              <w:tblStyle w:val="26"/>
              <w:tblW w:w="8762" w:type="dxa"/>
              <w:jc w:val="center"/>
              <w:tblLayout w:type="fixed"/>
              <w:tblCellMar>
                <w:top w:w="0" w:type="dxa"/>
                <w:left w:w="108" w:type="dxa"/>
                <w:bottom w:w="0" w:type="dxa"/>
                <w:right w:w="108" w:type="dxa"/>
              </w:tblCellMar>
            </w:tblPr>
            <w:tblGrid>
              <w:gridCol w:w="2040"/>
              <w:gridCol w:w="865"/>
              <w:gridCol w:w="1023"/>
              <w:gridCol w:w="856"/>
              <w:gridCol w:w="954"/>
              <w:gridCol w:w="992"/>
              <w:gridCol w:w="934"/>
              <w:gridCol w:w="1098"/>
            </w:tblGrid>
            <w:tr w14:paraId="73E3CD4E">
              <w:tblPrEx>
                <w:tblCellMar>
                  <w:top w:w="0" w:type="dxa"/>
                  <w:left w:w="108" w:type="dxa"/>
                  <w:bottom w:w="0" w:type="dxa"/>
                  <w:right w:w="108" w:type="dxa"/>
                </w:tblCellMar>
              </w:tblPrEx>
              <w:trPr>
                <w:trHeight w:val="397" w:hRule="atLeast"/>
                <w:jc w:val="center"/>
              </w:trPr>
              <w:tc>
                <w:tcPr>
                  <w:tcW w:w="1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6C12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kern w:val="0"/>
                      <w:sz w:val="21"/>
                      <w:szCs w:val="21"/>
                      <w:highlight w:val="none"/>
                      <w:lang w:bidi="ar"/>
                    </w:rPr>
                    <w:t>项目</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6C22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kern w:val="0"/>
                      <w:sz w:val="21"/>
                      <w:szCs w:val="21"/>
                      <w:highlight w:val="none"/>
                      <w:lang w:bidi="ar"/>
                    </w:rPr>
                    <w:t>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37BFE">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kern w:val="0"/>
                      <w:sz w:val="21"/>
                      <w:szCs w:val="21"/>
                      <w:highlight w:val="none"/>
                      <w:lang w:bidi="ar"/>
                    </w:rPr>
                    <w:t>CODcr</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3197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kern w:val="0"/>
                      <w:sz w:val="21"/>
                      <w:szCs w:val="21"/>
                      <w:highlight w:val="none"/>
                      <w:lang w:bidi="ar"/>
                    </w:rPr>
                    <w:t>BOD₅</w:t>
                  </w:r>
                </w:p>
              </w:tc>
              <w:tc>
                <w:tcPr>
                  <w:tcW w:w="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5D53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kern w:val="0"/>
                      <w:sz w:val="21"/>
                      <w:szCs w:val="21"/>
                      <w:highlight w:val="none"/>
                      <w:lang w:bidi="ar"/>
                    </w:rPr>
                    <w:t>SS</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072F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kern w:val="0"/>
                      <w:sz w:val="21"/>
                      <w:szCs w:val="21"/>
                      <w:highlight w:val="none"/>
                      <w:lang w:bidi="ar"/>
                    </w:rPr>
                    <w:t>氨氮</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1648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kern w:val="0"/>
                      <w:sz w:val="21"/>
                      <w:szCs w:val="21"/>
                      <w:highlight w:val="none"/>
                      <w:lang w:bidi="ar"/>
                    </w:rPr>
                    <w:t>总磷</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0EA4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b/>
                      <w:bCs/>
                      <w:color w:val="auto"/>
                      <w:kern w:val="0"/>
                      <w:sz w:val="21"/>
                      <w:szCs w:val="21"/>
                      <w:highlight w:val="none"/>
                      <w:lang w:bidi="ar"/>
                    </w:rPr>
                  </w:pPr>
                  <w:r>
                    <w:rPr>
                      <w:rFonts w:hint="default" w:ascii="Times New Roman" w:hAnsi="Times New Roman" w:cs="Times New Roman" w:eastAsiaTheme="minorEastAsia"/>
                      <w:b/>
                      <w:bCs/>
                      <w:color w:val="auto"/>
                      <w:kern w:val="0"/>
                      <w:sz w:val="21"/>
                      <w:szCs w:val="21"/>
                      <w:highlight w:val="none"/>
                      <w:lang w:bidi="ar"/>
                    </w:rPr>
                    <w:t>总氮</w:t>
                  </w:r>
                </w:p>
              </w:tc>
            </w:tr>
            <w:tr w14:paraId="3F031CBA">
              <w:tblPrEx>
                <w:tblCellMar>
                  <w:top w:w="0" w:type="dxa"/>
                  <w:left w:w="108" w:type="dxa"/>
                  <w:bottom w:w="0" w:type="dxa"/>
                  <w:right w:w="108" w:type="dxa"/>
                </w:tblCellMar>
              </w:tblPrEx>
              <w:trPr>
                <w:trHeight w:val="397" w:hRule="atLeast"/>
                <w:jc w:val="center"/>
              </w:trPr>
              <w:tc>
                <w:tcPr>
                  <w:tcW w:w="1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B9EE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bidi="ar"/>
                    </w:rPr>
                    <w:t>现有生产废水</w:t>
                  </w:r>
                  <w:r>
                    <w:rPr>
                      <w:rFonts w:hint="eastAsia" w:cs="Times New Roman" w:eastAsiaTheme="minorEastAsia"/>
                      <w:color w:val="auto"/>
                      <w:kern w:val="0"/>
                      <w:sz w:val="21"/>
                      <w:szCs w:val="21"/>
                      <w:highlight w:val="none"/>
                      <w:lang w:val="en-US" w:eastAsia="zh-CN" w:bidi="ar"/>
                    </w:rPr>
                    <w:t>进水</w:t>
                  </w:r>
                </w:p>
                <w:p w14:paraId="13258E5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Times New Roman" w:hAnsi="Times New Roman" w:cs="Times New Roman" w:eastAsiaTheme="minorEastAsia"/>
                      <w:color w:val="auto"/>
                      <w:kern w:val="0"/>
                      <w:sz w:val="21"/>
                      <w:szCs w:val="21"/>
                      <w:highlight w:val="none"/>
                      <w:lang w:eastAsia="zh-CN" w:bidi="ar"/>
                    </w:rPr>
                  </w:pPr>
                  <w:r>
                    <w:rPr>
                      <w:rFonts w:hint="eastAsia" w:cs="Times New Roman" w:eastAsiaTheme="minorEastAsia"/>
                      <w:color w:val="auto"/>
                      <w:kern w:val="0"/>
                      <w:sz w:val="21"/>
                      <w:szCs w:val="21"/>
                      <w:highlight w:val="none"/>
                      <w:lang w:eastAsia="zh-CN" w:bidi="ar"/>
                    </w:rPr>
                    <w:t>（</w:t>
                  </w:r>
                  <w:r>
                    <w:rPr>
                      <w:rFonts w:hint="eastAsia" w:cs="Times New Roman" w:eastAsiaTheme="minorEastAsia"/>
                      <w:color w:val="auto"/>
                      <w:kern w:val="0"/>
                      <w:sz w:val="21"/>
                      <w:szCs w:val="21"/>
                      <w:highlight w:val="none"/>
                      <w:lang w:val="en-US" w:eastAsia="zh-CN" w:bidi="ar"/>
                    </w:rPr>
                    <w:t>现有项目环评</w:t>
                  </w:r>
                  <w:r>
                    <w:rPr>
                      <w:rFonts w:hint="eastAsia" w:cs="Times New Roman" w:eastAsiaTheme="minorEastAsia"/>
                      <w:color w:val="auto"/>
                      <w:kern w:val="0"/>
                      <w:sz w:val="21"/>
                      <w:szCs w:val="21"/>
                      <w:highlight w:val="none"/>
                      <w:lang w:eastAsia="zh-CN"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1970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bidi="ar"/>
                    </w:rPr>
                    <w:t>mg/L</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EE20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bidi="ar"/>
                    </w:rPr>
                    <w:t>10000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6CD8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bidi="ar"/>
                    </w:rPr>
                    <w:t>4000</w:t>
                  </w:r>
                </w:p>
              </w:tc>
              <w:tc>
                <w:tcPr>
                  <w:tcW w:w="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1162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bidi="ar"/>
                    </w:rPr>
                    <w:t>10000</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05E5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bidi="ar"/>
                    </w:rPr>
                    <w:t>600</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2672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bidi="ar"/>
                    </w:rPr>
                    <w:t>35</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B000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bidi="ar"/>
                    </w:rPr>
                    <w:t>1200</w:t>
                  </w:r>
                </w:p>
              </w:tc>
            </w:tr>
            <w:tr w14:paraId="219CB20A">
              <w:tblPrEx>
                <w:tblCellMar>
                  <w:top w:w="0" w:type="dxa"/>
                  <w:left w:w="108" w:type="dxa"/>
                  <w:bottom w:w="0" w:type="dxa"/>
                  <w:right w:w="108" w:type="dxa"/>
                </w:tblCellMar>
              </w:tblPrEx>
              <w:trPr>
                <w:trHeight w:val="397" w:hRule="atLeast"/>
                <w:jc w:val="center"/>
              </w:trPr>
              <w:tc>
                <w:tcPr>
                  <w:tcW w:w="1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A765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现有生产废水出水（实测值）</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D876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mg/L</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12D7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169</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A62E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62.5</w:t>
                  </w:r>
                </w:p>
              </w:tc>
              <w:tc>
                <w:tcPr>
                  <w:tcW w:w="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04F7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37</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5807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12.3</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F29C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7.14</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2A68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bidi="ar"/>
                    </w:rPr>
                    <w:t>/</w:t>
                  </w:r>
                </w:p>
              </w:tc>
            </w:tr>
            <w:tr w14:paraId="12588B88">
              <w:tblPrEx>
                <w:tblCellMar>
                  <w:top w:w="0" w:type="dxa"/>
                  <w:left w:w="108" w:type="dxa"/>
                  <w:bottom w:w="0" w:type="dxa"/>
                  <w:right w:w="108" w:type="dxa"/>
                </w:tblCellMar>
              </w:tblPrEx>
              <w:trPr>
                <w:trHeight w:val="397" w:hRule="atLeast"/>
                <w:jc w:val="center"/>
              </w:trPr>
              <w:tc>
                <w:tcPr>
                  <w:tcW w:w="1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7BB3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处理效率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3A99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E70C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98</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886F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98</w:t>
                  </w:r>
                </w:p>
              </w:tc>
              <w:tc>
                <w:tcPr>
                  <w:tcW w:w="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E65F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99.6</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A32A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kern w:val="0"/>
                      <w:sz w:val="21"/>
                      <w:szCs w:val="21"/>
                      <w:highlight w:val="none"/>
                      <w:lang w:val="en-US" w:eastAsia="zh-CN" w:bidi="ar"/>
                    </w:rPr>
                    <w:t>98</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5476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79.6</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0BFB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98</w:t>
                  </w:r>
                </w:p>
              </w:tc>
            </w:tr>
          </w:tbl>
          <w:p w14:paraId="239E359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4"/>
                <w:highlight w:val="none"/>
              </w:rPr>
            </w:pPr>
            <w:r>
              <w:rPr>
                <w:b/>
                <w:snapToGrid w:val="0"/>
                <w:color w:val="auto"/>
                <w:szCs w:val="21"/>
                <w:highlight w:val="none"/>
              </w:rPr>
              <w:t>表4-</w:t>
            </w:r>
            <w:r>
              <w:rPr>
                <w:rFonts w:hint="eastAsia"/>
                <w:b/>
                <w:snapToGrid w:val="0"/>
                <w:color w:val="auto"/>
                <w:szCs w:val="21"/>
                <w:highlight w:val="none"/>
                <w:lang w:val="en-US" w:eastAsia="zh-CN"/>
              </w:rPr>
              <w:t>1</w:t>
            </w:r>
            <w:r>
              <w:rPr>
                <w:rFonts w:hint="eastAsia"/>
                <w:b/>
                <w:snapToGrid w:val="0"/>
                <w:color w:val="auto"/>
                <w:szCs w:val="21"/>
                <w:highlight w:val="none"/>
              </w:rPr>
              <w:t>9</w:t>
            </w:r>
            <w:r>
              <w:rPr>
                <w:b/>
                <w:snapToGrid w:val="0"/>
                <w:color w:val="auto"/>
                <w:szCs w:val="21"/>
                <w:highlight w:val="none"/>
              </w:rPr>
              <w:t xml:space="preserve"> 项目</w:t>
            </w:r>
            <w:r>
              <w:rPr>
                <w:rFonts w:hint="eastAsia"/>
                <w:b/>
                <w:snapToGrid w:val="0"/>
                <w:color w:val="auto"/>
                <w:szCs w:val="21"/>
                <w:highlight w:val="none"/>
              </w:rPr>
              <w:t>生产废水</w:t>
            </w:r>
            <w:r>
              <w:rPr>
                <w:b/>
                <w:snapToGrid w:val="0"/>
                <w:color w:val="auto"/>
                <w:szCs w:val="21"/>
                <w:highlight w:val="none"/>
              </w:rPr>
              <w:t>污染物产排情况汇总表</w:t>
            </w:r>
          </w:p>
          <w:tbl>
            <w:tblPr>
              <w:tblStyle w:val="26"/>
              <w:tblW w:w="5055" w:type="pct"/>
              <w:jc w:val="center"/>
              <w:tblLayout w:type="fixed"/>
              <w:tblCellMar>
                <w:top w:w="0" w:type="dxa"/>
                <w:left w:w="108" w:type="dxa"/>
                <w:bottom w:w="0" w:type="dxa"/>
                <w:right w:w="108" w:type="dxa"/>
              </w:tblCellMar>
            </w:tblPr>
            <w:tblGrid>
              <w:gridCol w:w="1634"/>
              <w:gridCol w:w="995"/>
              <w:gridCol w:w="711"/>
              <w:gridCol w:w="1004"/>
              <w:gridCol w:w="908"/>
              <w:gridCol w:w="1004"/>
              <w:gridCol w:w="908"/>
              <w:gridCol w:w="815"/>
              <w:gridCol w:w="815"/>
            </w:tblGrid>
            <w:tr w14:paraId="41B2127E">
              <w:tblPrEx>
                <w:tblCellMar>
                  <w:top w:w="0" w:type="dxa"/>
                  <w:left w:w="108" w:type="dxa"/>
                  <w:bottom w:w="0" w:type="dxa"/>
                  <w:right w:w="108" w:type="dxa"/>
                </w:tblCellMar>
              </w:tblPrEx>
              <w:trPr>
                <w:trHeight w:val="397" w:hRule="atLeast"/>
                <w:jc w:val="center"/>
              </w:trPr>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AC55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项目</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23CA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废水量</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DB18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单位</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0603D">
                  <w:pPr>
                    <w:keepNext w:val="0"/>
                    <w:keepLines w:val="0"/>
                    <w:pageBreakBefore w:val="0"/>
                    <w:widowControl/>
                    <w:kinsoku/>
                    <w:wordWrap/>
                    <w:overflowPunct/>
                    <w:topLinePunct w:val="0"/>
                    <w:autoSpaceDE/>
                    <w:autoSpaceDN/>
                    <w:bidi w:val="0"/>
                    <w:adjustRightInd/>
                    <w:snapToGrid/>
                    <w:spacing w:line="320" w:lineRule="exact"/>
                    <w:jc w:val="center"/>
                    <w:textAlignment w:val="center"/>
                    <w:rPr>
                      <w:b/>
                      <w:bCs/>
                      <w:color w:val="auto"/>
                      <w:sz w:val="21"/>
                      <w:szCs w:val="21"/>
                      <w:highlight w:val="none"/>
                    </w:rPr>
                  </w:pPr>
                  <w:r>
                    <w:rPr>
                      <w:b/>
                      <w:bCs/>
                      <w:color w:val="auto"/>
                      <w:kern w:val="0"/>
                      <w:sz w:val="21"/>
                      <w:szCs w:val="21"/>
                      <w:highlight w:val="none"/>
                      <w:lang w:bidi="ar"/>
                    </w:rPr>
                    <w:t>CODcr</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8AF9E">
                  <w:pPr>
                    <w:keepNext w:val="0"/>
                    <w:keepLines w:val="0"/>
                    <w:pageBreakBefore w:val="0"/>
                    <w:widowControl/>
                    <w:kinsoku/>
                    <w:wordWrap/>
                    <w:overflowPunct/>
                    <w:topLinePunct w:val="0"/>
                    <w:autoSpaceDE/>
                    <w:autoSpaceDN/>
                    <w:bidi w:val="0"/>
                    <w:adjustRightInd/>
                    <w:snapToGrid/>
                    <w:spacing w:line="320" w:lineRule="exact"/>
                    <w:jc w:val="center"/>
                    <w:textAlignment w:val="center"/>
                    <w:rPr>
                      <w:b/>
                      <w:bCs/>
                      <w:color w:val="auto"/>
                      <w:sz w:val="21"/>
                      <w:szCs w:val="21"/>
                      <w:highlight w:val="none"/>
                    </w:rPr>
                  </w:pPr>
                  <w:r>
                    <w:rPr>
                      <w:b/>
                      <w:bCs/>
                      <w:color w:val="auto"/>
                      <w:kern w:val="0"/>
                      <w:sz w:val="21"/>
                      <w:szCs w:val="21"/>
                      <w:highlight w:val="none"/>
                      <w:lang w:bidi="ar"/>
                    </w:rPr>
                    <w:t>BOD₅</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627BA">
                  <w:pPr>
                    <w:keepNext w:val="0"/>
                    <w:keepLines w:val="0"/>
                    <w:pageBreakBefore w:val="0"/>
                    <w:widowControl/>
                    <w:kinsoku/>
                    <w:wordWrap/>
                    <w:overflowPunct/>
                    <w:topLinePunct w:val="0"/>
                    <w:autoSpaceDE/>
                    <w:autoSpaceDN/>
                    <w:bidi w:val="0"/>
                    <w:adjustRightInd/>
                    <w:snapToGrid/>
                    <w:spacing w:line="320" w:lineRule="exact"/>
                    <w:jc w:val="center"/>
                    <w:textAlignment w:val="center"/>
                    <w:rPr>
                      <w:b/>
                      <w:bCs/>
                      <w:color w:val="auto"/>
                      <w:sz w:val="21"/>
                      <w:szCs w:val="21"/>
                      <w:highlight w:val="none"/>
                    </w:rPr>
                  </w:pPr>
                  <w:r>
                    <w:rPr>
                      <w:b/>
                      <w:bCs/>
                      <w:color w:val="auto"/>
                      <w:kern w:val="0"/>
                      <w:sz w:val="21"/>
                      <w:szCs w:val="21"/>
                      <w:highlight w:val="none"/>
                      <w:lang w:bidi="ar"/>
                    </w:rPr>
                    <w:t>SS</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ED0A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氨氮</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683F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总磷</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1352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cs="宋体"/>
                      <w:b/>
                      <w:bCs/>
                      <w:color w:val="auto"/>
                      <w:kern w:val="0"/>
                      <w:sz w:val="21"/>
                      <w:szCs w:val="21"/>
                      <w:highlight w:val="none"/>
                      <w:lang w:bidi="ar"/>
                    </w:rPr>
                  </w:pPr>
                  <w:r>
                    <w:rPr>
                      <w:rFonts w:hint="eastAsia" w:ascii="宋体" w:hAnsi="宋体" w:cs="宋体"/>
                      <w:b/>
                      <w:bCs/>
                      <w:color w:val="auto"/>
                      <w:kern w:val="0"/>
                      <w:sz w:val="21"/>
                      <w:szCs w:val="21"/>
                      <w:highlight w:val="none"/>
                      <w:lang w:bidi="ar"/>
                    </w:rPr>
                    <w:t>总氮</w:t>
                  </w:r>
                </w:p>
              </w:tc>
            </w:tr>
            <w:tr w14:paraId="095A1571">
              <w:tblPrEx>
                <w:tblCellMar>
                  <w:top w:w="0" w:type="dxa"/>
                  <w:left w:w="108" w:type="dxa"/>
                  <w:bottom w:w="0" w:type="dxa"/>
                  <w:right w:w="108" w:type="dxa"/>
                </w:tblCellMar>
              </w:tblPrEx>
              <w:trPr>
                <w:trHeight w:val="397" w:hRule="atLeast"/>
                <w:jc w:val="center"/>
              </w:trPr>
              <w:tc>
                <w:tcPr>
                  <w:tcW w:w="929" w:type="pct"/>
                  <w:vMerge w:val="restart"/>
                  <w:tcBorders>
                    <w:top w:val="single" w:color="000000" w:sz="4" w:space="0"/>
                    <w:left w:val="single" w:color="000000" w:sz="4" w:space="0"/>
                    <w:right w:val="single" w:color="000000" w:sz="4" w:space="0"/>
                  </w:tcBorders>
                  <w:shd w:val="clear" w:color="auto" w:fill="auto"/>
                  <w:vAlign w:val="center"/>
                </w:tcPr>
                <w:p w14:paraId="677C4B3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本项目产生量</w:t>
                  </w:r>
                </w:p>
              </w:tc>
              <w:tc>
                <w:tcPr>
                  <w:tcW w:w="565" w:type="pct"/>
                  <w:vMerge w:val="restart"/>
                  <w:tcBorders>
                    <w:top w:val="single" w:color="000000" w:sz="4" w:space="0"/>
                    <w:left w:val="single" w:color="000000" w:sz="4" w:space="0"/>
                    <w:right w:val="single" w:color="000000" w:sz="4" w:space="0"/>
                  </w:tcBorders>
                  <w:shd w:val="clear" w:color="auto" w:fill="auto"/>
                  <w:vAlign w:val="center"/>
                </w:tcPr>
                <w:p w14:paraId="265D900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6492.834m</w:t>
                  </w:r>
                  <w:r>
                    <w:rPr>
                      <w:rFonts w:hint="default" w:ascii="Times New Roman" w:hAnsi="Times New Roman" w:cs="Times New Roman" w:eastAsiaTheme="minorEastAsia"/>
                      <w:color w:val="auto"/>
                      <w:kern w:val="0"/>
                      <w:sz w:val="21"/>
                      <w:szCs w:val="21"/>
                      <w:highlight w:val="none"/>
                      <w:vertAlign w:val="superscript"/>
                      <w:lang w:val="en-US" w:eastAsia="zh-CN" w:bidi="ar"/>
                    </w:rPr>
                    <w:t>3</w:t>
                  </w:r>
                  <w:r>
                    <w:rPr>
                      <w:rFonts w:hint="default" w:ascii="Times New Roman" w:hAnsi="Times New Roman" w:cs="Times New Roman" w:eastAsiaTheme="minorEastAsia"/>
                      <w:color w:val="auto"/>
                      <w:kern w:val="0"/>
                      <w:sz w:val="21"/>
                      <w:szCs w:val="21"/>
                      <w:highlight w:val="none"/>
                      <w:lang w:val="en-US" w:eastAsia="zh-CN" w:bidi="ar"/>
                    </w:rPr>
                    <w:t>/a</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B7F0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bidi="ar"/>
                    </w:rPr>
                    <w:t>mg/L</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661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highlight w:val="none"/>
                      <w:u w:val="none"/>
                      <w:lang w:val="en-US" w:eastAsia="zh-CN" w:bidi="ar"/>
                    </w:rPr>
                    <w:t>6300</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3D3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highlight w:val="none"/>
                      <w:u w:val="none"/>
                      <w:lang w:val="en-US" w:eastAsia="zh-CN" w:bidi="ar"/>
                    </w:rPr>
                    <w:t>3000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FC0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highlight w:val="none"/>
                      <w:u w:val="none"/>
                      <w:lang w:val="en-US" w:eastAsia="zh-CN" w:bidi="ar"/>
                    </w:rPr>
                    <w:t>8000</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D2E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highlight w:val="none"/>
                      <w:u w:val="none"/>
                      <w:lang w:val="en-US" w:eastAsia="zh-CN" w:bidi="ar"/>
                    </w:rPr>
                    <w:t>1300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2DF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highlight w:val="none"/>
                      <w:u w:val="none"/>
                      <w:lang w:val="en-US" w:eastAsia="zh-CN" w:bidi="ar"/>
                    </w:rPr>
                    <w:t>50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785F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highlight w:val="none"/>
                      <w:u w:val="none"/>
                      <w:lang w:val="en-US" w:eastAsia="zh-CN" w:bidi="ar"/>
                    </w:rPr>
                    <w:t>1800</w:t>
                  </w:r>
                </w:p>
              </w:tc>
            </w:tr>
            <w:tr w14:paraId="3605D20D">
              <w:tblPrEx>
                <w:tblCellMar>
                  <w:top w:w="0" w:type="dxa"/>
                  <w:left w:w="108" w:type="dxa"/>
                  <w:bottom w:w="0" w:type="dxa"/>
                  <w:right w:w="108" w:type="dxa"/>
                </w:tblCellMar>
              </w:tblPrEx>
              <w:trPr>
                <w:trHeight w:val="397" w:hRule="atLeast"/>
                <w:jc w:val="center"/>
              </w:trPr>
              <w:tc>
                <w:tcPr>
                  <w:tcW w:w="929" w:type="pct"/>
                  <w:vMerge w:val="continue"/>
                  <w:tcBorders>
                    <w:left w:val="single" w:color="000000" w:sz="4" w:space="0"/>
                    <w:bottom w:val="single" w:color="000000" w:sz="4" w:space="0"/>
                    <w:right w:val="single" w:color="000000" w:sz="4" w:space="0"/>
                  </w:tcBorders>
                  <w:shd w:val="clear" w:color="auto" w:fill="auto"/>
                  <w:vAlign w:val="center"/>
                </w:tcPr>
                <w:p w14:paraId="42B6CD9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p>
              </w:tc>
              <w:tc>
                <w:tcPr>
                  <w:tcW w:w="565" w:type="pct"/>
                  <w:vMerge w:val="continue"/>
                  <w:tcBorders>
                    <w:left w:val="single" w:color="000000" w:sz="4" w:space="0"/>
                    <w:bottom w:val="single" w:color="000000" w:sz="4" w:space="0"/>
                    <w:right w:val="single" w:color="000000" w:sz="4" w:space="0"/>
                  </w:tcBorders>
                  <w:shd w:val="clear" w:color="auto" w:fill="auto"/>
                  <w:vAlign w:val="center"/>
                </w:tcPr>
                <w:p w14:paraId="795A054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23C6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t/a</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0243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i w:val="0"/>
                      <w:iCs w:val="0"/>
                      <w:color w:val="auto"/>
                      <w:kern w:val="0"/>
                      <w:sz w:val="21"/>
                      <w:szCs w:val="21"/>
                      <w:highlight w:val="none"/>
                      <w:u w:val="none"/>
                      <w:lang w:val="en-US" w:eastAsia="zh-CN" w:bidi="ar"/>
                    </w:rPr>
                    <w:t>40.9</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5AED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i w:val="0"/>
                      <w:iCs w:val="0"/>
                      <w:color w:val="auto"/>
                      <w:kern w:val="0"/>
                      <w:sz w:val="21"/>
                      <w:szCs w:val="21"/>
                      <w:highlight w:val="none"/>
                      <w:u w:val="none"/>
                      <w:lang w:val="en-US" w:eastAsia="zh-CN" w:bidi="ar"/>
                    </w:rPr>
                    <w:t>19.48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17E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i w:val="0"/>
                      <w:iCs w:val="0"/>
                      <w:color w:val="auto"/>
                      <w:kern w:val="0"/>
                      <w:sz w:val="21"/>
                      <w:szCs w:val="21"/>
                      <w:highlight w:val="none"/>
                      <w:u w:val="none"/>
                      <w:lang w:val="en-US" w:eastAsia="zh-CN" w:bidi="ar"/>
                    </w:rPr>
                    <w:t>51.94</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CE02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i w:val="0"/>
                      <w:iCs w:val="0"/>
                      <w:color w:val="auto"/>
                      <w:kern w:val="0"/>
                      <w:sz w:val="21"/>
                      <w:szCs w:val="21"/>
                      <w:highlight w:val="none"/>
                      <w:u w:val="none"/>
                      <w:lang w:val="en-US" w:eastAsia="zh-CN" w:bidi="ar"/>
                    </w:rPr>
                    <w:t>8.44</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140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i w:val="0"/>
                      <w:iCs w:val="0"/>
                      <w:color w:val="auto"/>
                      <w:kern w:val="0"/>
                      <w:sz w:val="21"/>
                      <w:szCs w:val="21"/>
                      <w:highlight w:val="none"/>
                      <w:u w:val="none"/>
                      <w:lang w:val="en-US" w:eastAsia="zh-CN" w:bidi="ar"/>
                    </w:rPr>
                    <w:t>0.325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CDC5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11.69</w:t>
                  </w:r>
                </w:p>
              </w:tc>
            </w:tr>
            <w:tr w14:paraId="506C0C95">
              <w:tblPrEx>
                <w:tblCellMar>
                  <w:top w:w="0" w:type="dxa"/>
                  <w:left w:w="108" w:type="dxa"/>
                  <w:bottom w:w="0" w:type="dxa"/>
                  <w:right w:w="108" w:type="dxa"/>
                </w:tblCellMar>
              </w:tblPrEx>
              <w:trPr>
                <w:trHeight w:val="397" w:hRule="atLeast"/>
                <w:jc w:val="center"/>
              </w:trPr>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18F0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污水处理效率%</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AFFD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E8D3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F64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98</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BB53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98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0BCC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99.6</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37F2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98</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A348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79.6</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B2D0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98</w:t>
                  </w:r>
                </w:p>
              </w:tc>
            </w:tr>
            <w:tr w14:paraId="3C5D7BAD">
              <w:tblPrEx>
                <w:tblCellMar>
                  <w:top w:w="0" w:type="dxa"/>
                  <w:left w:w="108" w:type="dxa"/>
                  <w:bottom w:w="0" w:type="dxa"/>
                  <w:right w:w="108" w:type="dxa"/>
                </w:tblCellMar>
              </w:tblPrEx>
              <w:trPr>
                <w:trHeight w:val="397" w:hRule="atLeast"/>
                <w:jc w:val="center"/>
              </w:trPr>
              <w:tc>
                <w:tcPr>
                  <w:tcW w:w="929" w:type="pct"/>
                  <w:vMerge w:val="restart"/>
                  <w:tcBorders>
                    <w:top w:val="single" w:color="000000" w:sz="4" w:space="0"/>
                    <w:left w:val="single" w:color="000000" w:sz="4" w:space="0"/>
                    <w:right w:val="single" w:color="000000" w:sz="4" w:space="0"/>
                  </w:tcBorders>
                  <w:shd w:val="clear" w:color="auto" w:fill="auto"/>
                  <w:vAlign w:val="center"/>
                </w:tcPr>
                <w:p w14:paraId="5FF54DF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本项目排放量</w:t>
                  </w:r>
                </w:p>
              </w:tc>
              <w:tc>
                <w:tcPr>
                  <w:tcW w:w="565" w:type="pct"/>
                  <w:vMerge w:val="restart"/>
                  <w:tcBorders>
                    <w:top w:val="single" w:color="000000" w:sz="4" w:space="0"/>
                    <w:left w:val="single" w:color="000000" w:sz="4" w:space="0"/>
                    <w:right w:val="single" w:color="000000" w:sz="4" w:space="0"/>
                  </w:tcBorders>
                  <w:shd w:val="clear" w:color="auto" w:fill="auto"/>
                  <w:vAlign w:val="center"/>
                </w:tcPr>
                <w:p w14:paraId="60BBF1B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val="en-US" w:eastAsia="zh-CN" w:bidi="ar"/>
                    </w:rPr>
                    <w:t>6492.834m</w:t>
                  </w:r>
                  <w:r>
                    <w:rPr>
                      <w:rFonts w:hint="default" w:ascii="Times New Roman" w:hAnsi="Times New Roman" w:cs="Times New Roman" w:eastAsiaTheme="minorEastAsia"/>
                      <w:color w:val="auto"/>
                      <w:kern w:val="0"/>
                      <w:sz w:val="21"/>
                      <w:szCs w:val="21"/>
                      <w:highlight w:val="none"/>
                      <w:vertAlign w:val="superscript"/>
                      <w:lang w:val="en-US" w:eastAsia="zh-CN" w:bidi="ar"/>
                    </w:rPr>
                    <w:t>3</w:t>
                  </w:r>
                  <w:r>
                    <w:rPr>
                      <w:rFonts w:hint="default" w:ascii="Times New Roman" w:hAnsi="Times New Roman" w:cs="Times New Roman" w:eastAsiaTheme="minorEastAsia"/>
                      <w:color w:val="auto"/>
                      <w:kern w:val="0"/>
                      <w:sz w:val="21"/>
                      <w:szCs w:val="21"/>
                      <w:highlight w:val="none"/>
                      <w:lang w:val="en-US" w:eastAsia="zh-CN" w:bidi="ar"/>
                    </w:rPr>
                    <w:t>/a</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5BBA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bidi="ar"/>
                    </w:rPr>
                    <w:t>mg/L</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D916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126</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0B1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60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AF0F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32</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BA5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26</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844C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10.2</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3EA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36</w:t>
                  </w:r>
                </w:p>
              </w:tc>
            </w:tr>
            <w:tr w14:paraId="3500410F">
              <w:tblPrEx>
                <w:tblCellMar>
                  <w:top w:w="0" w:type="dxa"/>
                  <w:left w:w="108" w:type="dxa"/>
                  <w:bottom w:w="0" w:type="dxa"/>
                  <w:right w:w="108" w:type="dxa"/>
                </w:tblCellMar>
              </w:tblPrEx>
              <w:trPr>
                <w:trHeight w:val="397" w:hRule="atLeast"/>
                <w:jc w:val="center"/>
              </w:trPr>
              <w:tc>
                <w:tcPr>
                  <w:tcW w:w="929" w:type="pct"/>
                  <w:vMerge w:val="continue"/>
                  <w:tcBorders>
                    <w:left w:val="single" w:color="000000" w:sz="4" w:space="0"/>
                    <w:bottom w:val="single" w:color="000000" w:sz="4" w:space="0"/>
                    <w:right w:val="single" w:color="000000" w:sz="4" w:space="0"/>
                  </w:tcBorders>
                  <w:shd w:val="clear" w:color="auto" w:fill="auto"/>
                  <w:vAlign w:val="center"/>
                </w:tcPr>
                <w:p w14:paraId="7E9902D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p>
              </w:tc>
              <w:tc>
                <w:tcPr>
                  <w:tcW w:w="565" w:type="pct"/>
                  <w:vMerge w:val="continue"/>
                  <w:tcBorders>
                    <w:left w:val="single" w:color="000000" w:sz="4" w:space="0"/>
                    <w:bottom w:val="single" w:color="000000" w:sz="4" w:space="0"/>
                    <w:right w:val="single" w:color="000000" w:sz="4" w:space="0"/>
                  </w:tcBorders>
                  <w:shd w:val="clear" w:color="auto" w:fill="auto"/>
                  <w:vAlign w:val="center"/>
                </w:tcPr>
                <w:p w14:paraId="1E8A95A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5A03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val="en-US" w:eastAsia="zh-CN" w:bidi="ar"/>
                    </w:rPr>
                    <w:t>t/a</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F44D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0.818</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B2ED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0.390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7A58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0.208</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A36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0.169</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E3AB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0.066</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2A3D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0.234</w:t>
                  </w:r>
                </w:p>
              </w:tc>
            </w:tr>
            <w:tr w14:paraId="54D3E212">
              <w:tblPrEx>
                <w:tblCellMar>
                  <w:top w:w="0" w:type="dxa"/>
                  <w:left w:w="108" w:type="dxa"/>
                  <w:bottom w:w="0" w:type="dxa"/>
                  <w:right w:w="108" w:type="dxa"/>
                </w:tblCellMar>
              </w:tblPrEx>
              <w:trPr>
                <w:trHeight w:val="397" w:hRule="atLeast"/>
                <w:jc w:val="center"/>
              </w:trPr>
              <w:tc>
                <w:tcPr>
                  <w:tcW w:w="929" w:type="pct"/>
                  <w:vMerge w:val="restart"/>
                  <w:tcBorders>
                    <w:left w:val="single" w:color="000000" w:sz="4" w:space="0"/>
                    <w:right w:val="single" w:color="000000" w:sz="4" w:space="0"/>
                  </w:tcBorders>
                  <w:shd w:val="clear" w:color="auto" w:fill="auto"/>
                  <w:vAlign w:val="center"/>
                </w:tcPr>
                <w:p w14:paraId="1D1175F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现有项目</w:t>
                  </w:r>
                </w:p>
                <w:p w14:paraId="01F82EC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排放量</w:t>
                  </w:r>
                </w:p>
              </w:tc>
              <w:tc>
                <w:tcPr>
                  <w:tcW w:w="565" w:type="pct"/>
                  <w:vMerge w:val="restart"/>
                  <w:tcBorders>
                    <w:left w:val="single" w:color="000000" w:sz="4" w:space="0"/>
                    <w:right w:val="single" w:color="000000" w:sz="4" w:space="0"/>
                  </w:tcBorders>
                  <w:shd w:val="clear" w:color="auto" w:fill="auto"/>
                  <w:vAlign w:val="center"/>
                </w:tcPr>
                <w:p w14:paraId="7AC5D11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237486.276m</w:t>
                  </w:r>
                  <w:r>
                    <w:rPr>
                      <w:rFonts w:hint="default" w:ascii="Times New Roman" w:hAnsi="Times New Roman" w:cs="Times New Roman" w:eastAsiaTheme="minorEastAsia"/>
                      <w:color w:val="auto"/>
                      <w:kern w:val="0"/>
                      <w:sz w:val="21"/>
                      <w:szCs w:val="21"/>
                      <w:highlight w:val="none"/>
                      <w:vertAlign w:val="superscript"/>
                      <w:lang w:val="en-US" w:eastAsia="zh-CN" w:bidi="ar"/>
                    </w:rPr>
                    <w:t>3</w:t>
                  </w:r>
                  <w:r>
                    <w:rPr>
                      <w:rFonts w:hint="default" w:ascii="Times New Roman" w:hAnsi="Times New Roman" w:cs="Times New Roman" w:eastAsiaTheme="minorEastAsia"/>
                      <w:color w:val="auto"/>
                      <w:kern w:val="0"/>
                      <w:sz w:val="21"/>
                      <w:szCs w:val="21"/>
                      <w:highlight w:val="none"/>
                      <w:lang w:val="en-US" w:eastAsia="zh-CN" w:bidi="ar"/>
                    </w:rPr>
                    <w:t>/a</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56FD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bidi="ar"/>
                    </w:rPr>
                    <w:t>mg/L</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BEAB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highlight w:val="none"/>
                      <w:u w:val="none"/>
                      <w:lang w:val="en-US" w:eastAsia="zh-CN" w:bidi="ar"/>
                    </w:rPr>
                    <w:t>169</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CC7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highlight w:val="none"/>
                      <w:u w:val="none"/>
                      <w:lang w:val="en-US" w:eastAsia="zh-CN" w:bidi="ar"/>
                    </w:rPr>
                    <w:t>62.5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C85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highlight w:val="none"/>
                      <w:u w:val="none"/>
                      <w:lang w:val="en-US" w:eastAsia="zh-CN" w:bidi="ar"/>
                    </w:rPr>
                    <w:t>37</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4E0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highlight w:val="none"/>
                      <w:u w:val="none"/>
                      <w:lang w:val="en-US" w:eastAsia="zh-CN" w:bidi="ar"/>
                    </w:rPr>
                    <w:t>12.3</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424F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i w:val="0"/>
                      <w:iCs w:val="0"/>
                      <w:color w:val="auto"/>
                      <w:kern w:val="0"/>
                      <w:sz w:val="21"/>
                      <w:szCs w:val="21"/>
                      <w:highlight w:val="none"/>
                      <w:u w:val="none"/>
                      <w:lang w:val="en-US" w:eastAsia="zh-CN" w:bidi="ar"/>
                    </w:rPr>
                    <w:t>7.14</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5F79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24.6</w:t>
                  </w:r>
                </w:p>
              </w:tc>
            </w:tr>
            <w:tr w14:paraId="6F0127B8">
              <w:tblPrEx>
                <w:tblCellMar>
                  <w:top w:w="0" w:type="dxa"/>
                  <w:left w:w="108" w:type="dxa"/>
                  <w:bottom w:w="0" w:type="dxa"/>
                  <w:right w:w="108" w:type="dxa"/>
                </w:tblCellMar>
              </w:tblPrEx>
              <w:trPr>
                <w:trHeight w:val="397" w:hRule="atLeast"/>
                <w:jc w:val="center"/>
              </w:trPr>
              <w:tc>
                <w:tcPr>
                  <w:tcW w:w="929" w:type="pct"/>
                  <w:vMerge w:val="continue"/>
                  <w:tcBorders>
                    <w:left w:val="single" w:color="000000" w:sz="4" w:space="0"/>
                    <w:bottom w:val="single" w:color="000000" w:sz="4" w:space="0"/>
                    <w:right w:val="single" w:color="000000" w:sz="4" w:space="0"/>
                  </w:tcBorders>
                  <w:shd w:val="clear" w:color="auto" w:fill="auto"/>
                  <w:vAlign w:val="center"/>
                </w:tcPr>
                <w:p w14:paraId="23A8BC1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p>
              </w:tc>
              <w:tc>
                <w:tcPr>
                  <w:tcW w:w="565" w:type="pct"/>
                  <w:vMerge w:val="continue"/>
                  <w:tcBorders>
                    <w:left w:val="single" w:color="000000" w:sz="4" w:space="0"/>
                    <w:bottom w:val="single" w:color="000000" w:sz="4" w:space="0"/>
                    <w:right w:val="single" w:color="000000" w:sz="4" w:space="0"/>
                  </w:tcBorders>
                  <w:shd w:val="clear" w:color="auto" w:fill="auto"/>
                  <w:vAlign w:val="center"/>
                </w:tcPr>
                <w:p w14:paraId="088EABD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463E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val="en-US" w:eastAsia="zh-CN" w:bidi="ar"/>
                    </w:rPr>
                    <w:t>t/a</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6E2C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40.14</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896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14.843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9EB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8.787</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4476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2.921</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194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1.696</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C57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5.842</w:t>
                  </w:r>
                </w:p>
              </w:tc>
            </w:tr>
            <w:tr w14:paraId="423496D6">
              <w:tblPrEx>
                <w:tblCellMar>
                  <w:top w:w="0" w:type="dxa"/>
                  <w:left w:w="108" w:type="dxa"/>
                  <w:bottom w:w="0" w:type="dxa"/>
                  <w:right w:w="108" w:type="dxa"/>
                </w:tblCellMar>
              </w:tblPrEx>
              <w:trPr>
                <w:trHeight w:val="397" w:hRule="atLeast"/>
                <w:jc w:val="center"/>
              </w:trPr>
              <w:tc>
                <w:tcPr>
                  <w:tcW w:w="929" w:type="pct"/>
                  <w:vMerge w:val="restart"/>
                  <w:tcBorders>
                    <w:left w:val="single" w:color="000000" w:sz="4" w:space="0"/>
                    <w:right w:val="single" w:color="000000" w:sz="4" w:space="0"/>
                  </w:tcBorders>
                  <w:shd w:val="clear" w:color="auto" w:fill="auto"/>
                  <w:vAlign w:val="center"/>
                </w:tcPr>
                <w:p w14:paraId="766CD66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本项目消减（本项目液体发酵复合微生物肥生产使用现有项目产生的尾菜废水作为原料而消减）</w:t>
                  </w:r>
                </w:p>
              </w:tc>
              <w:tc>
                <w:tcPr>
                  <w:tcW w:w="565" w:type="pct"/>
                  <w:vMerge w:val="restart"/>
                  <w:tcBorders>
                    <w:left w:val="single" w:color="000000" w:sz="4" w:space="0"/>
                    <w:right w:val="single" w:color="000000" w:sz="4" w:space="0"/>
                  </w:tcBorders>
                  <w:shd w:val="clear" w:color="auto" w:fill="auto"/>
                  <w:vAlign w:val="center"/>
                </w:tcPr>
                <w:p w14:paraId="5ABE286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val="en-US" w:eastAsia="zh-CN" w:bidi="ar"/>
                    </w:rPr>
                    <w:t>14285.7m</w:t>
                  </w:r>
                  <w:r>
                    <w:rPr>
                      <w:rFonts w:hint="default" w:ascii="Times New Roman" w:hAnsi="Times New Roman" w:cs="Times New Roman" w:eastAsiaTheme="minorEastAsia"/>
                      <w:color w:val="auto"/>
                      <w:kern w:val="0"/>
                      <w:sz w:val="21"/>
                      <w:szCs w:val="21"/>
                      <w:highlight w:val="none"/>
                      <w:vertAlign w:val="superscript"/>
                      <w:lang w:val="en-US" w:eastAsia="zh-CN" w:bidi="ar"/>
                    </w:rPr>
                    <w:t>3</w:t>
                  </w:r>
                  <w:r>
                    <w:rPr>
                      <w:rFonts w:hint="default" w:ascii="Times New Roman" w:hAnsi="Times New Roman" w:cs="Times New Roman" w:eastAsiaTheme="minorEastAsia"/>
                      <w:color w:val="auto"/>
                      <w:kern w:val="0"/>
                      <w:sz w:val="21"/>
                      <w:szCs w:val="21"/>
                      <w:highlight w:val="none"/>
                      <w:lang w:val="en-US" w:eastAsia="zh-CN" w:bidi="ar"/>
                    </w:rPr>
                    <w:t>/a</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319C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bidi="ar"/>
                    </w:rPr>
                    <w:t>mg/L</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FBB4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169</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6D0B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62.5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4DE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37</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5B35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12.3</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79D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7.14</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F46E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24.6</w:t>
                  </w:r>
                </w:p>
              </w:tc>
            </w:tr>
            <w:tr w14:paraId="2064A2B4">
              <w:tblPrEx>
                <w:tblCellMar>
                  <w:top w:w="0" w:type="dxa"/>
                  <w:left w:w="108" w:type="dxa"/>
                  <w:bottom w:w="0" w:type="dxa"/>
                  <w:right w:w="108" w:type="dxa"/>
                </w:tblCellMar>
              </w:tblPrEx>
              <w:trPr>
                <w:trHeight w:val="397" w:hRule="atLeast"/>
                <w:jc w:val="center"/>
              </w:trPr>
              <w:tc>
                <w:tcPr>
                  <w:tcW w:w="929" w:type="pct"/>
                  <w:vMerge w:val="continue"/>
                  <w:tcBorders>
                    <w:left w:val="single" w:color="000000" w:sz="4" w:space="0"/>
                    <w:bottom w:val="single" w:color="000000" w:sz="4" w:space="0"/>
                    <w:right w:val="single" w:color="000000" w:sz="4" w:space="0"/>
                  </w:tcBorders>
                  <w:shd w:val="clear" w:color="auto" w:fill="auto"/>
                  <w:vAlign w:val="center"/>
                </w:tcPr>
                <w:p w14:paraId="2021379E">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p>
              </w:tc>
              <w:tc>
                <w:tcPr>
                  <w:tcW w:w="565" w:type="pct"/>
                  <w:vMerge w:val="continue"/>
                  <w:tcBorders>
                    <w:left w:val="single" w:color="000000" w:sz="4" w:space="0"/>
                    <w:bottom w:val="single" w:color="000000" w:sz="4" w:space="0"/>
                    <w:right w:val="single" w:color="000000" w:sz="4" w:space="0"/>
                  </w:tcBorders>
                  <w:shd w:val="clear" w:color="auto" w:fill="auto"/>
                  <w:vAlign w:val="center"/>
                </w:tcPr>
                <w:p w14:paraId="2D1686F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B34C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t/a</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19D1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2.414</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725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0.893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D6D8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0.529</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40FC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0.176</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852C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0.102</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3764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0.351</w:t>
                  </w:r>
                </w:p>
              </w:tc>
            </w:tr>
            <w:tr w14:paraId="732D7058">
              <w:tblPrEx>
                <w:tblCellMar>
                  <w:top w:w="0" w:type="dxa"/>
                  <w:left w:w="108" w:type="dxa"/>
                  <w:bottom w:w="0" w:type="dxa"/>
                  <w:right w:w="108" w:type="dxa"/>
                </w:tblCellMar>
              </w:tblPrEx>
              <w:trPr>
                <w:trHeight w:val="397" w:hRule="atLeast"/>
                <w:jc w:val="center"/>
              </w:trPr>
              <w:tc>
                <w:tcPr>
                  <w:tcW w:w="929" w:type="pct"/>
                  <w:vMerge w:val="restart"/>
                  <w:tcBorders>
                    <w:left w:val="single" w:color="000000" w:sz="4" w:space="0"/>
                    <w:right w:val="single" w:color="000000" w:sz="4" w:space="0"/>
                  </w:tcBorders>
                  <w:shd w:val="clear" w:color="auto" w:fill="auto"/>
                  <w:vAlign w:val="center"/>
                </w:tcPr>
                <w:p w14:paraId="65E882AE">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全厂排放量</w:t>
                  </w:r>
                </w:p>
              </w:tc>
              <w:tc>
                <w:tcPr>
                  <w:tcW w:w="565" w:type="pct"/>
                  <w:vMerge w:val="restart"/>
                  <w:tcBorders>
                    <w:left w:val="single" w:color="000000" w:sz="4" w:space="0"/>
                    <w:right w:val="single" w:color="000000" w:sz="4" w:space="0"/>
                  </w:tcBorders>
                  <w:shd w:val="clear" w:color="auto" w:fill="auto"/>
                  <w:vAlign w:val="center"/>
                </w:tcPr>
                <w:p w14:paraId="56ED262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229693.41m</w:t>
                  </w:r>
                  <w:r>
                    <w:rPr>
                      <w:rFonts w:hint="default" w:ascii="Times New Roman" w:hAnsi="Times New Roman" w:cs="Times New Roman" w:eastAsiaTheme="minorEastAsia"/>
                      <w:color w:val="auto"/>
                      <w:kern w:val="0"/>
                      <w:sz w:val="21"/>
                      <w:szCs w:val="21"/>
                      <w:highlight w:val="none"/>
                      <w:vertAlign w:val="superscript"/>
                      <w:lang w:val="en-US" w:eastAsia="zh-CN" w:bidi="ar"/>
                    </w:rPr>
                    <w:t>3</w:t>
                  </w:r>
                  <w:r>
                    <w:rPr>
                      <w:rFonts w:hint="default" w:ascii="Times New Roman" w:hAnsi="Times New Roman" w:cs="Times New Roman" w:eastAsiaTheme="minorEastAsia"/>
                      <w:color w:val="auto"/>
                      <w:kern w:val="0"/>
                      <w:sz w:val="21"/>
                      <w:szCs w:val="21"/>
                      <w:highlight w:val="none"/>
                      <w:lang w:val="en-US" w:eastAsia="zh-CN" w:bidi="ar"/>
                    </w:rPr>
                    <w:t>/a</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CCDB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bidi="ar"/>
                    </w:rPr>
                    <w:t>mg/L</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5B3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167.8</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3A3E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62.4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2C0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36.9</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1D0B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12.7</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09F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7.2</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650C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24.9</w:t>
                  </w:r>
                </w:p>
              </w:tc>
            </w:tr>
            <w:tr w14:paraId="14F3EEA0">
              <w:tblPrEx>
                <w:tblCellMar>
                  <w:top w:w="0" w:type="dxa"/>
                  <w:left w:w="108" w:type="dxa"/>
                  <w:bottom w:w="0" w:type="dxa"/>
                  <w:right w:w="108" w:type="dxa"/>
                </w:tblCellMar>
              </w:tblPrEx>
              <w:trPr>
                <w:trHeight w:val="397" w:hRule="atLeast"/>
                <w:jc w:val="center"/>
              </w:trPr>
              <w:tc>
                <w:tcPr>
                  <w:tcW w:w="929" w:type="pct"/>
                  <w:vMerge w:val="continue"/>
                  <w:tcBorders>
                    <w:left w:val="single" w:color="000000" w:sz="4" w:space="0"/>
                    <w:bottom w:val="single" w:color="000000" w:sz="4" w:space="0"/>
                    <w:right w:val="single" w:color="000000" w:sz="4" w:space="0"/>
                  </w:tcBorders>
                  <w:shd w:val="clear" w:color="auto" w:fill="auto"/>
                  <w:vAlign w:val="center"/>
                </w:tcPr>
                <w:p w14:paraId="11BEC0A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p>
              </w:tc>
              <w:tc>
                <w:tcPr>
                  <w:tcW w:w="565" w:type="pct"/>
                  <w:vMerge w:val="continue"/>
                  <w:tcBorders>
                    <w:left w:val="single" w:color="000000" w:sz="4" w:space="0"/>
                    <w:bottom w:val="single" w:color="000000" w:sz="4" w:space="0"/>
                    <w:right w:val="single" w:color="000000" w:sz="4" w:space="0"/>
                  </w:tcBorders>
                  <w:shd w:val="clear" w:color="auto" w:fill="auto"/>
                  <w:vAlign w:val="center"/>
                </w:tcPr>
                <w:p w14:paraId="609EAA9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446C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val="en-US" w:eastAsia="zh-CN" w:bidi="ar"/>
                    </w:rPr>
                    <w:t>t/a</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76D2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38.54</w:t>
                  </w:r>
                  <w:r>
                    <w:rPr>
                      <w:rFonts w:hint="eastAsia" w:cs="Times New Roman" w:eastAsiaTheme="minorEastAsia"/>
                      <w:i w:val="0"/>
                      <w:iCs w:val="0"/>
                      <w:color w:val="auto"/>
                      <w:kern w:val="0"/>
                      <w:sz w:val="21"/>
                      <w:szCs w:val="21"/>
                      <w:highlight w:val="none"/>
                      <w:u w:val="none"/>
                      <w:lang w:val="en-US" w:eastAsia="zh-CN" w:bidi="ar"/>
                    </w:rPr>
                    <w:t>4</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FCF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14.34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7048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8.47</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A0B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2.91</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77BB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1.66</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2AA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5.72</w:t>
                  </w:r>
                </w:p>
              </w:tc>
            </w:tr>
            <w:tr w14:paraId="57DB725E">
              <w:tblPrEx>
                <w:tblCellMar>
                  <w:top w:w="0" w:type="dxa"/>
                  <w:left w:w="108" w:type="dxa"/>
                  <w:bottom w:w="0" w:type="dxa"/>
                  <w:right w:w="108" w:type="dxa"/>
                </w:tblCellMar>
              </w:tblPrEx>
              <w:trPr>
                <w:trHeight w:val="397" w:hRule="atLeast"/>
                <w:jc w:val="center"/>
              </w:trPr>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D9A2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排放标准</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08BE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4422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mg/L</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A00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i w:val="0"/>
                      <w:iCs w:val="0"/>
                      <w:color w:val="auto"/>
                      <w:kern w:val="0"/>
                      <w:sz w:val="21"/>
                      <w:szCs w:val="21"/>
                      <w:highlight w:val="none"/>
                      <w:u w:val="none"/>
                      <w:lang w:val="en-US" w:eastAsia="zh-CN" w:bidi="ar"/>
                    </w:rPr>
                    <w:t>500</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0A3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i w:val="0"/>
                      <w:iCs w:val="0"/>
                      <w:color w:val="auto"/>
                      <w:kern w:val="0"/>
                      <w:sz w:val="21"/>
                      <w:szCs w:val="21"/>
                      <w:highlight w:val="none"/>
                      <w:u w:val="none"/>
                      <w:lang w:val="en-US" w:eastAsia="zh-CN" w:bidi="ar"/>
                    </w:rPr>
                    <w:t>300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1C96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i w:val="0"/>
                      <w:iCs w:val="0"/>
                      <w:color w:val="auto"/>
                      <w:kern w:val="0"/>
                      <w:sz w:val="21"/>
                      <w:szCs w:val="21"/>
                      <w:highlight w:val="none"/>
                      <w:u w:val="none"/>
                      <w:lang w:val="en-US" w:eastAsia="zh-CN" w:bidi="ar"/>
                    </w:rPr>
                    <w:t>400</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726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i w:val="0"/>
                      <w:iCs w:val="0"/>
                      <w:color w:val="auto"/>
                      <w:kern w:val="0"/>
                      <w:sz w:val="21"/>
                      <w:szCs w:val="21"/>
                      <w:highlight w:val="none"/>
                      <w:u w:val="none"/>
                      <w:lang w:val="en-US" w:eastAsia="zh-CN" w:bidi="ar"/>
                    </w:rPr>
                    <w:t>45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A8A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i w:val="0"/>
                      <w:iCs w:val="0"/>
                      <w:color w:val="auto"/>
                      <w:kern w:val="0"/>
                      <w:sz w:val="21"/>
                      <w:szCs w:val="21"/>
                      <w:highlight w:val="none"/>
                      <w:u w:val="none"/>
                      <w:lang w:val="en-US" w:eastAsia="zh-CN" w:bidi="ar"/>
                    </w:rPr>
                    <w:t>/</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5B05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w:t>
                  </w:r>
                </w:p>
              </w:tc>
            </w:tr>
            <w:tr w14:paraId="292E408D">
              <w:tblPrEx>
                <w:tblCellMar>
                  <w:top w:w="0" w:type="dxa"/>
                  <w:left w:w="108" w:type="dxa"/>
                  <w:bottom w:w="0" w:type="dxa"/>
                  <w:right w:w="108" w:type="dxa"/>
                </w:tblCellMar>
              </w:tblPrEx>
              <w:trPr>
                <w:trHeight w:val="397" w:hRule="atLeast"/>
                <w:jc w:val="center"/>
              </w:trPr>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F5BC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达标情况</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10D7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EEAE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62A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i w:val="0"/>
                      <w:iCs w:val="0"/>
                      <w:color w:val="auto"/>
                      <w:kern w:val="0"/>
                      <w:sz w:val="21"/>
                      <w:szCs w:val="21"/>
                      <w:highlight w:val="none"/>
                      <w:u w:val="none"/>
                      <w:lang w:val="en-US" w:eastAsia="zh-CN" w:bidi="ar"/>
                    </w:rPr>
                    <w:t>达标</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5D07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i w:val="0"/>
                      <w:iCs w:val="0"/>
                      <w:color w:val="auto"/>
                      <w:kern w:val="0"/>
                      <w:sz w:val="21"/>
                      <w:szCs w:val="21"/>
                      <w:highlight w:val="none"/>
                      <w:u w:val="none"/>
                      <w:lang w:val="en-US" w:eastAsia="zh-CN" w:bidi="ar"/>
                    </w:rPr>
                    <w:t>达标</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C3D2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i w:val="0"/>
                      <w:iCs w:val="0"/>
                      <w:color w:val="auto"/>
                      <w:kern w:val="0"/>
                      <w:sz w:val="21"/>
                      <w:szCs w:val="21"/>
                      <w:highlight w:val="none"/>
                      <w:u w:val="none"/>
                      <w:lang w:val="en-US" w:eastAsia="zh-CN" w:bidi="ar"/>
                    </w:rPr>
                    <w:t>达标</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2D0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i w:val="0"/>
                      <w:iCs w:val="0"/>
                      <w:color w:val="auto"/>
                      <w:kern w:val="0"/>
                      <w:sz w:val="21"/>
                      <w:szCs w:val="21"/>
                      <w:highlight w:val="none"/>
                      <w:u w:val="none"/>
                      <w:lang w:val="en-US" w:eastAsia="zh-CN" w:bidi="ar"/>
                    </w:rPr>
                    <w:t>达标</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BFF5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i w:val="0"/>
                      <w:iCs w:val="0"/>
                      <w:color w:val="auto"/>
                      <w:kern w:val="0"/>
                      <w:sz w:val="21"/>
                      <w:szCs w:val="21"/>
                      <w:highlight w:val="none"/>
                      <w:u w:val="none"/>
                      <w:lang w:val="en-US" w:eastAsia="zh-CN" w:bidi="ar"/>
                    </w:rPr>
                    <w:t>达标</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EC6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i w:val="0"/>
                      <w:iCs w:val="0"/>
                      <w:color w:val="auto"/>
                      <w:kern w:val="0"/>
                      <w:sz w:val="21"/>
                      <w:szCs w:val="21"/>
                      <w:highlight w:val="none"/>
                      <w:u w:val="none"/>
                      <w:lang w:val="en-US" w:eastAsia="zh-CN" w:bidi="ar"/>
                    </w:rPr>
                    <w:t>达标</w:t>
                  </w:r>
                </w:p>
              </w:tc>
            </w:tr>
          </w:tbl>
          <w:p w14:paraId="6E6F209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bCs/>
                <w:color w:val="auto"/>
                <w:kern w:val="0"/>
                <w:sz w:val="24"/>
                <w:highlight w:val="none"/>
              </w:rPr>
            </w:pPr>
            <w:r>
              <w:rPr>
                <w:rFonts w:hint="eastAsia"/>
                <w:color w:val="auto"/>
                <w:sz w:val="24"/>
                <w:highlight w:val="none"/>
              </w:rPr>
              <w:t>根据上表可知，</w:t>
            </w:r>
            <w:r>
              <w:rPr>
                <w:rFonts w:hint="eastAsia"/>
                <w:color w:val="auto"/>
                <w:sz w:val="24"/>
                <w:highlight w:val="none"/>
                <w:lang w:val="en-US" w:eastAsia="zh-CN"/>
              </w:rPr>
              <w:t>本项目建设完成后全厂</w:t>
            </w:r>
            <w:r>
              <w:rPr>
                <w:rFonts w:hint="eastAsia"/>
                <w:color w:val="auto"/>
                <w:sz w:val="24"/>
                <w:highlight w:val="none"/>
              </w:rPr>
              <w:t>生产废水经生产废水处理系统处理后，可以达到《污水综合排放标准》（GB 8978-1996）中三级标准限值。</w:t>
            </w:r>
          </w:p>
          <w:p w14:paraId="7B010037">
            <w:pPr>
              <w:keepNext w:val="0"/>
              <w:keepLines w:val="0"/>
              <w:pageBreakBefore w:val="0"/>
              <w:widowControl w:val="0"/>
              <w:kinsoku/>
              <w:wordWrap/>
              <w:overflowPunct/>
              <w:topLinePunct w:val="0"/>
              <w:autoSpaceDE/>
              <w:autoSpaceDN/>
              <w:bidi w:val="0"/>
              <w:adjustRightInd w:val="0"/>
              <w:snapToGrid w:val="0"/>
              <w:spacing w:line="440" w:lineRule="exact"/>
              <w:ind w:firstLine="422"/>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w:t>
            </w:r>
            <w:r>
              <w:rPr>
                <w:rFonts w:hint="eastAsia"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）排放形式和治理设施</w:t>
            </w:r>
          </w:p>
          <w:p w14:paraId="6422348B">
            <w:pPr>
              <w:keepNext w:val="0"/>
              <w:keepLines w:val="0"/>
              <w:pageBreakBefore w:val="0"/>
              <w:widowControl w:val="0"/>
              <w:tabs>
                <w:tab w:val="left" w:pos="2215"/>
                <w:tab w:val="center" w:pos="4242"/>
              </w:tabs>
              <w:kinsoku/>
              <w:wordWrap/>
              <w:overflowPunct/>
              <w:topLinePunct w:val="0"/>
              <w:autoSpaceDE/>
              <w:autoSpaceDN/>
              <w:bidi w:val="0"/>
              <w:adjustRightInd w:val="0"/>
              <w:snapToGrid w:val="0"/>
              <w:spacing w:line="440" w:lineRule="exact"/>
              <w:ind w:firstLine="480" w:firstLineChars="200"/>
              <w:jc w:val="left"/>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本项目废污水</w:t>
            </w:r>
            <w:r>
              <w:rPr>
                <w:rFonts w:hint="default" w:ascii="Times New Roman" w:hAnsi="Times New Roman" w:eastAsia="宋体" w:cs="Times New Roman"/>
                <w:b w:val="0"/>
                <w:bCs w:val="0"/>
                <w:color w:val="auto"/>
                <w:sz w:val="24"/>
                <w:szCs w:val="24"/>
                <w:highlight w:val="none"/>
              </w:rPr>
              <w:t>排放形式和治理设施</w:t>
            </w:r>
            <w:r>
              <w:rPr>
                <w:rFonts w:hint="default" w:ascii="Times New Roman" w:hAnsi="Times New Roman" w:eastAsia="宋体" w:cs="Times New Roman"/>
                <w:b w:val="0"/>
                <w:bCs w:val="0"/>
                <w:color w:val="auto"/>
                <w:sz w:val="24"/>
                <w:szCs w:val="24"/>
                <w:highlight w:val="none"/>
                <w:lang w:val="en-US" w:eastAsia="zh-CN"/>
              </w:rPr>
              <w:t>如下：</w:t>
            </w:r>
          </w:p>
          <w:p w14:paraId="4C4DED7E">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表4-</w:t>
            </w:r>
            <w:r>
              <w:rPr>
                <w:rFonts w:hint="eastAsia" w:cs="Times New Roman"/>
                <w:b/>
                <w:bCs/>
                <w:color w:val="auto"/>
                <w:sz w:val="21"/>
                <w:szCs w:val="21"/>
                <w:highlight w:val="none"/>
                <w:lang w:val="en-US" w:eastAsia="zh-CN"/>
              </w:rPr>
              <w:t>20</w:t>
            </w:r>
            <w:r>
              <w:rPr>
                <w:rFonts w:hint="default" w:ascii="Times New Roman" w:hAnsi="Times New Roman" w:eastAsia="宋体" w:cs="Times New Roman"/>
                <w:b/>
                <w:bCs/>
                <w:color w:val="auto"/>
                <w:sz w:val="21"/>
                <w:szCs w:val="21"/>
                <w:highlight w:val="none"/>
              </w:rPr>
              <w:t xml:space="preserve">  废水排放形式及污染治理设施信息表</w:t>
            </w:r>
          </w:p>
          <w:tbl>
            <w:tblPr>
              <w:tblStyle w:val="26"/>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
              <w:gridCol w:w="1058"/>
              <w:gridCol w:w="2198"/>
              <w:gridCol w:w="1186"/>
              <w:gridCol w:w="924"/>
              <w:gridCol w:w="1668"/>
              <w:gridCol w:w="1394"/>
            </w:tblGrid>
            <w:tr w14:paraId="26672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5" w:type="dxa"/>
                  <w:gridSpan w:val="2"/>
                  <w:vMerge w:val="restart"/>
                  <w:noWrap w:val="0"/>
                  <w:vAlign w:val="center"/>
                </w:tcPr>
                <w:p w14:paraId="3F8639A5">
                  <w:pPr>
                    <w:keepNext w:val="0"/>
                    <w:keepLines w:val="0"/>
                    <w:pageBreakBefore w:val="0"/>
                    <w:widowControl w:val="0"/>
                    <w:wordWrap/>
                    <w:topLinePunct w:val="0"/>
                    <w:bidi w:val="0"/>
                    <w:adjustRightInd w:val="0"/>
                    <w:snapToGrid w:val="0"/>
                    <w:spacing w:line="320" w:lineRule="exact"/>
                    <w:ind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废水类别</w:t>
                  </w:r>
                </w:p>
              </w:tc>
              <w:tc>
                <w:tcPr>
                  <w:tcW w:w="2198" w:type="dxa"/>
                  <w:vMerge w:val="restart"/>
                  <w:noWrap w:val="0"/>
                  <w:vAlign w:val="center"/>
                </w:tcPr>
                <w:p w14:paraId="13F80C03">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排放去向</w:t>
                  </w:r>
                </w:p>
              </w:tc>
              <w:tc>
                <w:tcPr>
                  <w:tcW w:w="1186" w:type="dxa"/>
                  <w:vMerge w:val="restart"/>
                  <w:noWrap w:val="0"/>
                  <w:vAlign w:val="center"/>
                </w:tcPr>
                <w:p w14:paraId="7652AFE8">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排放规律</w:t>
                  </w:r>
                </w:p>
              </w:tc>
              <w:tc>
                <w:tcPr>
                  <w:tcW w:w="3986" w:type="dxa"/>
                  <w:gridSpan w:val="3"/>
                  <w:noWrap w:val="0"/>
                  <w:vAlign w:val="center"/>
                </w:tcPr>
                <w:p w14:paraId="4F56E874">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污染治理设施</w:t>
                  </w:r>
                </w:p>
              </w:tc>
            </w:tr>
            <w:tr w14:paraId="2DBE1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5" w:type="dxa"/>
                  <w:gridSpan w:val="2"/>
                  <w:vMerge w:val="continue"/>
                  <w:noWrap w:val="0"/>
                  <w:vAlign w:val="center"/>
                </w:tcPr>
                <w:p w14:paraId="77FB19D9">
                  <w:pPr>
                    <w:keepNext w:val="0"/>
                    <w:keepLines w:val="0"/>
                    <w:pageBreakBefore w:val="0"/>
                    <w:widowControl w:val="0"/>
                    <w:wordWrap/>
                    <w:topLinePunct w:val="0"/>
                    <w:bidi w:val="0"/>
                    <w:adjustRightInd w:val="0"/>
                    <w:snapToGrid w:val="0"/>
                    <w:spacing w:line="320" w:lineRule="exact"/>
                    <w:ind w:firstLine="0" w:firstLineChars="0"/>
                    <w:jc w:val="center"/>
                    <w:textAlignment w:val="auto"/>
                    <w:rPr>
                      <w:rFonts w:hint="default" w:ascii="Times New Roman" w:hAnsi="Times New Roman" w:eastAsia="宋体" w:cs="Times New Roman"/>
                      <w:b/>
                      <w:bCs/>
                      <w:color w:val="auto"/>
                      <w:kern w:val="0"/>
                      <w:sz w:val="21"/>
                      <w:szCs w:val="21"/>
                      <w:highlight w:val="none"/>
                    </w:rPr>
                  </w:pPr>
                </w:p>
              </w:tc>
              <w:tc>
                <w:tcPr>
                  <w:tcW w:w="2198" w:type="dxa"/>
                  <w:vMerge w:val="continue"/>
                  <w:noWrap w:val="0"/>
                  <w:vAlign w:val="center"/>
                </w:tcPr>
                <w:p w14:paraId="439E9845">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rPr>
                  </w:pPr>
                </w:p>
              </w:tc>
              <w:tc>
                <w:tcPr>
                  <w:tcW w:w="1186" w:type="dxa"/>
                  <w:vMerge w:val="continue"/>
                  <w:noWrap w:val="0"/>
                  <w:vAlign w:val="center"/>
                </w:tcPr>
                <w:p w14:paraId="3D75729B">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rPr>
                  </w:pPr>
                </w:p>
              </w:tc>
              <w:tc>
                <w:tcPr>
                  <w:tcW w:w="924" w:type="dxa"/>
                  <w:noWrap w:val="0"/>
                  <w:vAlign w:val="center"/>
                </w:tcPr>
                <w:p w14:paraId="43C23969">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治理设施编号</w:t>
                  </w:r>
                </w:p>
              </w:tc>
              <w:tc>
                <w:tcPr>
                  <w:tcW w:w="1668" w:type="dxa"/>
                  <w:noWrap w:val="0"/>
                  <w:vAlign w:val="center"/>
                </w:tcPr>
                <w:p w14:paraId="3C7A2F5A">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污染治理设施名称</w:t>
                  </w:r>
                </w:p>
              </w:tc>
              <w:tc>
                <w:tcPr>
                  <w:tcW w:w="1394" w:type="dxa"/>
                  <w:noWrap w:val="0"/>
                  <w:vAlign w:val="center"/>
                </w:tcPr>
                <w:p w14:paraId="5FB8F00D">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污染治理设施工艺</w:t>
                  </w:r>
                </w:p>
              </w:tc>
            </w:tr>
            <w:tr w14:paraId="6AED6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7" w:type="dxa"/>
                  <w:vMerge w:val="restart"/>
                  <w:noWrap w:val="0"/>
                  <w:vAlign w:val="center"/>
                </w:tcPr>
                <w:p w14:paraId="3171DB88">
                  <w:pPr>
                    <w:keepNext w:val="0"/>
                    <w:keepLines w:val="0"/>
                    <w:pageBreakBefore w:val="0"/>
                    <w:widowControl w:val="0"/>
                    <w:wordWrap/>
                    <w:topLinePunct w:val="0"/>
                    <w:bidi w:val="0"/>
                    <w:adjustRightInd w:val="0"/>
                    <w:snapToGrid w:val="0"/>
                    <w:spacing w:line="320" w:lineRule="exact"/>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现有项目</w:t>
                  </w:r>
                </w:p>
              </w:tc>
              <w:tc>
                <w:tcPr>
                  <w:tcW w:w="1058" w:type="dxa"/>
                  <w:vMerge w:val="restart"/>
                  <w:noWrap w:val="0"/>
                  <w:vAlign w:val="center"/>
                </w:tcPr>
                <w:p w14:paraId="6A4DC3A1">
                  <w:pPr>
                    <w:keepNext w:val="0"/>
                    <w:keepLines w:val="0"/>
                    <w:pageBreakBefore w:val="0"/>
                    <w:widowControl w:val="0"/>
                    <w:wordWrap/>
                    <w:topLinePunct w:val="0"/>
                    <w:bidi w:val="0"/>
                    <w:adjustRightInd w:val="0"/>
                    <w:snapToGrid w:val="0"/>
                    <w:spacing w:line="320" w:lineRule="exact"/>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生活污水</w:t>
                  </w:r>
                </w:p>
              </w:tc>
              <w:tc>
                <w:tcPr>
                  <w:tcW w:w="2198" w:type="dxa"/>
                  <w:vMerge w:val="restart"/>
                  <w:noWrap w:val="0"/>
                  <w:vAlign w:val="center"/>
                </w:tcPr>
                <w:p w14:paraId="68FD7ECB">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left"/>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排入</w:t>
                  </w:r>
                  <w:r>
                    <w:rPr>
                      <w:rFonts w:hint="default" w:ascii="Times New Roman" w:hAnsi="Times New Roman" w:eastAsia="宋体" w:cs="Times New Roman"/>
                      <w:b w:val="0"/>
                      <w:bCs w:val="0"/>
                      <w:color w:val="auto"/>
                      <w:sz w:val="21"/>
                      <w:szCs w:val="21"/>
                      <w:highlight w:val="none"/>
                    </w:rPr>
                    <w:t>寻甸县污水处理厂</w:t>
                  </w:r>
                  <w:r>
                    <w:rPr>
                      <w:rFonts w:hint="eastAsia" w:cs="Times New Roman"/>
                      <w:b w:val="0"/>
                      <w:bCs w:val="0"/>
                      <w:color w:val="auto"/>
                      <w:sz w:val="21"/>
                      <w:szCs w:val="21"/>
                      <w:highlight w:val="none"/>
                      <w:lang w:val="en-US" w:eastAsia="zh-CN"/>
                    </w:rPr>
                    <w:t>进一步处理。</w:t>
                  </w:r>
                </w:p>
              </w:tc>
              <w:tc>
                <w:tcPr>
                  <w:tcW w:w="1186" w:type="dxa"/>
                  <w:vMerge w:val="restart"/>
                  <w:noWrap w:val="0"/>
                  <w:vAlign w:val="center"/>
                </w:tcPr>
                <w:p w14:paraId="6BB0DDF5">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间断排放，排放期间流量稳定</w:t>
                  </w:r>
                </w:p>
              </w:tc>
              <w:tc>
                <w:tcPr>
                  <w:tcW w:w="924" w:type="dxa"/>
                  <w:noWrap w:val="0"/>
                  <w:vAlign w:val="center"/>
                </w:tcPr>
                <w:p w14:paraId="7FC171D8">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color w:val="auto"/>
                      <w:sz w:val="21"/>
                      <w:szCs w:val="21"/>
                      <w:highlight w:val="none"/>
                      <w:lang w:val="en-US" w:eastAsia="zh-CN"/>
                    </w:rPr>
                    <w:t>TW</w:t>
                  </w:r>
                  <w:r>
                    <w:rPr>
                      <w:rFonts w:hint="default" w:ascii="Times New Roman" w:hAnsi="Times New Roman" w:eastAsia="宋体" w:cs="Times New Roman"/>
                      <w:color w:val="auto"/>
                      <w:sz w:val="21"/>
                      <w:szCs w:val="21"/>
                      <w:highlight w:val="none"/>
                    </w:rPr>
                    <w:t>001</w:t>
                  </w:r>
                </w:p>
              </w:tc>
              <w:tc>
                <w:tcPr>
                  <w:tcW w:w="1668" w:type="dxa"/>
                  <w:noWrap w:val="0"/>
                  <w:vAlign w:val="center"/>
                </w:tcPr>
                <w:p w14:paraId="1A5879B2">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隔油池（3m</w:t>
                  </w:r>
                  <w:r>
                    <w:rPr>
                      <w:rFonts w:hint="eastAsia" w:cs="Times New Roman"/>
                      <w:b w:val="0"/>
                      <w:bCs w:val="0"/>
                      <w:color w:val="auto"/>
                      <w:sz w:val="21"/>
                      <w:szCs w:val="21"/>
                      <w:highlight w:val="none"/>
                      <w:vertAlign w:val="superscript"/>
                      <w:lang w:val="en-US" w:eastAsia="zh-CN"/>
                    </w:rPr>
                    <w:t>3</w:t>
                  </w:r>
                  <w:r>
                    <w:rPr>
                      <w:rFonts w:hint="eastAsia" w:cs="Times New Roman"/>
                      <w:b w:val="0"/>
                      <w:bCs w:val="0"/>
                      <w:color w:val="auto"/>
                      <w:sz w:val="21"/>
                      <w:szCs w:val="21"/>
                      <w:highlight w:val="none"/>
                      <w:lang w:val="en-US" w:eastAsia="zh-CN"/>
                    </w:rPr>
                    <w:t>）</w:t>
                  </w:r>
                </w:p>
              </w:tc>
              <w:tc>
                <w:tcPr>
                  <w:tcW w:w="1394" w:type="dxa"/>
                  <w:noWrap w:val="0"/>
                  <w:vAlign w:val="center"/>
                </w:tcPr>
                <w:p w14:paraId="6DF61511">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隔档</w:t>
                  </w:r>
                </w:p>
              </w:tc>
            </w:tr>
            <w:tr w14:paraId="75144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7" w:type="dxa"/>
                  <w:vMerge w:val="continue"/>
                  <w:noWrap w:val="0"/>
                  <w:vAlign w:val="center"/>
                </w:tcPr>
                <w:p w14:paraId="1AE3E15F">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color w:val="auto"/>
                      <w:sz w:val="21"/>
                      <w:szCs w:val="21"/>
                      <w:highlight w:val="none"/>
                    </w:rPr>
                  </w:pPr>
                </w:p>
              </w:tc>
              <w:tc>
                <w:tcPr>
                  <w:tcW w:w="1058" w:type="dxa"/>
                  <w:vMerge w:val="continue"/>
                  <w:noWrap w:val="0"/>
                  <w:vAlign w:val="center"/>
                </w:tcPr>
                <w:p w14:paraId="25AD8581">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color w:val="auto"/>
                      <w:sz w:val="21"/>
                      <w:szCs w:val="21"/>
                      <w:highlight w:val="none"/>
                    </w:rPr>
                  </w:pPr>
                </w:p>
              </w:tc>
              <w:tc>
                <w:tcPr>
                  <w:tcW w:w="2198" w:type="dxa"/>
                  <w:vMerge w:val="continue"/>
                  <w:noWrap w:val="0"/>
                  <w:vAlign w:val="center"/>
                </w:tcPr>
                <w:p w14:paraId="060468A2">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color w:val="auto"/>
                      <w:sz w:val="21"/>
                      <w:szCs w:val="21"/>
                      <w:highlight w:val="none"/>
                    </w:rPr>
                  </w:pPr>
                </w:p>
              </w:tc>
              <w:tc>
                <w:tcPr>
                  <w:tcW w:w="1186" w:type="dxa"/>
                  <w:vMerge w:val="continue"/>
                  <w:noWrap w:val="0"/>
                  <w:vAlign w:val="center"/>
                </w:tcPr>
                <w:p w14:paraId="52DFCB3A">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color w:val="auto"/>
                      <w:sz w:val="21"/>
                      <w:szCs w:val="21"/>
                      <w:highlight w:val="none"/>
                    </w:rPr>
                  </w:pPr>
                </w:p>
              </w:tc>
              <w:tc>
                <w:tcPr>
                  <w:tcW w:w="924" w:type="dxa"/>
                  <w:noWrap w:val="0"/>
                  <w:vAlign w:val="center"/>
                </w:tcPr>
                <w:p w14:paraId="159BE1E5">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color w:val="auto"/>
                      <w:sz w:val="21"/>
                      <w:szCs w:val="21"/>
                      <w:highlight w:val="none"/>
                      <w:lang w:val="en-US" w:eastAsia="zh-CN"/>
                    </w:rPr>
                    <w:t>TW</w:t>
                  </w:r>
                  <w:r>
                    <w:rPr>
                      <w:rFonts w:hint="default" w:ascii="Times New Roman" w:hAnsi="Times New Roman" w:eastAsia="宋体" w:cs="Times New Roman"/>
                      <w:color w:val="auto"/>
                      <w:sz w:val="21"/>
                      <w:szCs w:val="21"/>
                      <w:highlight w:val="none"/>
                    </w:rPr>
                    <w:t>00</w:t>
                  </w:r>
                  <w:r>
                    <w:rPr>
                      <w:rFonts w:hint="eastAsia" w:ascii="Times New Roman" w:hAnsi="Times New Roman" w:eastAsia="宋体" w:cs="Times New Roman"/>
                      <w:color w:val="auto"/>
                      <w:sz w:val="21"/>
                      <w:szCs w:val="21"/>
                      <w:highlight w:val="none"/>
                      <w:lang w:val="en-US" w:eastAsia="zh-CN"/>
                    </w:rPr>
                    <w:t>2</w:t>
                  </w:r>
                </w:p>
              </w:tc>
              <w:tc>
                <w:tcPr>
                  <w:tcW w:w="1668" w:type="dxa"/>
                  <w:noWrap w:val="0"/>
                  <w:vAlign w:val="center"/>
                </w:tcPr>
                <w:p w14:paraId="0C73259E">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化粪池</w:t>
                  </w:r>
                  <w:r>
                    <w:rPr>
                      <w:rFonts w:hint="eastAsia" w:cs="Times New Roman"/>
                      <w:b w:val="0"/>
                      <w:bCs w:val="0"/>
                      <w:color w:val="auto"/>
                      <w:sz w:val="21"/>
                      <w:szCs w:val="21"/>
                      <w:highlight w:val="none"/>
                      <w:lang w:val="en-US" w:eastAsia="zh-CN"/>
                    </w:rPr>
                    <w:t>（3m</w:t>
                  </w:r>
                  <w:r>
                    <w:rPr>
                      <w:rFonts w:hint="eastAsia" w:cs="Times New Roman"/>
                      <w:b w:val="0"/>
                      <w:bCs w:val="0"/>
                      <w:color w:val="auto"/>
                      <w:sz w:val="21"/>
                      <w:szCs w:val="21"/>
                      <w:highlight w:val="none"/>
                      <w:vertAlign w:val="superscript"/>
                      <w:lang w:val="en-US" w:eastAsia="zh-CN"/>
                    </w:rPr>
                    <w:t>3</w:t>
                  </w:r>
                  <w:r>
                    <w:rPr>
                      <w:rFonts w:hint="eastAsia" w:cs="Times New Roman"/>
                      <w:b w:val="0"/>
                      <w:bCs w:val="0"/>
                      <w:color w:val="auto"/>
                      <w:sz w:val="21"/>
                      <w:szCs w:val="21"/>
                      <w:highlight w:val="none"/>
                      <w:lang w:val="en-US" w:eastAsia="zh-CN"/>
                    </w:rPr>
                    <w:t>）</w:t>
                  </w:r>
                </w:p>
              </w:tc>
              <w:tc>
                <w:tcPr>
                  <w:tcW w:w="1394" w:type="dxa"/>
                  <w:noWrap w:val="0"/>
                  <w:vAlign w:val="center"/>
                </w:tcPr>
                <w:p w14:paraId="209900B8">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厌氧发酵</w:t>
                  </w:r>
                </w:p>
              </w:tc>
            </w:tr>
            <w:tr w14:paraId="1EA4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7" w:type="dxa"/>
                  <w:vMerge w:val="continue"/>
                  <w:noWrap w:val="0"/>
                  <w:vAlign w:val="center"/>
                </w:tcPr>
                <w:p w14:paraId="35E05BF4">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1058" w:type="dxa"/>
                  <w:vMerge w:val="continue"/>
                  <w:noWrap w:val="0"/>
                  <w:vAlign w:val="center"/>
                </w:tcPr>
                <w:p w14:paraId="7CA0098F">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2198" w:type="dxa"/>
                  <w:vMerge w:val="continue"/>
                  <w:noWrap w:val="0"/>
                  <w:vAlign w:val="center"/>
                </w:tcPr>
                <w:p w14:paraId="62597D9B">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1186" w:type="dxa"/>
                  <w:vMerge w:val="continue"/>
                  <w:noWrap w:val="0"/>
                  <w:vAlign w:val="center"/>
                </w:tcPr>
                <w:p w14:paraId="3A8901F8">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924" w:type="dxa"/>
                  <w:noWrap w:val="0"/>
                  <w:vAlign w:val="center"/>
                </w:tcPr>
                <w:p w14:paraId="4E58E68B">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color w:val="auto"/>
                      <w:sz w:val="21"/>
                      <w:szCs w:val="21"/>
                      <w:highlight w:val="none"/>
                      <w:lang w:val="en-US" w:eastAsia="zh-CN"/>
                    </w:rPr>
                    <w:t>TW003</w:t>
                  </w:r>
                </w:p>
              </w:tc>
              <w:tc>
                <w:tcPr>
                  <w:tcW w:w="1668" w:type="dxa"/>
                  <w:noWrap w:val="0"/>
                  <w:vAlign w:val="center"/>
                </w:tcPr>
                <w:p w14:paraId="34B016B5">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化粪池</w:t>
                  </w:r>
                  <w:r>
                    <w:rPr>
                      <w:rFonts w:hint="eastAsia" w:cs="Times New Roman"/>
                      <w:b w:val="0"/>
                      <w:bCs w:val="0"/>
                      <w:color w:val="auto"/>
                      <w:sz w:val="21"/>
                      <w:szCs w:val="21"/>
                      <w:highlight w:val="none"/>
                      <w:lang w:val="en-US" w:eastAsia="zh-CN"/>
                    </w:rPr>
                    <w:t>（16m</w:t>
                  </w:r>
                  <w:r>
                    <w:rPr>
                      <w:rFonts w:hint="eastAsia" w:cs="Times New Roman"/>
                      <w:b w:val="0"/>
                      <w:bCs w:val="0"/>
                      <w:color w:val="auto"/>
                      <w:sz w:val="21"/>
                      <w:szCs w:val="21"/>
                      <w:highlight w:val="none"/>
                      <w:vertAlign w:val="superscript"/>
                      <w:lang w:val="en-US" w:eastAsia="zh-CN"/>
                    </w:rPr>
                    <w:t>3</w:t>
                  </w:r>
                  <w:r>
                    <w:rPr>
                      <w:rFonts w:hint="eastAsia" w:cs="Times New Roman"/>
                      <w:b w:val="0"/>
                      <w:bCs w:val="0"/>
                      <w:color w:val="auto"/>
                      <w:sz w:val="21"/>
                      <w:szCs w:val="21"/>
                      <w:highlight w:val="none"/>
                      <w:lang w:val="en-US" w:eastAsia="zh-CN"/>
                    </w:rPr>
                    <w:t>）</w:t>
                  </w:r>
                </w:p>
              </w:tc>
              <w:tc>
                <w:tcPr>
                  <w:tcW w:w="1394" w:type="dxa"/>
                  <w:noWrap w:val="0"/>
                  <w:vAlign w:val="center"/>
                </w:tcPr>
                <w:p w14:paraId="6B1B5C0A">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厌氧发酵</w:t>
                  </w:r>
                </w:p>
              </w:tc>
            </w:tr>
            <w:tr w14:paraId="70D6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7" w:type="dxa"/>
                  <w:vMerge w:val="continue"/>
                  <w:noWrap w:val="0"/>
                  <w:vAlign w:val="center"/>
                </w:tcPr>
                <w:p w14:paraId="2C6924AC">
                  <w:pPr>
                    <w:keepNext w:val="0"/>
                    <w:keepLines w:val="0"/>
                    <w:pageBreakBefore w:val="0"/>
                    <w:widowControl w:val="0"/>
                    <w:wordWrap/>
                    <w:topLinePunct w:val="0"/>
                    <w:bidi w:val="0"/>
                    <w:adjustRightInd w:val="0"/>
                    <w:snapToGrid w:val="0"/>
                    <w:spacing w:line="320" w:lineRule="exact"/>
                    <w:ind w:firstLine="0" w:firstLineChars="0"/>
                    <w:jc w:val="center"/>
                    <w:textAlignment w:val="auto"/>
                    <w:rPr>
                      <w:b w:val="0"/>
                      <w:bCs w:val="0"/>
                      <w:color w:val="auto"/>
                      <w:sz w:val="21"/>
                      <w:szCs w:val="21"/>
                      <w:highlight w:val="none"/>
                    </w:rPr>
                  </w:pPr>
                </w:p>
              </w:tc>
              <w:tc>
                <w:tcPr>
                  <w:tcW w:w="1058" w:type="dxa"/>
                  <w:noWrap w:val="0"/>
                  <w:vAlign w:val="center"/>
                </w:tcPr>
                <w:p w14:paraId="2B264BB9">
                  <w:pPr>
                    <w:keepNext w:val="0"/>
                    <w:keepLines w:val="0"/>
                    <w:pageBreakBefore w:val="0"/>
                    <w:widowControl w:val="0"/>
                    <w:wordWrap/>
                    <w:topLinePunct w:val="0"/>
                    <w:bidi w:val="0"/>
                    <w:adjustRightInd w:val="0"/>
                    <w:snapToGrid w:val="0"/>
                    <w:spacing w:line="320" w:lineRule="exact"/>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生产废水</w:t>
                  </w:r>
                </w:p>
              </w:tc>
              <w:tc>
                <w:tcPr>
                  <w:tcW w:w="2198" w:type="dxa"/>
                  <w:vMerge w:val="continue"/>
                  <w:noWrap w:val="0"/>
                  <w:vAlign w:val="center"/>
                </w:tcPr>
                <w:p w14:paraId="6F4182D1">
                  <w:pPr>
                    <w:keepNext w:val="0"/>
                    <w:keepLines w:val="0"/>
                    <w:pageBreakBefore w:val="0"/>
                    <w:widowControl w:val="0"/>
                    <w:wordWrap/>
                    <w:topLinePunct w:val="0"/>
                    <w:bidi w:val="0"/>
                    <w:adjustRightInd w:val="0"/>
                    <w:snapToGrid w:val="0"/>
                    <w:spacing w:line="320" w:lineRule="exact"/>
                    <w:ind w:firstLine="0" w:firstLineChars="0"/>
                    <w:jc w:val="center"/>
                    <w:textAlignment w:val="auto"/>
                    <w:rPr>
                      <w:rFonts w:hint="default" w:ascii="Times New Roman" w:hAnsi="Times New Roman" w:eastAsia="宋体" w:cs="Times New Roman"/>
                      <w:b w:val="0"/>
                      <w:bCs w:val="0"/>
                      <w:color w:val="auto"/>
                      <w:kern w:val="0"/>
                      <w:sz w:val="21"/>
                      <w:szCs w:val="21"/>
                      <w:highlight w:val="none"/>
                    </w:rPr>
                  </w:pPr>
                </w:p>
              </w:tc>
              <w:tc>
                <w:tcPr>
                  <w:tcW w:w="1186" w:type="dxa"/>
                  <w:vMerge w:val="continue"/>
                  <w:noWrap w:val="0"/>
                  <w:vAlign w:val="center"/>
                </w:tcPr>
                <w:p w14:paraId="6E668FD1">
                  <w:pPr>
                    <w:keepNext w:val="0"/>
                    <w:keepLines w:val="0"/>
                    <w:pageBreakBefore w:val="0"/>
                    <w:widowControl w:val="0"/>
                    <w:wordWrap/>
                    <w:topLinePunct w:val="0"/>
                    <w:bidi w:val="0"/>
                    <w:adjustRightInd w:val="0"/>
                    <w:snapToGrid w:val="0"/>
                    <w:spacing w:line="320" w:lineRule="exact"/>
                    <w:ind w:firstLine="0" w:firstLineChars="0"/>
                    <w:jc w:val="center"/>
                    <w:textAlignment w:val="auto"/>
                    <w:rPr>
                      <w:rFonts w:hint="default" w:ascii="Times New Roman" w:hAnsi="Times New Roman" w:eastAsia="宋体" w:cs="Times New Roman"/>
                      <w:b w:val="0"/>
                      <w:bCs w:val="0"/>
                      <w:color w:val="auto"/>
                      <w:kern w:val="0"/>
                      <w:sz w:val="21"/>
                      <w:szCs w:val="21"/>
                      <w:highlight w:val="none"/>
                    </w:rPr>
                  </w:pPr>
                </w:p>
              </w:tc>
              <w:tc>
                <w:tcPr>
                  <w:tcW w:w="924" w:type="dxa"/>
                  <w:vMerge w:val="restart"/>
                  <w:shd w:val="clear" w:color="auto" w:fill="auto"/>
                  <w:noWrap w:val="0"/>
                  <w:vAlign w:val="center"/>
                </w:tcPr>
                <w:p w14:paraId="10B4B412">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TW00</w:t>
                  </w:r>
                  <w:r>
                    <w:rPr>
                      <w:rFonts w:hint="eastAsia" w:cs="Times New Roman"/>
                      <w:color w:val="auto"/>
                      <w:sz w:val="21"/>
                      <w:szCs w:val="21"/>
                      <w:highlight w:val="none"/>
                      <w:lang w:val="en-US" w:eastAsia="zh-CN"/>
                    </w:rPr>
                    <w:t>4</w:t>
                  </w:r>
                </w:p>
              </w:tc>
              <w:tc>
                <w:tcPr>
                  <w:tcW w:w="1668" w:type="dxa"/>
                  <w:vMerge w:val="restart"/>
                  <w:noWrap w:val="0"/>
                  <w:vAlign w:val="center"/>
                </w:tcPr>
                <w:p w14:paraId="56E5D8DD">
                  <w:pPr>
                    <w:keepNext w:val="0"/>
                    <w:keepLines w:val="0"/>
                    <w:pageBreakBefore w:val="0"/>
                    <w:widowControl w:val="0"/>
                    <w:wordWrap/>
                    <w:topLinePunct w:val="0"/>
                    <w:bidi w:val="0"/>
                    <w:adjustRightInd w:val="0"/>
                    <w:snapToGrid w:val="0"/>
                    <w:spacing w:line="320" w:lineRule="exact"/>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污水处理站（900m</w:t>
                  </w:r>
                  <w:r>
                    <w:rPr>
                      <w:rFonts w:hint="eastAsia" w:cs="Times New Roman"/>
                      <w:b w:val="0"/>
                      <w:bCs w:val="0"/>
                      <w:color w:val="auto"/>
                      <w:kern w:val="0"/>
                      <w:sz w:val="21"/>
                      <w:szCs w:val="21"/>
                      <w:highlight w:val="none"/>
                      <w:vertAlign w:val="superscript"/>
                      <w:lang w:val="en-US" w:eastAsia="zh-CN"/>
                    </w:rPr>
                    <w:t>3</w:t>
                  </w:r>
                  <w:r>
                    <w:rPr>
                      <w:rFonts w:hint="eastAsia" w:cs="Times New Roman"/>
                      <w:b w:val="0"/>
                      <w:bCs w:val="0"/>
                      <w:color w:val="auto"/>
                      <w:kern w:val="0"/>
                      <w:sz w:val="21"/>
                      <w:szCs w:val="21"/>
                      <w:highlight w:val="none"/>
                      <w:lang w:val="en-US" w:eastAsia="zh-CN"/>
                    </w:rPr>
                    <w:t>/d）</w:t>
                  </w:r>
                </w:p>
              </w:tc>
              <w:tc>
                <w:tcPr>
                  <w:tcW w:w="1394" w:type="dxa"/>
                  <w:vMerge w:val="restart"/>
                  <w:noWrap w:val="0"/>
                  <w:vAlign w:val="center"/>
                </w:tcPr>
                <w:p w14:paraId="6116E593">
                  <w:pPr>
                    <w:keepNext w:val="0"/>
                    <w:keepLines w:val="0"/>
                    <w:pageBreakBefore w:val="0"/>
                    <w:widowControl w:val="0"/>
                    <w:wordWrap/>
                    <w:topLinePunct w:val="0"/>
                    <w:bidi w:val="0"/>
                    <w:adjustRightInd w:val="0"/>
                    <w:snapToGrid w:val="0"/>
                    <w:spacing w:line="320" w:lineRule="exact"/>
                    <w:ind w:firstLine="0" w:firstLineChars="0"/>
                    <w:jc w:val="center"/>
                    <w:textAlignment w:val="auto"/>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固液分离</w:t>
                  </w:r>
                  <w:r>
                    <w:rPr>
                      <w:rFonts w:hint="eastAsia" w:cs="Times New Roman"/>
                      <w:b w:val="0"/>
                      <w:bCs w:val="0"/>
                      <w:color w:val="auto"/>
                      <w:kern w:val="0"/>
                      <w:sz w:val="21"/>
                      <w:szCs w:val="21"/>
                      <w:highlight w:val="none"/>
                      <w:lang w:val="en-US" w:eastAsia="zh-CN"/>
                    </w:rPr>
                    <w:t>-</w:t>
                  </w:r>
                  <w:r>
                    <w:rPr>
                      <w:rFonts w:hint="default" w:ascii="Times New Roman" w:hAnsi="Times New Roman" w:eastAsia="宋体" w:cs="Times New Roman"/>
                      <w:b w:val="0"/>
                      <w:bCs w:val="0"/>
                      <w:color w:val="auto"/>
                      <w:kern w:val="0"/>
                      <w:sz w:val="21"/>
                      <w:szCs w:val="21"/>
                      <w:highlight w:val="none"/>
                    </w:rPr>
                    <w:t>絮凝反应-臭氧强氧化</w:t>
                  </w:r>
                  <w:r>
                    <w:rPr>
                      <w:rFonts w:hint="eastAsia" w:cs="Times New Roman"/>
                      <w:b w:val="0"/>
                      <w:bCs w:val="0"/>
                      <w:color w:val="auto"/>
                      <w:kern w:val="0"/>
                      <w:sz w:val="21"/>
                      <w:szCs w:val="21"/>
                      <w:highlight w:val="none"/>
                      <w:lang w:val="en-US" w:eastAsia="zh-CN"/>
                    </w:rPr>
                    <w:t>-</w:t>
                  </w:r>
                  <w:r>
                    <w:rPr>
                      <w:rFonts w:hint="default" w:ascii="Times New Roman" w:hAnsi="Times New Roman" w:eastAsia="宋体" w:cs="Times New Roman"/>
                      <w:b w:val="0"/>
                      <w:bCs w:val="0"/>
                      <w:color w:val="auto"/>
                      <w:kern w:val="0"/>
                      <w:sz w:val="21"/>
                      <w:szCs w:val="21"/>
                      <w:highlight w:val="none"/>
                    </w:rPr>
                    <w:t>IC厌氧</w:t>
                  </w:r>
                  <w:r>
                    <w:rPr>
                      <w:rFonts w:hint="eastAsia" w:cs="Times New Roman"/>
                      <w:b w:val="0"/>
                      <w:bCs w:val="0"/>
                      <w:color w:val="auto"/>
                      <w:kern w:val="0"/>
                      <w:sz w:val="21"/>
                      <w:szCs w:val="21"/>
                      <w:highlight w:val="none"/>
                      <w:lang w:val="en-US" w:eastAsia="zh-CN"/>
                    </w:rPr>
                    <w:t>-</w:t>
                  </w:r>
                  <w:r>
                    <w:rPr>
                      <w:rFonts w:hint="default" w:ascii="Times New Roman" w:hAnsi="Times New Roman" w:eastAsia="宋体" w:cs="Times New Roman"/>
                      <w:b w:val="0"/>
                      <w:bCs w:val="0"/>
                      <w:color w:val="auto"/>
                      <w:kern w:val="0"/>
                      <w:sz w:val="21"/>
                      <w:szCs w:val="21"/>
                      <w:highlight w:val="none"/>
                    </w:rPr>
                    <w:t>水解酸化</w:t>
                  </w:r>
                  <w:r>
                    <w:rPr>
                      <w:rFonts w:hint="eastAsia" w:cs="Times New Roman"/>
                      <w:b w:val="0"/>
                      <w:bCs w:val="0"/>
                      <w:color w:val="auto"/>
                      <w:kern w:val="0"/>
                      <w:sz w:val="21"/>
                      <w:szCs w:val="21"/>
                      <w:highlight w:val="none"/>
                      <w:lang w:val="en-US" w:eastAsia="zh-CN"/>
                    </w:rPr>
                    <w:t>-</w:t>
                  </w:r>
                  <w:r>
                    <w:rPr>
                      <w:rFonts w:hint="default" w:ascii="Times New Roman" w:hAnsi="Times New Roman" w:eastAsia="宋体" w:cs="Times New Roman"/>
                      <w:b w:val="0"/>
                      <w:bCs w:val="0"/>
                      <w:color w:val="auto"/>
                      <w:kern w:val="0"/>
                      <w:sz w:val="21"/>
                      <w:szCs w:val="21"/>
                      <w:highlight w:val="none"/>
                    </w:rPr>
                    <w:t>接触氧化</w:t>
                  </w:r>
                  <w:r>
                    <w:rPr>
                      <w:rFonts w:hint="eastAsia" w:cs="Times New Roman"/>
                      <w:b w:val="0"/>
                      <w:bCs w:val="0"/>
                      <w:color w:val="auto"/>
                      <w:kern w:val="0"/>
                      <w:sz w:val="21"/>
                      <w:szCs w:val="21"/>
                      <w:highlight w:val="none"/>
                      <w:lang w:val="en-US" w:eastAsia="zh-CN"/>
                    </w:rPr>
                    <w:t>-</w:t>
                  </w:r>
                  <w:r>
                    <w:rPr>
                      <w:rFonts w:hint="default" w:ascii="Times New Roman" w:hAnsi="Times New Roman" w:eastAsia="宋体" w:cs="Times New Roman"/>
                      <w:b w:val="0"/>
                      <w:bCs w:val="0"/>
                      <w:color w:val="auto"/>
                      <w:kern w:val="0"/>
                      <w:sz w:val="21"/>
                      <w:szCs w:val="21"/>
                      <w:highlight w:val="none"/>
                    </w:rPr>
                    <w:t>混凝沉淀</w:t>
                  </w:r>
                </w:p>
              </w:tc>
            </w:tr>
            <w:tr w14:paraId="4AC0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7" w:type="dxa"/>
                  <w:vMerge w:val="restart"/>
                  <w:noWrap w:val="0"/>
                  <w:vAlign w:val="center"/>
                </w:tcPr>
                <w:p w14:paraId="2CD4B7FA">
                  <w:pPr>
                    <w:keepNext w:val="0"/>
                    <w:keepLines w:val="0"/>
                    <w:pageBreakBefore w:val="0"/>
                    <w:widowControl w:val="0"/>
                    <w:wordWrap/>
                    <w:topLinePunct w:val="0"/>
                    <w:bidi w:val="0"/>
                    <w:adjustRightInd w:val="0"/>
                    <w:snapToGrid w:val="0"/>
                    <w:spacing w:line="320" w:lineRule="exact"/>
                    <w:ind w:firstLine="0" w:firstLineChars="0"/>
                    <w:jc w:val="center"/>
                    <w:textAlignment w:val="auto"/>
                    <w:rPr>
                      <w:rFonts w:hint="default"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本项目</w:t>
                  </w:r>
                </w:p>
              </w:tc>
              <w:tc>
                <w:tcPr>
                  <w:tcW w:w="1058" w:type="dxa"/>
                  <w:noWrap w:val="0"/>
                  <w:vAlign w:val="center"/>
                </w:tcPr>
                <w:p w14:paraId="6D4CB4A6">
                  <w:pPr>
                    <w:keepNext w:val="0"/>
                    <w:keepLines w:val="0"/>
                    <w:pageBreakBefore w:val="0"/>
                    <w:widowControl w:val="0"/>
                    <w:wordWrap/>
                    <w:topLinePunct w:val="0"/>
                    <w:bidi w:val="0"/>
                    <w:adjustRightInd w:val="0"/>
                    <w:snapToGrid w:val="0"/>
                    <w:spacing w:line="320" w:lineRule="exact"/>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生产废水</w:t>
                  </w:r>
                </w:p>
              </w:tc>
              <w:tc>
                <w:tcPr>
                  <w:tcW w:w="2198" w:type="dxa"/>
                  <w:vMerge w:val="continue"/>
                  <w:noWrap w:val="0"/>
                  <w:vAlign w:val="center"/>
                </w:tcPr>
                <w:p w14:paraId="5AA02A78">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rPr>
                  </w:pPr>
                </w:p>
              </w:tc>
              <w:tc>
                <w:tcPr>
                  <w:tcW w:w="1186" w:type="dxa"/>
                  <w:vMerge w:val="continue"/>
                  <w:noWrap w:val="0"/>
                  <w:vAlign w:val="center"/>
                </w:tcPr>
                <w:p w14:paraId="6BAB101C">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rPr>
                  </w:pPr>
                </w:p>
              </w:tc>
              <w:tc>
                <w:tcPr>
                  <w:tcW w:w="924" w:type="dxa"/>
                  <w:vMerge w:val="continue"/>
                  <w:noWrap w:val="0"/>
                  <w:vAlign w:val="center"/>
                </w:tcPr>
                <w:p w14:paraId="22EEC918">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rPr>
                  </w:pPr>
                </w:p>
              </w:tc>
              <w:tc>
                <w:tcPr>
                  <w:tcW w:w="1668" w:type="dxa"/>
                  <w:vMerge w:val="continue"/>
                  <w:noWrap w:val="0"/>
                  <w:vAlign w:val="center"/>
                </w:tcPr>
                <w:p w14:paraId="05966217">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rPr>
                  </w:pPr>
                </w:p>
              </w:tc>
              <w:tc>
                <w:tcPr>
                  <w:tcW w:w="1394" w:type="dxa"/>
                  <w:vMerge w:val="continue"/>
                  <w:noWrap w:val="0"/>
                  <w:vAlign w:val="center"/>
                </w:tcPr>
                <w:p w14:paraId="48E00A54">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rPr>
                  </w:pPr>
                </w:p>
              </w:tc>
            </w:tr>
            <w:tr w14:paraId="1B1C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7" w:type="dxa"/>
                  <w:vMerge w:val="continue"/>
                  <w:noWrap w:val="0"/>
                  <w:vAlign w:val="center"/>
                </w:tcPr>
                <w:p w14:paraId="5E542799">
                  <w:pPr>
                    <w:keepNext w:val="0"/>
                    <w:keepLines w:val="0"/>
                    <w:pageBreakBefore w:val="0"/>
                    <w:widowControl w:val="0"/>
                    <w:wordWrap/>
                    <w:topLinePunct w:val="0"/>
                    <w:bidi w:val="0"/>
                    <w:adjustRightInd w:val="0"/>
                    <w:snapToGrid w:val="0"/>
                    <w:spacing w:line="320" w:lineRule="exact"/>
                    <w:ind w:firstLine="0" w:firstLineChars="0"/>
                    <w:jc w:val="center"/>
                    <w:textAlignment w:val="auto"/>
                    <w:rPr>
                      <w:rFonts w:hint="eastAsia" w:cs="Times New Roman"/>
                      <w:b w:val="0"/>
                      <w:bCs w:val="0"/>
                      <w:color w:val="auto"/>
                      <w:kern w:val="0"/>
                      <w:sz w:val="21"/>
                      <w:szCs w:val="21"/>
                      <w:highlight w:val="none"/>
                      <w:lang w:val="en-US" w:eastAsia="zh-CN"/>
                    </w:rPr>
                  </w:pPr>
                </w:p>
              </w:tc>
              <w:tc>
                <w:tcPr>
                  <w:tcW w:w="1058" w:type="dxa"/>
                  <w:noWrap w:val="0"/>
                  <w:vAlign w:val="center"/>
                </w:tcPr>
                <w:p w14:paraId="5FC95A53">
                  <w:pPr>
                    <w:keepNext w:val="0"/>
                    <w:keepLines w:val="0"/>
                    <w:pageBreakBefore w:val="0"/>
                    <w:widowControl w:val="0"/>
                    <w:wordWrap/>
                    <w:topLinePunct w:val="0"/>
                    <w:bidi w:val="0"/>
                    <w:adjustRightInd w:val="0"/>
                    <w:snapToGrid w:val="0"/>
                    <w:spacing w:line="320" w:lineRule="exact"/>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初期雨水</w:t>
                  </w:r>
                </w:p>
              </w:tc>
              <w:tc>
                <w:tcPr>
                  <w:tcW w:w="2198" w:type="dxa"/>
                  <w:noWrap w:val="0"/>
                  <w:vAlign w:val="center"/>
                </w:tcPr>
                <w:p w14:paraId="257C670E">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eastAsia" w:ascii="Times New Roman" w:hAnsi="Times New Roman" w:eastAsia="宋体" w:cs="Times New Roman"/>
                      <w:color w:val="auto"/>
                      <w:sz w:val="21"/>
                      <w:szCs w:val="21"/>
                      <w:highlight w:val="none"/>
                      <w:lang w:val="en-US" w:eastAsia="zh-CN"/>
                    </w:rPr>
                    <w:t>经初期雨水收集池沉淀处理后晴天回用于厂区道路降尘用水。</w:t>
                  </w:r>
                </w:p>
              </w:tc>
              <w:tc>
                <w:tcPr>
                  <w:tcW w:w="1186" w:type="dxa"/>
                  <w:noWrap w:val="0"/>
                  <w:vAlign w:val="center"/>
                </w:tcPr>
                <w:p w14:paraId="789BF76A">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w:t>
                  </w:r>
                </w:p>
              </w:tc>
              <w:tc>
                <w:tcPr>
                  <w:tcW w:w="924" w:type="dxa"/>
                  <w:shd w:val="clear" w:color="auto" w:fill="auto"/>
                  <w:noWrap w:val="0"/>
                  <w:vAlign w:val="center"/>
                </w:tcPr>
                <w:p w14:paraId="04476346">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TW003</w:t>
                  </w:r>
                </w:p>
              </w:tc>
              <w:tc>
                <w:tcPr>
                  <w:tcW w:w="1668" w:type="dxa"/>
                  <w:shd w:val="clear" w:color="auto" w:fill="auto"/>
                  <w:noWrap w:val="0"/>
                  <w:vAlign w:val="center"/>
                </w:tcPr>
                <w:p w14:paraId="37F6A255">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初期雨水收集沉淀池</w:t>
                  </w:r>
                  <w:r>
                    <w:rPr>
                      <w:rFonts w:hint="eastAsia" w:cs="Times New Roman"/>
                      <w:color w:val="auto"/>
                      <w:sz w:val="21"/>
                      <w:szCs w:val="21"/>
                      <w:highlight w:val="none"/>
                      <w:lang w:val="en-US" w:eastAsia="zh-CN"/>
                    </w:rPr>
                    <w:t>（30m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lang w:val="en-US" w:eastAsia="zh-CN"/>
                    </w:rPr>
                    <w:t>）</w:t>
                  </w:r>
                </w:p>
              </w:tc>
              <w:tc>
                <w:tcPr>
                  <w:tcW w:w="1394" w:type="dxa"/>
                  <w:shd w:val="clear" w:color="auto" w:fill="auto"/>
                  <w:noWrap w:val="0"/>
                  <w:vAlign w:val="center"/>
                </w:tcPr>
                <w:p w14:paraId="365CABDE">
                  <w:pPr>
                    <w:pStyle w:val="17"/>
                    <w:keepNext w:val="0"/>
                    <w:keepLines w:val="0"/>
                    <w:pageBreakBefore w:val="0"/>
                    <w:widowControl w:val="0"/>
                    <w:kinsoku w:val="0"/>
                    <w:wordWrap/>
                    <w:overflowPunct w:val="0"/>
                    <w:topLinePunct w:val="0"/>
                    <w:autoSpaceDE w:val="0"/>
                    <w:autoSpaceDN w:val="0"/>
                    <w:bidi w:val="0"/>
                    <w:adjustRightInd w:val="0"/>
                    <w:snapToGrid w:val="0"/>
                    <w:spacing w:after="0" w:line="320" w:lineRule="exact"/>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kern w:val="0"/>
                      <w:sz w:val="21"/>
                      <w:szCs w:val="21"/>
                      <w:highlight w:val="none"/>
                      <w:lang w:val="en-US" w:eastAsia="zh-CN"/>
                    </w:rPr>
                    <w:t>沉淀</w:t>
                  </w:r>
                </w:p>
              </w:tc>
            </w:tr>
          </w:tbl>
          <w:p w14:paraId="00C82868">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b/>
                <w:bCs/>
                <w:color w:val="auto"/>
                <w:sz w:val="24"/>
                <w:highlight w:val="none"/>
              </w:rPr>
            </w:pPr>
            <w:r>
              <w:rPr>
                <w:rFonts w:hint="eastAsia"/>
                <w:b/>
                <w:bCs/>
                <w:color w:val="auto"/>
                <w:sz w:val="24"/>
                <w:highlight w:val="none"/>
                <w:lang w:eastAsia="zh-CN"/>
              </w:rPr>
              <w:t>（</w:t>
            </w:r>
            <w:r>
              <w:rPr>
                <w:rFonts w:hint="eastAsia"/>
                <w:b/>
                <w:bCs/>
                <w:color w:val="auto"/>
                <w:sz w:val="24"/>
                <w:highlight w:val="none"/>
                <w:lang w:val="en-US" w:eastAsia="zh-CN"/>
              </w:rPr>
              <w:t>5</w:t>
            </w:r>
            <w:r>
              <w:rPr>
                <w:rFonts w:hint="eastAsia"/>
                <w:b/>
                <w:bCs/>
                <w:color w:val="auto"/>
                <w:sz w:val="24"/>
                <w:highlight w:val="none"/>
                <w:lang w:eastAsia="zh-CN"/>
              </w:rPr>
              <w:t>）</w:t>
            </w:r>
            <w:r>
              <w:rPr>
                <w:rFonts w:hint="eastAsia"/>
                <w:b/>
                <w:bCs/>
                <w:color w:val="auto"/>
                <w:sz w:val="24"/>
                <w:highlight w:val="none"/>
              </w:rPr>
              <w:t>废水间接排放口基本情况</w:t>
            </w:r>
          </w:p>
          <w:p w14:paraId="0D6932E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sz w:val="24"/>
                <w:highlight w:val="none"/>
                <w:lang w:eastAsia="zh-CN"/>
              </w:rPr>
            </w:pPr>
            <w:r>
              <w:rPr>
                <w:rFonts w:hint="eastAsia"/>
                <w:color w:val="auto"/>
                <w:sz w:val="24"/>
                <w:highlight w:val="none"/>
                <w:lang w:val="en-US" w:eastAsia="zh-CN"/>
              </w:rPr>
              <w:t>本</w:t>
            </w:r>
            <w:r>
              <w:rPr>
                <w:rFonts w:hint="eastAsia"/>
                <w:color w:val="auto"/>
                <w:sz w:val="24"/>
                <w:highlight w:val="none"/>
              </w:rPr>
              <w:t>项目废水间接排放</w:t>
            </w:r>
            <w:r>
              <w:rPr>
                <w:rFonts w:hint="eastAsia"/>
                <w:color w:val="auto"/>
                <w:sz w:val="24"/>
                <w:highlight w:val="none"/>
                <w:lang w:eastAsia="zh-CN"/>
              </w:rPr>
              <w:t>。</w:t>
            </w:r>
          </w:p>
          <w:p w14:paraId="19C2D3B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highlight w:val="none"/>
              </w:rPr>
            </w:pPr>
            <w:r>
              <w:rPr>
                <w:rFonts w:hint="eastAsia"/>
                <w:color w:val="auto"/>
                <w:sz w:val="24"/>
                <w:highlight w:val="none"/>
              </w:rPr>
              <w:t>废水间接排放口基本情况见表</w:t>
            </w:r>
            <w:r>
              <w:rPr>
                <w:color w:val="auto"/>
                <w:sz w:val="24"/>
                <w:highlight w:val="none"/>
              </w:rPr>
              <w:t>4-</w:t>
            </w:r>
            <w:r>
              <w:rPr>
                <w:rFonts w:hint="eastAsia"/>
                <w:color w:val="auto"/>
                <w:sz w:val="24"/>
                <w:highlight w:val="none"/>
                <w:lang w:val="en-US" w:eastAsia="zh-CN"/>
              </w:rPr>
              <w:t>21</w:t>
            </w:r>
            <w:r>
              <w:rPr>
                <w:rFonts w:hint="eastAsia"/>
                <w:color w:val="auto"/>
                <w:sz w:val="24"/>
                <w:highlight w:val="none"/>
              </w:rPr>
              <w:t>。</w:t>
            </w:r>
          </w:p>
          <w:p w14:paraId="780D62FC">
            <w:pPr>
              <w:pStyle w:val="121"/>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eastAsia"/>
                <w:color w:val="auto"/>
                <w:highlight w:val="none"/>
              </w:rPr>
            </w:pPr>
          </w:p>
          <w:p w14:paraId="62417E61">
            <w:pPr>
              <w:pStyle w:val="121"/>
              <w:keepNext w:val="0"/>
              <w:keepLines w:val="0"/>
              <w:pageBreakBefore w:val="0"/>
              <w:widowControl w:val="0"/>
              <w:kinsoku/>
              <w:wordWrap/>
              <w:overflowPunct/>
              <w:topLinePunct w:val="0"/>
              <w:autoSpaceDE/>
              <w:autoSpaceDN/>
              <w:bidi w:val="0"/>
              <w:adjustRightInd w:val="0"/>
              <w:snapToGrid w:val="0"/>
              <w:spacing w:line="320" w:lineRule="exact"/>
              <w:textAlignment w:val="auto"/>
              <w:rPr>
                <w:color w:val="auto"/>
                <w:highlight w:val="none"/>
              </w:rPr>
            </w:pPr>
            <w:r>
              <w:rPr>
                <w:rFonts w:hint="eastAsia"/>
                <w:color w:val="auto"/>
                <w:highlight w:val="none"/>
              </w:rPr>
              <w:t>表4-</w:t>
            </w:r>
            <w:r>
              <w:rPr>
                <w:rFonts w:hint="eastAsia"/>
                <w:color w:val="auto"/>
                <w:highlight w:val="none"/>
                <w:lang w:val="en-US" w:eastAsia="zh-CN"/>
              </w:rPr>
              <w:t>2</w:t>
            </w:r>
            <w:r>
              <w:rPr>
                <w:rFonts w:hint="eastAsia"/>
                <w:color w:val="auto"/>
                <w:highlight w:val="none"/>
              </w:rPr>
              <w:t>1</w:t>
            </w:r>
            <w:r>
              <w:rPr>
                <w:rFonts w:hint="eastAsia"/>
                <w:color w:val="auto"/>
                <w:highlight w:val="none"/>
                <w:lang w:val="en-US" w:eastAsia="zh-CN"/>
              </w:rPr>
              <w:t xml:space="preserve">  </w:t>
            </w:r>
            <w:r>
              <w:rPr>
                <w:rFonts w:hint="eastAsia"/>
                <w:color w:val="auto"/>
                <w:highlight w:val="none"/>
              </w:rPr>
              <w:t>项目废水间接排放口基本情况表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59"/>
              <w:gridCol w:w="709"/>
              <w:gridCol w:w="464"/>
              <w:gridCol w:w="813"/>
              <w:gridCol w:w="859"/>
              <w:gridCol w:w="549"/>
              <w:gridCol w:w="696"/>
              <w:gridCol w:w="679"/>
              <w:gridCol w:w="526"/>
              <w:gridCol w:w="1608"/>
              <w:gridCol w:w="1422"/>
            </w:tblGrid>
            <w:tr w14:paraId="15C9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59" w:type="dxa"/>
                  <w:vMerge w:val="restart"/>
                  <w:textDirection w:val="tbRlV"/>
                  <w:vAlign w:val="center"/>
                </w:tcPr>
                <w:p w14:paraId="059A45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序 号</w:t>
                  </w:r>
                </w:p>
              </w:tc>
              <w:tc>
                <w:tcPr>
                  <w:tcW w:w="709" w:type="dxa"/>
                  <w:vMerge w:val="restart"/>
                  <w:vAlign w:val="center"/>
                </w:tcPr>
                <w:p w14:paraId="0A6C74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排放口编号</w:t>
                  </w:r>
                </w:p>
              </w:tc>
              <w:tc>
                <w:tcPr>
                  <w:tcW w:w="464" w:type="dxa"/>
                  <w:vMerge w:val="restart"/>
                  <w:vAlign w:val="center"/>
                </w:tcPr>
                <w:p w14:paraId="7DC585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排放</w:t>
                  </w:r>
                </w:p>
                <w:p w14:paraId="1D8DA9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口名</w:t>
                  </w:r>
                </w:p>
                <w:p w14:paraId="5EA0D7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称</w:t>
                  </w:r>
                </w:p>
              </w:tc>
              <w:tc>
                <w:tcPr>
                  <w:tcW w:w="1672" w:type="dxa"/>
                  <w:gridSpan w:val="2"/>
                  <w:vAlign w:val="center"/>
                </w:tcPr>
                <w:p w14:paraId="5B8A72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排放口地理坐标</w:t>
                  </w:r>
                </w:p>
              </w:tc>
              <w:tc>
                <w:tcPr>
                  <w:tcW w:w="549" w:type="dxa"/>
                  <w:vMerge w:val="restart"/>
                  <w:vAlign w:val="center"/>
                </w:tcPr>
                <w:p w14:paraId="695698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排放 去向</w:t>
                  </w:r>
                </w:p>
              </w:tc>
              <w:tc>
                <w:tcPr>
                  <w:tcW w:w="696" w:type="dxa"/>
                  <w:vMerge w:val="restart"/>
                  <w:vAlign w:val="center"/>
                </w:tcPr>
                <w:p w14:paraId="3A1D7D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排放规 律</w:t>
                  </w:r>
                </w:p>
              </w:tc>
              <w:tc>
                <w:tcPr>
                  <w:tcW w:w="679" w:type="dxa"/>
                  <w:vMerge w:val="restart"/>
                  <w:vAlign w:val="center"/>
                </w:tcPr>
                <w:p w14:paraId="1868E0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间歇排放时段</w:t>
                  </w:r>
                </w:p>
              </w:tc>
              <w:tc>
                <w:tcPr>
                  <w:tcW w:w="3556" w:type="dxa"/>
                  <w:gridSpan w:val="3"/>
                  <w:vAlign w:val="center"/>
                </w:tcPr>
                <w:p w14:paraId="0A73C1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受纳污水处理厂信息</w:t>
                  </w:r>
                </w:p>
              </w:tc>
            </w:tr>
            <w:tr w14:paraId="1F1E4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59" w:type="dxa"/>
                  <w:vMerge w:val="continue"/>
                  <w:textDirection w:val="tbRlV"/>
                  <w:vAlign w:val="center"/>
                </w:tcPr>
                <w:p w14:paraId="6EFE29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p>
              </w:tc>
              <w:tc>
                <w:tcPr>
                  <w:tcW w:w="709" w:type="dxa"/>
                  <w:vMerge w:val="continue"/>
                  <w:vAlign w:val="center"/>
                </w:tcPr>
                <w:p w14:paraId="2796A1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p>
              </w:tc>
              <w:tc>
                <w:tcPr>
                  <w:tcW w:w="464" w:type="dxa"/>
                  <w:vMerge w:val="continue"/>
                  <w:vAlign w:val="center"/>
                </w:tcPr>
                <w:p w14:paraId="58B5C16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p>
              </w:tc>
              <w:tc>
                <w:tcPr>
                  <w:tcW w:w="813" w:type="dxa"/>
                  <w:vAlign w:val="center"/>
                </w:tcPr>
                <w:p w14:paraId="4FC8CD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经度</w:t>
                  </w:r>
                </w:p>
              </w:tc>
              <w:tc>
                <w:tcPr>
                  <w:tcW w:w="859" w:type="dxa"/>
                  <w:vAlign w:val="center"/>
                </w:tcPr>
                <w:p w14:paraId="6579EB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纬度</w:t>
                  </w:r>
                </w:p>
              </w:tc>
              <w:tc>
                <w:tcPr>
                  <w:tcW w:w="549" w:type="dxa"/>
                  <w:vMerge w:val="continue"/>
                  <w:vAlign w:val="center"/>
                </w:tcPr>
                <w:p w14:paraId="115055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p>
              </w:tc>
              <w:tc>
                <w:tcPr>
                  <w:tcW w:w="696" w:type="dxa"/>
                  <w:vMerge w:val="continue"/>
                  <w:vAlign w:val="center"/>
                </w:tcPr>
                <w:p w14:paraId="51FA5D0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p>
              </w:tc>
              <w:tc>
                <w:tcPr>
                  <w:tcW w:w="679" w:type="dxa"/>
                  <w:vMerge w:val="continue"/>
                  <w:vAlign w:val="center"/>
                </w:tcPr>
                <w:p w14:paraId="0CD048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p>
              </w:tc>
              <w:tc>
                <w:tcPr>
                  <w:tcW w:w="526" w:type="dxa"/>
                  <w:vAlign w:val="center"/>
                </w:tcPr>
                <w:p w14:paraId="2D78AC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名称</w:t>
                  </w:r>
                </w:p>
              </w:tc>
              <w:tc>
                <w:tcPr>
                  <w:tcW w:w="1608" w:type="dxa"/>
                  <w:vAlign w:val="center"/>
                </w:tcPr>
                <w:p w14:paraId="096DA9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污染物种类</w:t>
                  </w:r>
                </w:p>
              </w:tc>
              <w:tc>
                <w:tcPr>
                  <w:tcW w:w="1422" w:type="dxa"/>
                  <w:vAlign w:val="center"/>
                </w:tcPr>
                <w:p w14:paraId="4F0A46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国家或地方污</w:t>
                  </w:r>
                </w:p>
                <w:p w14:paraId="5849AA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染物排放标准</w:t>
                  </w:r>
                </w:p>
                <w:p w14:paraId="1D213C9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 w:val="21"/>
                      <w:szCs w:val="21"/>
                      <w:highlight w:val="none"/>
                    </w:rPr>
                  </w:pPr>
                  <w:r>
                    <w:rPr>
                      <w:b/>
                      <w:bCs/>
                      <w:color w:val="auto"/>
                      <w:sz w:val="21"/>
                      <w:szCs w:val="21"/>
                      <w:highlight w:val="none"/>
                    </w:rPr>
                    <w:t>浓度限值</w:t>
                  </w:r>
                </w:p>
              </w:tc>
            </w:tr>
            <w:tr w14:paraId="23DE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59" w:type="dxa"/>
                  <w:vMerge w:val="restart"/>
                  <w:vAlign w:val="center"/>
                </w:tcPr>
                <w:p w14:paraId="6731D0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1</w:t>
                  </w:r>
                </w:p>
              </w:tc>
              <w:tc>
                <w:tcPr>
                  <w:tcW w:w="709" w:type="dxa"/>
                  <w:vMerge w:val="restart"/>
                  <w:vAlign w:val="center"/>
                </w:tcPr>
                <w:p w14:paraId="7D12A6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DW001</w:t>
                  </w:r>
                </w:p>
              </w:tc>
              <w:tc>
                <w:tcPr>
                  <w:tcW w:w="464" w:type="dxa"/>
                  <w:vMerge w:val="restart"/>
                  <w:vAlign w:val="center"/>
                </w:tcPr>
                <w:p w14:paraId="4F77F6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废水 总排 放口</w:t>
                  </w:r>
                </w:p>
              </w:tc>
              <w:tc>
                <w:tcPr>
                  <w:tcW w:w="813" w:type="dxa"/>
                  <w:vMerge w:val="restart"/>
                  <w:vAlign w:val="center"/>
                </w:tcPr>
                <w:p w14:paraId="48438F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rFonts w:hint="eastAsia"/>
                      <w:color w:val="auto"/>
                      <w:sz w:val="21"/>
                      <w:szCs w:val="21"/>
                      <w:highlight w:val="none"/>
                    </w:rPr>
                    <w:t>E</w:t>
                  </w:r>
                  <w:r>
                    <w:rPr>
                      <w:color w:val="auto"/>
                      <w:sz w:val="21"/>
                      <w:szCs w:val="21"/>
                      <w:highlight w:val="none"/>
                    </w:rPr>
                    <w:t>103°18′37.391″</w:t>
                  </w:r>
                </w:p>
              </w:tc>
              <w:tc>
                <w:tcPr>
                  <w:tcW w:w="859" w:type="dxa"/>
                  <w:vMerge w:val="restart"/>
                  <w:vAlign w:val="center"/>
                </w:tcPr>
                <w:p w14:paraId="62EAE5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N25°34′5.822″</w:t>
                  </w:r>
                </w:p>
              </w:tc>
              <w:tc>
                <w:tcPr>
                  <w:tcW w:w="549" w:type="dxa"/>
                  <w:vMerge w:val="restart"/>
                  <w:vAlign w:val="center"/>
                </w:tcPr>
                <w:p w14:paraId="6875B4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进入</w:t>
                  </w:r>
                </w:p>
                <w:p w14:paraId="06A347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rFonts w:hint="eastAsia"/>
                      <w:color w:val="auto"/>
                      <w:sz w:val="21"/>
                      <w:szCs w:val="21"/>
                      <w:highlight w:val="none"/>
                    </w:rPr>
                    <w:t>寻甸县污水处理厂</w:t>
                  </w:r>
                </w:p>
              </w:tc>
              <w:tc>
                <w:tcPr>
                  <w:tcW w:w="696" w:type="dxa"/>
                  <w:vMerge w:val="restart"/>
                  <w:vAlign w:val="center"/>
                </w:tcPr>
                <w:p w14:paraId="50B638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间断排放，排放期间流量稳</w:t>
                  </w:r>
                </w:p>
                <w:p w14:paraId="79AE35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定</w:t>
                  </w:r>
                </w:p>
              </w:tc>
              <w:tc>
                <w:tcPr>
                  <w:tcW w:w="679" w:type="dxa"/>
                  <w:vMerge w:val="restart"/>
                  <w:vAlign w:val="center"/>
                </w:tcPr>
                <w:p w14:paraId="2B3D4F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生产时排放</w:t>
                  </w:r>
                </w:p>
              </w:tc>
              <w:tc>
                <w:tcPr>
                  <w:tcW w:w="526" w:type="dxa"/>
                  <w:vMerge w:val="restart"/>
                  <w:vAlign w:val="center"/>
                </w:tcPr>
                <w:p w14:paraId="6A1C38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rFonts w:hint="eastAsia"/>
                      <w:color w:val="auto"/>
                      <w:sz w:val="21"/>
                      <w:szCs w:val="21"/>
                      <w:highlight w:val="none"/>
                    </w:rPr>
                    <w:t>寻甸县污水处理厂</w:t>
                  </w:r>
                </w:p>
              </w:tc>
              <w:tc>
                <w:tcPr>
                  <w:tcW w:w="1608" w:type="dxa"/>
                  <w:vAlign w:val="center"/>
                </w:tcPr>
                <w:p w14:paraId="57B059A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pH</w:t>
                  </w:r>
                </w:p>
              </w:tc>
              <w:tc>
                <w:tcPr>
                  <w:tcW w:w="1422" w:type="dxa"/>
                  <w:vAlign w:val="center"/>
                </w:tcPr>
                <w:p w14:paraId="236CE6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6-9</w:t>
                  </w:r>
                </w:p>
              </w:tc>
            </w:tr>
            <w:tr w14:paraId="131E6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59" w:type="dxa"/>
                  <w:vMerge w:val="continue"/>
                  <w:vAlign w:val="center"/>
                </w:tcPr>
                <w:p w14:paraId="2C841B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709" w:type="dxa"/>
                  <w:vMerge w:val="continue"/>
                  <w:vAlign w:val="center"/>
                </w:tcPr>
                <w:p w14:paraId="63DD99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464" w:type="dxa"/>
                  <w:vMerge w:val="continue"/>
                  <w:vAlign w:val="center"/>
                </w:tcPr>
                <w:p w14:paraId="335E1D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813" w:type="dxa"/>
                  <w:vMerge w:val="continue"/>
                  <w:vAlign w:val="center"/>
                </w:tcPr>
                <w:p w14:paraId="2B9CCA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 w:val="21"/>
                      <w:szCs w:val="21"/>
                      <w:highlight w:val="none"/>
                    </w:rPr>
                  </w:pPr>
                </w:p>
              </w:tc>
              <w:tc>
                <w:tcPr>
                  <w:tcW w:w="859" w:type="dxa"/>
                  <w:vMerge w:val="continue"/>
                  <w:vAlign w:val="center"/>
                </w:tcPr>
                <w:p w14:paraId="3D9FBA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549" w:type="dxa"/>
                  <w:vMerge w:val="continue"/>
                  <w:vAlign w:val="center"/>
                </w:tcPr>
                <w:p w14:paraId="3BC74E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 w:val="21"/>
                      <w:szCs w:val="21"/>
                      <w:highlight w:val="none"/>
                    </w:rPr>
                  </w:pPr>
                </w:p>
              </w:tc>
              <w:tc>
                <w:tcPr>
                  <w:tcW w:w="696" w:type="dxa"/>
                  <w:vMerge w:val="continue"/>
                  <w:vAlign w:val="center"/>
                </w:tcPr>
                <w:p w14:paraId="2FB3BE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679" w:type="dxa"/>
                  <w:vMerge w:val="continue"/>
                  <w:vAlign w:val="center"/>
                </w:tcPr>
                <w:p w14:paraId="1DBC794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526" w:type="dxa"/>
                  <w:vMerge w:val="continue"/>
                  <w:vAlign w:val="center"/>
                </w:tcPr>
                <w:p w14:paraId="6D804C0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 w:val="21"/>
                      <w:szCs w:val="21"/>
                      <w:highlight w:val="none"/>
                    </w:rPr>
                  </w:pPr>
                </w:p>
              </w:tc>
              <w:tc>
                <w:tcPr>
                  <w:tcW w:w="1608" w:type="dxa"/>
                  <w:shd w:val="clear" w:color="auto" w:fill="auto"/>
                  <w:vAlign w:val="center"/>
                </w:tcPr>
                <w:p w14:paraId="32E474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r>
                    <w:rPr>
                      <w:color w:val="auto"/>
                      <w:sz w:val="21"/>
                      <w:szCs w:val="21"/>
                      <w:highlight w:val="none"/>
                    </w:rPr>
                    <w:t>化学需氧量</w:t>
                  </w:r>
                </w:p>
              </w:tc>
              <w:tc>
                <w:tcPr>
                  <w:tcW w:w="1422" w:type="dxa"/>
                  <w:shd w:val="clear" w:color="auto" w:fill="auto"/>
                  <w:vAlign w:val="center"/>
                </w:tcPr>
                <w:p w14:paraId="54C8F9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r>
                    <w:rPr>
                      <w:color w:val="auto"/>
                      <w:sz w:val="21"/>
                      <w:szCs w:val="21"/>
                      <w:highlight w:val="none"/>
                    </w:rPr>
                    <w:t>50</w:t>
                  </w:r>
                  <w:r>
                    <w:rPr>
                      <w:rFonts w:hint="eastAsia"/>
                      <w:color w:val="auto"/>
                      <w:sz w:val="21"/>
                      <w:szCs w:val="21"/>
                      <w:highlight w:val="none"/>
                    </w:rPr>
                    <w:t>0</w:t>
                  </w:r>
                  <w:r>
                    <w:rPr>
                      <w:color w:val="auto"/>
                      <w:sz w:val="21"/>
                      <w:szCs w:val="21"/>
                      <w:highlight w:val="none"/>
                    </w:rPr>
                    <w:t>mg/L</w:t>
                  </w:r>
                </w:p>
              </w:tc>
            </w:tr>
            <w:tr w14:paraId="3618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59" w:type="dxa"/>
                  <w:vMerge w:val="continue"/>
                  <w:vAlign w:val="center"/>
                </w:tcPr>
                <w:p w14:paraId="077329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709" w:type="dxa"/>
                  <w:vMerge w:val="continue"/>
                  <w:vAlign w:val="center"/>
                </w:tcPr>
                <w:p w14:paraId="3E8B16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464" w:type="dxa"/>
                  <w:vMerge w:val="continue"/>
                  <w:vAlign w:val="center"/>
                </w:tcPr>
                <w:p w14:paraId="78F9C6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813" w:type="dxa"/>
                  <w:vMerge w:val="continue"/>
                  <w:vAlign w:val="center"/>
                </w:tcPr>
                <w:p w14:paraId="214F52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859" w:type="dxa"/>
                  <w:vMerge w:val="continue"/>
                  <w:vAlign w:val="center"/>
                </w:tcPr>
                <w:p w14:paraId="7B2FCF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549" w:type="dxa"/>
                  <w:vMerge w:val="continue"/>
                  <w:vAlign w:val="center"/>
                </w:tcPr>
                <w:p w14:paraId="7433DF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696" w:type="dxa"/>
                  <w:vMerge w:val="continue"/>
                  <w:vAlign w:val="center"/>
                </w:tcPr>
                <w:p w14:paraId="0503F1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679" w:type="dxa"/>
                  <w:vMerge w:val="continue"/>
                  <w:vAlign w:val="center"/>
                </w:tcPr>
                <w:p w14:paraId="034131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526" w:type="dxa"/>
                  <w:vMerge w:val="continue"/>
                  <w:vAlign w:val="center"/>
                </w:tcPr>
                <w:p w14:paraId="771FF3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1608" w:type="dxa"/>
                  <w:vAlign w:val="center"/>
                </w:tcPr>
                <w:p w14:paraId="1FC72C1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rFonts w:hint="eastAsia"/>
                      <w:color w:val="auto"/>
                      <w:sz w:val="21"/>
                      <w:szCs w:val="21"/>
                      <w:highlight w:val="none"/>
                    </w:rPr>
                    <w:t>氨</w:t>
                  </w:r>
                  <w:r>
                    <w:rPr>
                      <w:color w:val="auto"/>
                      <w:sz w:val="21"/>
                      <w:szCs w:val="21"/>
                      <w:highlight w:val="none"/>
                    </w:rPr>
                    <w:t>氮（NH</w:t>
                  </w:r>
                  <w:r>
                    <w:rPr>
                      <w:color w:val="auto"/>
                      <w:sz w:val="21"/>
                      <w:szCs w:val="21"/>
                      <w:highlight w:val="none"/>
                      <w:vertAlign w:val="subscript"/>
                    </w:rPr>
                    <w:t>3</w:t>
                  </w:r>
                  <w:r>
                    <w:rPr>
                      <w:color w:val="auto"/>
                      <w:sz w:val="21"/>
                      <w:szCs w:val="21"/>
                      <w:highlight w:val="none"/>
                    </w:rPr>
                    <w:t>-N）</w:t>
                  </w:r>
                </w:p>
              </w:tc>
              <w:tc>
                <w:tcPr>
                  <w:tcW w:w="1422" w:type="dxa"/>
                  <w:vAlign w:val="center"/>
                </w:tcPr>
                <w:p w14:paraId="36F37D3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rFonts w:hint="eastAsia"/>
                      <w:color w:val="auto"/>
                      <w:sz w:val="21"/>
                      <w:szCs w:val="21"/>
                      <w:highlight w:val="none"/>
                    </w:rPr>
                    <w:t>4</w:t>
                  </w:r>
                  <w:r>
                    <w:rPr>
                      <w:color w:val="auto"/>
                      <w:sz w:val="21"/>
                      <w:szCs w:val="21"/>
                      <w:highlight w:val="none"/>
                    </w:rPr>
                    <w:t>5mg/L</w:t>
                  </w:r>
                </w:p>
              </w:tc>
            </w:tr>
            <w:tr w14:paraId="64412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59" w:type="dxa"/>
                  <w:vMerge w:val="continue"/>
                  <w:vAlign w:val="center"/>
                </w:tcPr>
                <w:p w14:paraId="693000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709" w:type="dxa"/>
                  <w:vMerge w:val="continue"/>
                  <w:vAlign w:val="center"/>
                </w:tcPr>
                <w:p w14:paraId="719884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464" w:type="dxa"/>
                  <w:vMerge w:val="continue"/>
                  <w:vAlign w:val="center"/>
                </w:tcPr>
                <w:p w14:paraId="0311FE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813" w:type="dxa"/>
                  <w:vMerge w:val="continue"/>
                  <w:vAlign w:val="center"/>
                </w:tcPr>
                <w:p w14:paraId="64678D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859" w:type="dxa"/>
                  <w:vMerge w:val="continue"/>
                  <w:vAlign w:val="center"/>
                </w:tcPr>
                <w:p w14:paraId="739E02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549" w:type="dxa"/>
                  <w:vMerge w:val="continue"/>
                  <w:vAlign w:val="center"/>
                </w:tcPr>
                <w:p w14:paraId="0FCD45F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696" w:type="dxa"/>
                  <w:vMerge w:val="continue"/>
                  <w:vAlign w:val="center"/>
                </w:tcPr>
                <w:p w14:paraId="5101AD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679" w:type="dxa"/>
                  <w:vMerge w:val="continue"/>
                  <w:vAlign w:val="center"/>
                </w:tcPr>
                <w:p w14:paraId="485F99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526" w:type="dxa"/>
                  <w:vMerge w:val="continue"/>
                  <w:vAlign w:val="center"/>
                </w:tcPr>
                <w:p w14:paraId="168FF6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1608" w:type="dxa"/>
                  <w:vAlign w:val="center"/>
                </w:tcPr>
                <w:p w14:paraId="2BFDC3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悬浮物</w:t>
                  </w:r>
                </w:p>
              </w:tc>
              <w:tc>
                <w:tcPr>
                  <w:tcW w:w="1422" w:type="dxa"/>
                  <w:vAlign w:val="center"/>
                </w:tcPr>
                <w:p w14:paraId="414738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rFonts w:hint="eastAsia"/>
                      <w:color w:val="auto"/>
                      <w:sz w:val="21"/>
                      <w:szCs w:val="21"/>
                      <w:highlight w:val="none"/>
                    </w:rPr>
                    <w:t>400</w:t>
                  </w:r>
                  <w:r>
                    <w:rPr>
                      <w:color w:val="auto"/>
                      <w:sz w:val="21"/>
                      <w:szCs w:val="21"/>
                      <w:highlight w:val="none"/>
                    </w:rPr>
                    <w:t>mg/L</w:t>
                  </w:r>
                </w:p>
              </w:tc>
            </w:tr>
            <w:tr w14:paraId="34941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59" w:type="dxa"/>
                  <w:vMerge w:val="continue"/>
                  <w:vAlign w:val="center"/>
                </w:tcPr>
                <w:p w14:paraId="068024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709" w:type="dxa"/>
                  <w:vMerge w:val="continue"/>
                  <w:vAlign w:val="center"/>
                </w:tcPr>
                <w:p w14:paraId="7CF75D3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464" w:type="dxa"/>
                  <w:vMerge w:val="continue"/>
                  <w:vAlign w:val="center"/>
                </w:tcPr>
                <w:p w14:paraId="38C011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813" w:type="dxa"/>
                  <w:vMerge w:val="continue"/>
                  <w:vAlign w:val="center"/>
                </w:tcPr>
                <w:p w14:paraId="3B6306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859" w:type="dxa"/>
                  <w:vMerge w:val="continue"/>
                  <w:vAlign w:val="center"/>
                </w:tcPr>
                <w:p w14:paraId="60F8F6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549" w:type="dxa"/>
                  <w:vMerge w:val="continue"/>
                  <w:vAlign w:val="center"/>
                </w:tcPr>
                <w:p w14:paraId="4A026F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696" w:type="dxa"/>
                  <w:vMerge w:val="continue"/>
                  <w:vAlign w:val="center"/>
                </w:tcPr>
                <w:p w14:paraId="5A8564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679" w:type="dxa"/>
                  <w:vMerge w:val="continue"/>
                  <w:vAlign w:val="center"/>
                </w:tcPr>
                <w:p w14:paraId="4A65B2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526" w:type="dxa"/>
                  <w:vMerge w:val="continue"/>
                  <w:vAlign w:val="center"/>
                </w:tcPr>
                <w:p w14:paraId="3A6F02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1608" w:type="dxa"/>
                  <w:vAlign w:val="center"/>
                </w:tcPr>
                <w:p w14:paraId="4FAEFF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五日生化需氧量</w:t>
                  </w:r>
                </w:p>
              </w:tc>
              <w:tc>
                <w:tcPr>
                  <w:tcW w:w="1422" w:type="dxa"/>
                  <w:vAlign w:val="center"/>
                </w:tcPr>
                <w:p w14:paraId="078C83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rFonts w:hint="eastAsia"/>
                      <w:color w:val="auto"/>
                      <w:sz w:val="21"/>
                      <w:szCs w:val="21"/>
                      <w:highlight w:val="none"/>
                    </w:rPr>
                    <w:t>350</w:t>
                  </w:r>
                  <w:r>
                    <w:rPr>
                      <w:color w:val="auto"/>
                      <w:sz w:val="21"/>
                      <w:szCs w:val="21"/>
                      <w:highlight w:val="none"/>
                    </w:rPr>
                    <w:t>mg/L</w:t>
                  </w:r>
                </w:p>
              </w:tc>
            </w:tr>
            <w:tr w14:paraId="7BE24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59" w:type="dxa"/>
                  <w:vMerge w:val="continue"/>
                  <w:vAlign w:val="center"/>
                </w:tcPr>
                <w:p w14:paraId="318803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709" w:type="dxa"/>
                  <w:vMerge w:val="continue"/>
                  <w:vAlign w:val="center"/>
                </w:tcPr>
                <w:p w14:paraId="4A01EF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464" w:type="dxa"/>
                  <w:vMerge w:val="continue"/>
                  <w:vAlign w:val="center"/>
                </w:tcPr>
                <w:p w14:paraId="475A1B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813" w:type="dxa"/>
                  <w:vMerge w:val="continue"/>
                  <w:vAlign w:val="center"/>
                </w:tcPr>
                <w:p w14:paraId="66D6A5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859" w:type="dxa"/>
                  <w:vMerge w:val="continue"/>
                  <w:vAlign w:val="center"/>
                </w:tcPr>
                <w:p w14:paraId="539BE1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549" w:type="dxa"/>
                  <w:vMerge w:val="continue"/>
                  <w:vAlign w:val="center"/>
                </w:tcPr>
                <w:p w14:paraId="1E17B2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696" w:type="dxa"/>
                  <w:vMerge w:val="continue"/>
                  <w:vAlign w:val="center"/>
                </w:tcPr>
                <w:p w14:paraId="0E2EB0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679" w:type="dxa"/>
                  <w:vMerge w:val="continue"/>
                  <w:vAlign w:val="center"/>
                </w:tcPr>
                <w:p w14:paraId="302E53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526" w:type="dxa"/>
                  <w:vMerge w:val="continue"/>
                  <w:vAlign w:val="center"/>
                </w:tcPr>
                <w:p w14:paraId="7C5224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p>
              </w:tc>
              <w:tc>
                <w:tcPr>
                  <w:tcW w:w="1608" w:type="dxa"/>
                  <w:vAlign w:val="center"/>
                </w:tcPr>
                <w:p w14:paraId="7644EB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rFonts w:hint="eastAsia"/>
                      <w:color w:val="auto"/>
                      <w:sz w:val="21"/>
                      <w:szCs w:val="21"/>
                      <w:highlight w:val="none"/>
                    </w:rPr>
                    <w:t>总磷</w:t>
                  </w:r>
                </w:p>
              </w:tc>
              <w:tc>
                <w:tcPr>
                  <w:tcW w:w="1422" w:type="dxa"/>
                  <w:vAlign w:val="center"/>
                </w:tcPr>
                <w:p w14:paraId="4CFF5E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rFonts w:hint="eastAsia"/>
                      <w:color w:val="auto"/>
                      <w:sz w:val="21"/>
                      <w:szCs w:val="21"/>
                      <w:highlight w:val="none"/>
                    </w:rPr>
                    <w:t>8</w:t>
                  </w:r>
                  <w:r>
                    <w:rPr>
                      <w:color w:val="auto"/>
                      <w:sz w:val="21"/>
                      <w:szCs w:val="21"/>
                      <w:highlight w:val="none"/>
                    </w:rPr>
                    <w:t>mg/L</w:t>
                  </w:r>
                </w:p>
              </w:tc>
            </w:tr>
          </w:tbl>
          <w:p w14:paraId="33759654">
            <w:pPr>
              <w:spacing w:before="120" w:beforeLines="50" w:line="360" w:lineRule="auto"/>
              <w:ind w:firstLine="482" w:firstLineChars="200"/>
              <w:rPr>
                <w:b/>
                <w:color w:val="auto"/>
                <w:kern w:val="0"/>
                <w:sz w:val="24"/>
                <w:highlight w:val="none"/>
              </w:rPr>
            </w:pPr>
            <w:r>
              <w:rPr>
                <w:rFonts w:hint="eastAsia"/>
                <w:b/>
                <w:color w:val="auto"/>
                <w:kern w:val="0"/>
                <w:sz w:val="24"/>
                <w:highlight w:val="none"/>
                <w:lang w:eastAsia="zh-CN"/>
              </w:rPr>
              <w:t>（</w:t>
            </w:r>
            <w:r>
              <w:rPr>
                <w:rFonts w:hint="eastAsia"/>
                <w:b/>
                <w:color w:val="auto"/>
                <w:kern w:val="0"/>
                <w:sz w:val="24"/>
                <w:highlight w:val="none"/>
                <w:lang w:val="en-US" w:eastAsia="zh-CN"/>
              </w:rPr>
              <w:t>6</w:t>
            </w:r>
            <w:r>
              <w:rPr>
                <w:rFonts w:hint="eastAsia"/>
                <w:b/>
                <w:color w:val="auto"/>
                <w:kern w:val="0"/>
                <w:sz w:val="24"/>
                <w:highlight w:val="none"/>
                <w:lang w:eastAsia="zh-CN"/>
              </w:rPr>
              <w:t>）</w:t>
            </w:r>
            <w:r>
              <w:rPr>
                <w:rFonts w:hint="eastAsia"/>
                <w:b/>
                <w:color w:val="auto"/>
                <w:kern w:val="0"/>
                <w:sz w:val="24"/>
                <w:highlight w:val="none"/>
              </w:rPr>
              <w:t>废水污染治理技术可行性分析</w:t>
            </w:r>
          </w:p>
          <w:p w14:paraId="46156FED">
            <w:pPr>
              <w:spacing w:line="360" w:lineRule="auto"/>
              <w:ind w:firstLine="482" w:firstLineChars="200"/>
              <w:rPr>
                <w:rFonts w:hint="default" w:eastAsia="宋体"/>
                <w:b/>
                <w:bCs/>
                <w:color w:val="auto"/>
                <w:kern w:val="0"/>
                <w:sz w:val="24"/>
                <w:highlight w:val="none"/>
                <w:lang w:val="en-US" w:eastAsia="zh-CN"/>
              </w:rPr>
            </w:pPr>
            <w:r>
              <w:rPr>
                <w:rFonts w:hint="eastAsia"/>
                <w:b/>
                <w:bCs/>
                <w:color w:val="auto"/>
                <w:kern w:val="0"/>
                <w:sz w:val="24"/>
                <w:highlight w:val="none"/>
                <w:lang w:val="en-US" w:eastAsia="zh-CN"/>
              </w:rPr>
              <w:t>1</w:t>
            </w:r>
            <w:r>
              <w:rPr>
                <w:rFonts w:hint="eastAsia"/>
                <w:b/>
                <w:bCs/>
                <w:color w:val="auto"/>
                <w:kern w:val="0"/>
                <w:sz w:val="24"/>
                <w:highlight w:val="none"/>
              </w:rPr>
              <w:t>）</w:t>
            </w:r>
            <w:r>
              <w:rPr>
                <w:rFonts w:hint="eastAsia"/>
                <w:b/>
                <w:bCs/>
                <w:color w:val="auto"/>
                <w:kern w:val="0"/>
                <w:sz w:val="24"/>
                <w:highlight w:val="none"/>
                <w:lang w:val="en-US" w:eastAsia="zh-CN"/>
              </w:rPr>
              <w:t>渗滤液收集池容积合理性分析</w:t>
            </w:r>
          </w:p>
          <w:p w14:paraId="656BAFED">
            <w:pPr>
              <w:spacing w:line="360" w:lineRule="auto"/>
              <w:ind w:firstLine="480" w:firstLineChars="200"/>
              <w:rPr>
                <w:rFonts w:hint="default" w:eastAsia="宋体"/>
                <w:color w:val="auto"/>
                <w:kern w:val="0"/>
                <w:sz w:val="24"/>
                <w:highlight w:val="none"/>
                <w:lang w:val="en-US" w:eastAsia="zh-CN"/>
              </w:rPr>
            </w:pPr>
            <w:r>
              <w:rPr>
                <w:rFonts w:hint="eastAsia"/>
                <w:color w:val="auto"/>
                <w:kern w:val="0"/>
                <w:sz w:val="24"/>
                <w:highlight w:val="none"/>
                <w:lang w:val="en-US" w:eastAsia="zh-CN"/>
              </w:rPr>
              <w:t>根据水平衡分析，本项目</w:t>
            </w:r>
            <w:r>
              <w:rPr>
                <w:rFonts w:hint="eastAsia"/>
                <w:color w:val="auto"/>
                <w:kern w:val="0"/>
                <w:sz w:val="24"/>
                <w:highlight w:val="none"/>
              </w:rPr>
              <w:t>全厂满负荷运行时发酵废水日排放量为18.</w:t>
            </w:r>
            <w:r>
              <w:rPr>
                <w:rFonts w:hint="eastAsia"/>
                <w:color w:val="auto"/>
                <w:kern w:val="0"/>
                <w:sz w:val="24"/>
                <w:highlight w:val="none"/>
                <w:lang w:val="en-US" w:eastAsia="zh-CN"/>
              </w:rPr>
              <w:t>24</w:t>
            </w:r>
            <w:r>
              <w:rPr>
                <w:rFonts w:hint="eastAsia"/>
                <w:color w:val="auto"/>
                <w:kern w:val="0"/>
                <w:sz w:val="24"/>
                <w:highlight w:val="none"/>
              </w:rPr>
              <w:t>m³/d</w:t>
            </w:r>
            <w:r>
              <w:rPr>
                <w:rFonts w:hint="eastAsia"/>
                <w:color w:val="auto"/>
                <w:kern w:val="0"/>
                <w:sz w:val="24"/>
                <w:highlight w:val="none"/>
                <w:lang w:eastAsia="zh-CN"/>
              </w:rPr>
              <w:t>，</w:t>
            </w:r>
            <w:r>
              <w:rPr>
                <w:rFonts w:hint="eastAsia"/>
                <w:color w:val="auto"/>
                <w:kern w:val="0"/>
                <w:sz w:val="24"/>
                <w:highlight w:val="none"/>
                <w:lang w:val="en-US" w:eastAsia="zh-CN"/>
              </w:rPr>
              <w:t>地面冲洗废水（0.16m</w:t>
            </w:r>
            <w:r>
              <w:rPr>
                <w:rFonts w:hint="eastAsia"/>
                <w:color w:val="auto"/>
                <w:kern w:val="0"/>
                <w:sz w:val="24"/>
                <w:highlight w:val="none"/>
                <w:vertAlign w:val="superscript"/>
                <w:lang w:val="en-US" w:eastAsia="zh-CN"/>
              </w:rPr>
              <w:t>3</w:t>
            </w:r>
            <w:r>
              <w:rPr>
                <w:rFonts w:hint="eastAsia"/>
                <w:color w:val="auto"/>
                <w:kern w:val="0"/>
                <w:sz w:val="24"/>
                <w:highlight w:val="none"/>
                <w:lang w:val="en-US" w:eastAsia="zh-CN"/>
              </w:rPr>
              <w:t>/次）</w:t>
            </w:r>
            <w:r>
              <w:rPr>
                <w:rFonts w:hint="eastAsia"/>
                <w:color w:val="auto"/>
                <w:kern w:val="0"/>
                <w:sz w:val="24"/>
                <w:highlight w:val="none"/>
              </w:rPr>
              <w:t>。环评提出新建发酵废水专用收集系统，包含1个密闭式废水收集池（总容积25m³）及配套</w:t>
            </w:r>
            <w:r>
              <w:rPr>
                <w:rFonts w:hint="eastAsia"/>
                <w:color w:val="auto"/>
                <w:kern w:val="0"/>
                <w:sz w:val="24"/>
                <w:highlight w:val="none"/>
                <w:lang w:val="en-US" w:eastAsia="zh-CN"/>
              </w:rPr>
              <w:t>浮球压力阀（5m</w:t>
            </w:r>
            <w:r>
              <w:rPr>
                <w:rFonts w:hint="eastAsia"/>
                <w:color w:val="auto"/>
                <w:kern w:val="0"/>
                <w:sz w:val="24"/>
                <w:highlight w:val="none"/>
                <w:vertAlign w:val="superscript"/>
                <w:lang w:val="en-US" w:eastAsia="zh-CN"/>
              </w:rPr>
              <w:t>3</w:t>
            </w:r>
            <w:r>
              <w:rPr>
                <w:rFonts w:hint="eastAsia"/>
                <w:color w:val="auto"/>
                <w:kern w:val="0"/>
                <w:sz w:val="24"/>
                <w:highlight w:val="none"/>
                <w:lang w:val="en-US" w:eastAsia="zh-CN"/>
              </w:rPr>
              <w:t>时自行启动和每日工作结束后废水全部泵至污水处理站）和</w:t>
            </w:r>
            <w:r>
              <w:rPr>
                <w:rFonts w:hint="eastAsia"/>
                <w:color w:val="auto"/>
                <w:kern w:val="0"/>
                <w:sz w:val="24"/>
                <w:highlight w:val="none"/>
              </w:rPr>
              <w:t>耐腐蚀输送管道（管径DN100，材质为UPVC），通过提升泵泵往</w:t>
            </w:r>
            <w:r>
              <w:rPr>
                <w:rFonts w:hint="eastAsia"/>
                <w:color w:val="auto"/>
                <w:kern w:val="0"/>
                <w:sz w:val="24"/>
                <w:highlight w:val="none"/>
                <w:lang w:val="en-US" w:eastAsia="zh-CN"/>
              </w:rPr>
              <w:t>污水处理站处理</w:t>
            </w:r>
            <w:r>
              <w:rPr>
                <w:rFonts w:hint="eastAsia"/>
                <w:color w:val="auto"/>
                <w:kern w:val="0"/>
                <w:sz w:val="24"/>
                <w:highlight w:val="none"/>
              </w:rPr>
              <w:t>。</w:t>
            </w:r>
            <w:r>
              <w:rPr>
                <w:rFonts w:hint="eastAsia"/>
                <w:color w:val="auto"/>
                <w:kern w:val="0"/>
                <w:sz w:val="24"/>
                <w:highlight w:val="none"/>
                <w:lang w:val="en-US" w:eastAsia="zh-CN"/>
              </w:rPr>
              <w:t>设置的</w:t>
            </w:r>
            <w:r>
              <w:rPr>
                <w:rFonts w:hint="eastAsia"/>
                <w:color w:val="auto"/>
                <w:kern w:val="0"/>
                <w:sz w:val="24"/>
                <w:highlight w:val="none"/>
              </w:rPr>
              <w:t>密闭式废水收集池（总容积25m³）</w:t>
            </w:r>
            <w:r>
              <w:rPr>
                <w:rFonts w:hint="eastAsia"/>
                <w:color w:val="auto"/>
                <w:kern w:val="0"/>
                <w:sz w:val="24"/>
                <w:highlight w:val="none"/>
                <w:lang w:val="en-US" w:eastAsia="zh-CN"/>
              </w:rPr>
              <w:t>＞日最大产生量18.4</w:t>
            </w:r>
            <w:r>
              <w:rPr>
                <w:rFonts w:hint="eastAsia"/>
                <w:color w:val="auto"/>
                <w:kern w:val="0"/>
                <w:sz w:val="24"/>
                <w:highlight w:val="none"/>
              </w:rPr>
              <w:t>m³/d</w:t>
            </w:r>
            <w:r>
              <w:rPr>
                <w:rFonts w:hint="eastAsia"/>
                <w:color w:val="auto"/>
                <w:kern w:val="0"/>
                <w:sz w:val="24"/>
                <w:highlight w:val="none"/>
                <w:lang w:eastAsia="zh-CN"/>
              </w:rPr>
              <w:t>，</w:t>
            </w:r>
            <w:r>
              <w:rPr>
                <w:rFonts w:hint="eastAsia"/>
                <w:color w:val="auto"/>
                <w:kern w:val="0"/>
                <w:sz w:val="24"/>
                <w:highlight w:val="none"/>
                <w:lang w:val="en-US" w:eastAsia="zh-CN"/>
              </w:rPr>
              <w:t>本项目渗滤液收集池容积设置合理，且本项目设置浮球压力阀，当容积满20m</w:t>
            </w:r>
            <w:r>
              <w:rPr>
                <w:rFonts w:hint="eastAsia"/>
                <w:color w:val="auto"/>
                <w:kern w:val="0"/>
                <w:sz w:val="24"/>
                <w:highlight w:val="none"/>
                <w:vertAlign w:val="superscript"/>
                <w:lang w:val="en-US" w:eastAsia="zh-CN"/>
              </w:rPr>
              <w:t>3</w:t>
            </w:r>
            <w:r>
              <w:rPr>
                <w:rFonts w:hint="eastAsia"/>
                <w:color w:val="auto"/>
                <w:kern w:val="0"/>
                <w:sz w:val="24"/>
                <w:highlight w:val="none"/>
                <w:vertAlign w:val="baseline"/>
                <w:lang w:val="en-US" w:eastAsia="zh-CN"/>
              </w:rPr>
              <w:t>时自动启动可确保渗滤液及时排往污水处理站。</w:t>
            </w:r>
          </w:p>
          <w:p w14:paraId="096045EF">
            <w:pPr>
              <w:spacing w:line="360" w:lineRule="auto"/>
              <w:ind w:firstLine="482" w:firstLineChars="200"/>
              <w:rPr>
                <w:b/>
                <w:bCs/>
                <w:color w:val="auto"/>
                <w:sz w:val="24"/>
                <w:highlight w:val="none"/>
              </w:rPr>
            </w:pPr>
            <w:r>
              <w:rPr>
                <w:rFonts w:hint="eastAsia"/>
                <w:b/>
                <w:bCs/>
                <w:color w:val="auto"/>
                <w:kern w:val="0"/>
                <w:sz w:val="24"/>
                <w:highlight w:val="none"/>
                <w:lang w:val="en-US" w:eastAsia="zh-CN"/>
              </w:rPr>
              <w:t>2）污水处理站依托的可行性分析</w:t>
            </w:r>
          </w:p>
          <w:p w14:paraId="17EBF2C3">
            <w:pPr>
              <w:spacing w:line="360" w:lineRule="auto"/>
              <w:ind w:firstLine="480" w:firstLineChars="200"/>
              <w:rPr>
                <w:color w:val="auto"/>
                <w:sz w:val="24"/>
                <w:highlight w:val="none"/>
              </w:rPr>
            </w:pPr>
            <w:r>
              <w:rPr>
                <w:bCs/>
                <w:color w:val="auto"/>
                <w:sz w:val="24"/>
                <w:highlight w:val="none"/>
              </w:rPr>
              <w:t>根据</w:t>
            </w:r>
            <w:r>
              <w:rPr>
                <w:rFonts w:hint="eastAsia"/>
                <w:bCs/>
                <w:color w:val="auto"/>
                <w:sz w:val="24"/>
                <w:highlight w:val="none"/>
              </w:rPr>
              <w:t>前文计算</w:t>
            </w:r>
            <w:r>
              <w:rPr>
                <w:bCs/>
                <w:color w:val="auto"/>
                <w:sz w:val="24"/>
                <w:highlight w:val="none"/>
              </w:rPr>
              <w:t>分析，项目建成运营期</w:t>
            </w:r>
            <w:r>
              <w:rPr>
                <w:rFonts w:hint="eastAsia"/>
                <w:bCs/>
                <w:color w:val="auto"/>
                <w:sz w:val="24"/>
                <w:highlight w:val="none"/>
              </w:rPr>
              <w:t>进入</w:t>
            </w:r>
            <w:r>
              <w:rPr>
                <w:rFonts w:hint="eastAsia"/>
                <w:color w:val="auto"/>
                <w:sz w:val="24"/>
                <w:highlight w:val="none"/>
              </w:rPr>
              <w:t>生产废水处理系统的水</w:t>
            </w:r>
            <w:r>
              <w:rPr>
                <w:bCs/>
                <w:color w:val="auto"/>
                <w:sz w:val="24"/>
                <w:highlight w:val="none"/>
              </w:rPr>
              <w:t>量</w:t>
            </w:r>
            <w:r>
              <w:rPr>
                <w:rFonts w:hint="eastAsia"/>
                <w:bCs/>
                <w:color w:val="auto"/>
                <w:sz w:val="24"/>
                <w:highlight w:val="none"/>
                <w:lang w:val="en-US" w:eastAsia="zh-CN"/>
              </w:rPr>
              <w:t>687.038</w:t>
            </w:r>
            <w:r>
              <w:rPr>
                <w:bCs/>
                <w:color w:val="auto"/>
                <w:sz w:val="24"/>
                <w:highlight w:val="none"/>
              </w:rPr>
              <w:t>m³/d，</w:t>
            </w:r>
            <w:r>
              <w:rPr>
                <w:color w:val="auto"/>
                <w:sz w:val="24"/>
                <w:highlight w:val="none"/>
              </w:rPr>
              <w:t>项目采用的</w:t>
            </w:r>
            <w:r>
              <w:rPr>
                <w:rFonts w:hint="eastAsia"/>
                <w:color w:val="auto"/>
                <w:sz w:val="24"/>
                <w:highlight w:val="none"/>
              </w:rPr>
              <w:t>废水处理系统</w:t>
            </w:r>
            <w:r>
              <w:rPr>
                <w:color w:val="auto"/>
                <w:sz w:val="24"/>
                <w:highlight w:val="none"/>
              </w:rPr>
              <w:t>处理</w:t>
            </w:r>
            <w:r>
              <w:rPr>
                <w:rFonts w:hint="eastAsia"/>
                <w:color w:val="auto"/>
                <w:sz w:val="24"/>
                <w:highlight w:val="none"/>
              </w:rPr>
              <w:t>规模900</w:t>
            </w:r>
            <w:r>
              <w:rPr>
                <w:color w:val="auto"/>
                <w:sz w:val="24"/>
                <w:highlight w:val="none"/>
              </w:rPr>
              <w:t>m³/d，完全能够接纳处理</w:t>
            </w:r>
            <w:r>
              <w:rPr>
                <w:rFonts w:hint="eastAsia"/>
                <w:color w:val="auto"/>
                <w:sz w:val="24"/>
                <w:highlight w:val="none"/>
              </w:rPr>
              <w:t>这部分废</w:t>
            </w:r>
            <w:r>
              <w:rPr>
                <w:color w:val="auto"/>
                <w:sz w:val="24"/>
                <w:highlight w:val="none"/>
              </w:rPr>
              <w:t>水</w:t>
            </w:r>
            <w:r>
              <w:rPr>
                <w:rFonts w:hint="eastAsia"/>
                <w:color w:val="auto"/>
                <w:sz w:val="24"/>
                <w:highlight w:val="none"/>
              </w:rPr>
              <w:t>，处理规模合理可行</w:t>
            </w:r>
            <w:r>
              <w:rPr>
                <w:color w:val="auto"/>
                <w:sz w:val="24"/>
                <w:highlight w:val="none"/>
              </w:rPr>
              <w:t>。</w:t>
            </w:r>
          </w:p>
          <w:p w14:paraId="51CCE407">
            <w:pPr>
              <w:spacing w:line="360" w:lineRule="auto"/>
              <w:ind w:firstLine="480" w:firstLineChars="200"/>
              <w:rPr>
                <w:color w:val="auto"/>
                <w:kern w:val="0"/>
                <w:sz w:val="24"/>
                <w:highlight w:val="none"/>
              </w:rPr>
            </w:pPr>
            <w:r>
              <w:rPr>
                <w:color w:val="auto"/>
                <w:sz w:val="24"/>
                <w:highlight w:val="none"/>
              </w:rPr>
              <w:t>现有污水设备处理工艺为固液分离</w:t>
            </w:r>
            <w:r>
              <w:rPr>
                <w:rFonts w:hint="eastAsia"/>
                <w:color w:val="auto"/>
                <w:sz w:val="24"/>
                <w:highlight w:val="none"/>
                <w:lang w:eastAsia="zh-CN"/>
              </w:rPr>
              <w:t>复合微生物肥</w:t>
            </w:r>
            <w:r>
              <w:rPr>
                <w:rFonts w:hint="eastAsia"/>
                <w:color w:val="auto"/>
                <w:sz w:val="24"/>
                <w:highlight w:val="none"/>
                <w:lang w:val="en-US" w:eastAsia="zh-CN"/>
              </w:rPr>
              <w:t>-</w:t>
            </w:r>
            <w:r>
              <w:rPr>
                <w:rFonts w:hint="eastAsia"/>
                <w:color w:val="auto"/>
                <w:sz w:val="24"/>
                <w:highlight w:val="none"/>
                <w:lang w:eastAsia="zh-CN"/>
              </w:rPr>
              <w:t>复合微生物肥</w:t>
            </w:r>
            <w:r>
              <w:rPr>
                <w:color w:val="auto"/>
                <w:sz w:val="24"/>
                <w:highlight w:val="none"/>
              </w:rPr>
              <w:t>絮凝反应</w:t>
            </w:r>
            <w:r>
              <w:rPr>
                <w:rFonts w:hint="eastAsia"/>
                <w:color w:val="auto"/>
                <w:sz w:val="24"/>
                <w:highlight w:val="none"/>
                <w:lang w:eastAsia="zh-CN"/>
              </w:rPr>
              <w:t>复合微生物肥</w:t>
            </w:r>
            <w:r>
              <w:rPr>
                <w:rFonts w:hint="eastAsia"/>
                <w:color w:val="auto"/>
                <w:sz w:val="24"/>
                <w:highlight w:val="none"/>
                <w:lang w:val="en-US" w:eastAsia="zh-CN"/>
              </w:rPr>
              <w:t>-</w:t>
            </w:r>
            <w:r>
              <w:rPr>
                <w:rFonts w:hint="eastAsia"/>
                <w:color w:val="auto"/>
                <w:sz w:val="24"/>
                <w:highlight w:val="none"/>
                <w:lang w:eastAsia="zh-CN"/>
              </w:rPr>
              <w:t>复合微生物肥</w:t>
            </w:r>
            <w:r>
              <w:rPr>
                <w:color w:val="auto"/>
                <w:sz w:val="24"/>
                <w:highlight w:val="none"/>
              </w:rPr>
              <w:t>臭氧强氧化</w:t>
            </w:r>
            <w:r>
              <w:rPr>
                <w:rFonts w:hint="eastAsia"/>
                <w:color w:val="auto"/>
                <w:sz w:val="24"/>
                <w:highlight w:val="none"/>
                <w:lang w:eastAsia="zh-CN"/>
              </w:rPr>
              <w:t>复合微生物肥</w:t>
            </w:r>
            <w:r>
              <w:rPr>
                <w:rFonts w:hint="eastAsia"/>
                <w:color w:val="auto"/>
                <w:sz w:val="24"/>
                <w:highlight w:val="none"/>
                <w:lang w:val="en-US" w:eastAsia="zh-CN"/>
              </w:rPr>
              <w:t>-</w:t>
            </w:r>
            <w:r>
              <w:rPr>
                <w:color w:val="auto"/>
                <w:sz w:val="24"/>
                <w:highlight w:val="none"/>
              </w:rPr>
              <w:t>IC</w:t>
            </w:r>
            <w:r>
              <w:rPr>
                <w:rFonts w:hint="eastAsia"/>
                <w:color w:val="auto"/>
                <w:sz w:val="24"/>
                <w:highlight w:val="none"/>
                <w:lang w:eastAsia="zh-CN"/>
              </w:rPr>
              <w:t>复合微生物肥</w:t>
            </w:r>
            <w:r>
              <w:rPr>
                <w:color w:val="auto"/>
                <w:sz w:val="24"/>
                <w:highlight w:val="none"/>
              </w:rPr>
              <w:t>厌氧</w:t>
            </w:r>
            <w:r>
              <w:rPr>
                <w:rFonts w:hint="eastAsia"/>
                <w:color w:val="auto"/>
                <w:sz w:val="24"/>
                <w:highlight w:val="none"/>
                <w:lang w:eastAsia="zh-CN"/>
              </w:rPr>
              <w:t>复合微生物肥</w:t>
            </w:r>
            <w:r>
              <w:rPr>
                <w:rFonts w:hint="eastAsia"/>
                <w:color w:val="auto"/>
                <w:sz w:val="24"/>
                <w:highlight w:val="none"/>
                <w:lang w:val="en-US" w:eastAsia="zh-CN"/>
              </w:rPr>
              <w:t>-</w:t>
            </w:r>
            <w:r>
              <w:rPr>
                <w:rFonts w:hint="eastAsia"/>
                <w:color w:val="auto"/>
                <w:sz w:val="24"/>
                <w:highlight w:val="none"/>
                <w:lang w:eastAsia="zh-CN"/>
              </w:rPr>
              <w:t>复合微生物肥</w:t>
            </w:r>
            <w:r>
              <w:rPr>
                <w:color w:val="auto"/>
                <w:sz w:val="24"/>
                <w:highlight w:val="none"/>
              </w:rPr>
              <w:t>水解酸化</w:t>
            </w:r>
            <w:r>
              <w:rPr>
                <w:rFonts w:hint="eastAsia"/>
                <w:color w:val="auto"/>
                <w:sz w:val="24"/>
                <w:highlight w:val="none"/>
                <w:lang w:eastAsia="zh-CN"/>
              </w:rPr>
              <w:t>复合微生物肥</w:t>
            </w:r>
            <w:r>
              <w:rPr>
                <w:rFonts w:hint="eastAsia"/>
                <w:color w:val="auto"/>
                <w:sz w:val="24"/>
                <w:highlight w:val="none"/>
                <w:lang w:val="en-US" w:eastAsia="zh-CN"/>
              </w:rPr>
              <w:t>-</w:t>
            </w:r>
            <w:r>
              <w:rPr>
                <w:rFonts w:hint="eastAsia"/>
                <w:color w:val="auto"/>
                <w:sz w:val="24"/>
                <w:highlight w:val="none"/>
                <w:lang w:eastAsia="zh-CN"/>
              </w:rPr>
              <w:t>复合微生物肥</w:t>
            </w:r>
            <w:r>
              <w:rPr>
                <w:color w:val="auto"/>
                <w:sz w:val="24"/>
                <w:highlight w:val="none"/>
              </w:rPr>
              <w:t>接触氧化</w:t>
            </w:r>
            <w:r>
              <w:rPr>
                <w:rFonts w:hint="eastAsia"/>
                <w:color w:val="auto"/>
                <w:sz w:val="24"/>
                <w:highlight w:val="none"/>
                <w:lang w:eastAsia="zh-CN"/>
              </w:rPr>
              <w:t>复合微生物肥</w:t>
            </w:r>
            <w:r>
              <w:rPr>
                <w:rFonts w:hint="eastAsia"/>
                <w:color w:val="auto"/>
                <w:sz w:val="24"/>
                <w:highlight w:val="none"/>
                <w:lang w:val="en-US" w:eastAsia="zh-CN"/>
              </w:rPr>
              <w:t>-</w:t>
            </w:r>
            <w:r>
              <w:rPr>
                <w:rFonts w:hint="eastAsia"/>
                <w:color w:val="auto"/>
                <w:sz w:val="24"/>
                <w:highlight w:val="none"/>
                <w:lang w:eastAsia="zh-CN"/>
              </w:rPr>
              <w:t>复合微生物肥</w:t>
            </w:r>
            <w:r>
              <w:rPr>
                <w:color w:val="auto"/>
                <w:sz w:val="24"/>
                <w:highlight w:val="none"/>
              </w:rPr>
              <w:t>混凝沉淀，</w:t>
            </w:r>
            <w:r>
              <w:rPr>
                <w:rFonts w:hint="eastAsia"/>
                <w:color w:val="auto"/>
                <w:sz w:val="24"/>
                <w:highlight w:val="none"/>
              </w:rPr>
              <w:t>设备清洗废水和地面冲洗废水中残存</w:t>
            </w:r>
            <w:r>
              <w:rPr>
                <w:color w:val="auto"/>
                <w:sz w:val="24"/>
                <w:highlight w:val="none"/>
              </w:rPr>
              <w:t>渗滤液</w:t>
            </w:r>
            <w:r>
              <w:rPr>
                <w:rFonts w:hint="eastAsia"/>
                <w:color w:val="auto"/>
                <w:sz w:val="24"/>
                <w:highlight w:val="none"/>
              </w:rPr>
              <w:t>成分，</w:t>
            </w:r>
            <w:r>
              <w:rPr>
                <w:color w:val="auto"/>
                <w:sz w:val="24"/>
                <w:highlight w:val="none"/>
              </w:rPr>
              <w:t>属高浓度有机废水，水质与原有生产废水相近，整套工艺可针对性去除悬浮物、难降解有机物、COD、氨氮、色度等污染物；污水站现有处理规模留有富余负荷，发酵区配套防渗收集池及输送管道可实现渗滤液全量接入，现有运维设备、人员可适配新增废水处理调控需求，依托现有污水设施协同处置技术可行、配套完善。</w:t>
            </w:r>
          </w:p>
          <w:p w14:paraId="3C54BB6E">
            <w:pPr>
              <w:spacing w:line="360" w:lineRule="auto"/>
              <w:ind w:firstLine="480" w:firstLineChars="200"/>
              <w:rPr>
                <w:color w:val="auto"/>
                <w:sz w:val="24"/>
                <w:highlight w:val="none"/>
              </w:rPr>
            </w:pPr>
            <w:r>
              <w:rPr>
                <w:rFonts w:hint="eastAsia"/>
                <w:color w:val="auto"/>
                <w:sz w:val="24"/>
                <w:highlight w:val="none"/>
              </w:rPr>
              <w:t>根据《</w:t>
            </w:r>
            <w:r>
              <w:rPr>
                <w:rFonts w:hint="eastAsia"/>
                <w:bCs/>
                <w:color w:val="auto"/>
                <w:kern w:val="0"/>
                <w:sz w:val="24"/>
                <w:highlight w:val="none"/>
              </w:rPr>
              <w:t>排污许可证申请与核发技术规范 磷肥、钾肥、复混钾肥、有机肥料及微生物肥料工业 HJ864.2-2018》表16</w:t>
            </w:r>
            <w:r>
              <w:rPr>
                <w:rFonts w:hint="eastAsia"/>
                <w:bCs/>
                <w:color w:val="auto"/>
                <w:kern w:val="0"/>
                <w:sz w:val="24"/>
                <w:highlight w:val="none"/>
                <w:lang w:eastAsia="zh-CN"/>
              </w:rPr>
              <w:t>，</w:t>
            </w:r>
            <w:r>
              <w:rPr>
                <w:rFonts w:hint="eastAsia"/>
                <w:bCs/>
                <w:color w:val="auto"/>
                <w:kern w:val="0"/>
                <w:sz w:val="24"/>
                <w:highlight w:val="none"/>
                <w:lang w:val="en-US" w:eastAsia="zh-CN"/>
              </w:rPr>
              <w:t>本项目依托的</w:t>
            </w:r>
            <w:r>
              <w:rPr>
                <w:rFonts w:hint="eastAsia"/>
                <w:color w:val="auto"/>
                <w:sz w:val="24"/>
                <w:highlight w:val="none"/>
              </w:rPr>
              <w:t>生产废水处理系统处理工艺</w:t>
            </w:r>
            <w:r>
              <w:rPr>
                <w:rFonts w:hint="eastAsia"/>
                <w:color w:val="auto"/>
                <w:sz w:val="24"/>
                <w:highlight w:val="none"/>
                <w:lang w:val="en-US" w:eastAsia="zh-CN"/>
              </w:rPr>
              <w:t>是</w:t>
            </w:r>
            <w:r>
              <w:rPr>
                <w:rFonts w:hint="eastAsia"/>
                <w:color w:val="auto"/>
                <w:sz w:val="24"/>
                <w:highlight w:val="none"/>
              </w:rPr>
              <w:t>可行</w:t>
            </w:r>
            <w:r>
              <w:rPr>
                <w:rFonts w:hint="eastAsia"/>
                <w:color w:val="auto"/>
                <w:sz w:val="24"/>
                <w:highlight w:val="none"/>
                <w:lang w:val="en-US" w:eastAsia="zh-CN"/>
              </w:rPr>
              <w:t>的</w:t>
            </w:r>
            <w:r>
              <w:rPr>
                <w:rFonts w:hint="eastAsia"/>
                <w:color w:val="auto"/>
                <w:sz w:val="24"/>
                <w:highlight w:val="none"/>
              </w:rPr>
              <w:t>。</w:t>
            </w:r>
          </w:p>
          <w:p w14:paraId="19A75177">
            <w:pPr>
              <w:ind w:firstLine="422" w:firstLineChars="200"/>
              <w:jc w:val="center"/>
              <w:rPr>
                <w:b/>
                <w:bCs/>
                <w:color w:val="auto"/>
                <w:szCs w:val="21"/>
                <w:highlight w:val="none"/>
              </w:rPr>
            </w:pPr>
            <w:r>
              <w:rPr>
                <w:b/>
                <w:bCs/>
                <w:color w:val="auto"/>
                <w:szCs w:val="21"/>
                <w:highlight w:val="none"/>
              </w:rPr>
              <w:t>表4-</w:t>
            </w:r>
            <w:r>
              <w:rPr>
                <w:rFonts w:hint="eastAsia"/>
                <w:b/>
                <w:bCs/>
                <w:color w:val="auto"/>
                <w:szCs w:val="21"/>
                <w:highlight w:val="none"/>
                <w:lang w:val="en-US" w:eastAsia="zh-CN"/>
              </w:rPr>
              <w:t xml:space="preserve">22 </w:t>
            </w:r>
            <w:r>
              <w:rPr>
                <w:b/>
                <w:bCs/>
                <w:color w:val="auto"/>
                <w:szCs w:val="21"/>
                <w:highlight w:val="none"/>
              </w:rPr>
              <w:t xml:space="preserve"> </w:t>
            </w:r>
            <w:r>
              <w:rPr>
                <w:rFonts w:hint="eastAsia"/>
                <w:b/>
                <w:bCs/>
                <w:color w:val="auto"/>
                <w:szCs w:val="21"/>
                <w:highlight w:val="none"/>
              </w:rPr>
              <w:t>生产废水处理系统处理工艺可行性分析一览表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5"/>
              <w:gridCol w:w="3991"/>
              <w:gridCol w:w="2515"/>
              <w:gridCol w:w="973"/>
            </w:tblGrid>
            <w:tr w14:paraId="76E02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92" w:type="pct"/>
                  <w:gridSpan w:val="2"/>
                  <w:vAlign w:val="center"/>
                </w:tcPr>
                <w:p w14:paraId="42ED08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color w:val="auto"/>
                      <w:szCs w:val="21"/>
                      <w:highlight w:val="none"/>
                    </w:rPr>
                  </w:pPr>
                  <w:r>
                    <w:rPr>
                      <w:rFonts w:hint="eastAsia"/>
                      <w:b/>
                      <w:color w:val="auto"/>
                      <w:szCs w:val="21"/>
                      <w:highlight w:val="none"/>
                    </w:rPr>
                    <w:t>文件中废水处理可行技术</w:t>
                  </w:r>
                </w:p>
              </w:tc>
              <w:tc>
                <w:tcPr>
                  <w:tcW w:w="1448" w:type="pct"/>
                  <w:vAlign w:val="center"/>
                </w:tcPr>
                <w:p w14:paraId="1A63D2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color w:val="auto"/>
                      <w:szCs w:val="21"/>
                      <w:highlight w:val="none"/>
                    </w:rPr>
                  </w:pPr>
                  <w:r>
                    <w:rPr>
                      <w:rFonts w:hint="eastAsia"/>
                      <w:b/>
                      <w:color w:val="auto"/>
                      <w:szCs w:val="21"/>
                      <w:highlight w:val="none"/>
                    </w:rPr>
                    <w:t>本项目废水处理技术</w:t>
                  </w:r>
                </w:p>
              </w:tc>
              <w:tc>
                <w:tcPr>
                  <w:tcW w:w="559" w:type="pct"/>
                  <w:vAlign w:val="center"/>
                </w:tcPr>
                <w:p w14:paraId="0289AD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color w:val="auto"/>
                      <w:szCs w:val="21"/>
                      <w:highlight w:val="none"/>
                    </w:rPr>
                  </w:pPr>
                  <w:r>
                    <w:rPr>
                      <w:rFonts w:hint="eastAsia"/>
                      <w:b/>
                      <w:color w:val="auto"/>
                      <w:szCs w:val="21"/>
                      <w:highlight w:val="none"/>
                    </w:rPr>
                    <w:t>可行性</w:t>
                  </w:r>
                </w:p>
              </w:tc>
            </w:tr>
            <w:tr w14:paraId="4FE7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4" w:type="pct"/>
                  <w:vAlign w:val="center"/>
                </w:tcPr>
                <w:p w14:paraId="0F955D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工艺废水</w:t>
                  </w:r>
                </w:p>
              </w:tc>
              <w:tc>
                <w:tcPr>
                  <w:tcW w:w="2297" w:type="pct"/>
                  <w:vAlign w:val="center"/>
                </w:tcPr>
                <w:p w14:paraId="4453B19E">
                  <w:pPr>
                    <w:keepNext w:val="0"/>
                    <w:keepLines w:val="0"/>
                    <w:pageBreakBefore w:val="0"/>
                    <w:widowControl w:val="0"/>
                    <w:kinsoku/>
                    <w:wordWrap/>
                    <w:overflowPunct/>
                    <w:topLinePunct w:val="0"/>
                    <w:autoSpaceDE/>
                    <w:autoSpaceDN/>
                    <w:bidi w:val="0"/>
                    <w:adjustRightInd/>
                    <w:snapToGrid/>
                    <w:spacing w:line="320" w:lineRule="exact"/>
                    <w:jc w:val="left"/>
                    <w:textAlignment w:val="auto"/>
                    <w:rPr>
                      <w:color w:val="auto"/>
                      <w:szCs w:val="21"/>
                      <w:highlight w:val="none"/>
                    </w:rPr>
                  </w:pPr>
                  <w:r>
                    <w:rPr>
                      <w:rFonts w:hint="eastAsia"/>
                      <w:color w:val="auto"/>
                      <w:szCs w:val="21"/>
                      <w:highlight w:val="none"/>
                    </w:rPr>
                    <w:t>预处理、预处理+生化处理、预处理+生化处理+深度处理（预处理：中和、混凝等；生化处理：SBR、A/O 等；深度处理：混凝、过滤、臭氧氧化、超滤（UF）、反渗透（RO）等）</w:t>
                  </w:r>
                </w:p>
              </w:tc>
              <w:tc>
                <w:tcPr>
                  <w:tcW w:w="1448" w:type="pct"/>
                  <w:vAlign w:val="center"/>
                </w:tcPr>
                <w:p w14:paraId="59D1CF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highlight w:val="none"/>
                    </w:rPr>
                    <w:t>采用固液分离—絮凝反应-臭氧强氧化—IC厌氧—水解酸化—接触氧化—混凝沉淀处理工艺</w:t>
                  </w:r>
                </w:p>
              </w:tc>
              <w:tc>
                <w:tcPr>
                  <w:tcW w:w="559" w:type="pct"/>
                  <w:vAlign w:val="center"/>
                </w:tcPr>
                <w:p w14:paraId="610D22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bCs/>
                      <w:color w:val="auto"/>
                      <w:szCs w:val="21"/>
                      <w:highlight w:val="none"/>
                    </w:rPr>
                    <w:t>可行</w:t>
                  </w:r>
                </w:p>
              </w:tc>
            </w:tr>
            <w:tr w14:paraId="50873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4"/>
                  <w:vAlign w:val="center"/>
                </w:tcPr>
                <w:p w14:paraId="78FCAB9C">
                  <w:pPr>
                    <w:keepNext w:val="0"/>
                    <w:keepLines w:val="0"/>
                    <w:pageBreakBefore w:val="0"/>
                    <w:widowControl w:val="0"/>
                    <w:tabs>
                      <w:tab w:val="left" w:pos="840"/>
                    </w:tabs>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b/>
                      <w:color w:val="auto"/>
                      <w:kern w:val="0"/>
                      <w:sz w:val="18"/>
                      <w:szCs w:val="18"/>
                      <w:highlight w:val="none"/>
                    </w:rPr>
                  </w:pPr>
                  <w:r>
                    <w:rPr>
                      <w:rFonts w:hint="default" w:ascii="Times New Roman" w:hAnsi="Times New Roman" w:cs="Times New Roman" w:eastAsiaTheme="minorEastAsia"/>
                      <w:b/>
                      <w:color w:val="auto"/>
                      <w:sz w:val="18"/>
                      <w:szCs w:val="18"/>
                      <w:highlight w:val="none"/>
                    </w:rPr>
                    <w:t>现有污水处理工艺</w:t>
                  </w:r>
                </w:p>
                <w:p w14:paraId="10507084">
                  <w:pPr>
                    <w:keepNext w:val="0"/>
                    <w:keepLines w:val="0"/>
                    <w:pageBreakBefore w:val="0"/>
                    <w:widowControl w:val="0"/>
                    <w:tabs>
                      <w:tab w:val="left" w:pos="840"/>
                    </w:tabs>
                    <w:kinsoku/>
                    <w:wordWrap/>
                    <w:overflowPunct/>
                    <w:topLinePunct w:val="0"/>
                    <w:autoSpaceDE/>
                    <w:autoSpaceDN/>
                    <w:bidi w:val="0"/>
                    <w:adjustRightInd/>
                    <w:snapToGrid/>
                    <w:spacing w:line="320" w:lineRule="exact"/>
                    <w:ind w:firstLine="361" w:firstLineChars="200"/>
                    <w:textAlignment w:val="auto"/>
                    <w:rPr>
                      <w:rFonts w:hint="default" w:ascii="Times New Roman" w:hAnsi="Times New Roman" w:cs="Times New Roman" w:eastAsiaTheme="minorEastAsia"/>
                      <w:b/>
                      <w:bCs/>
                      <w:color w:val="auto"/>
                      <w:kern w:val="0"/>
                      <w:sz w:val="18"/>
                      <w:szCs w:val="18"/>
                      <w:highlight w:val="none"/>
                    </w:rPr>
                  </w:pPr>
                  <w:r>
                    <w:rPr>
                      <w:rFonts w:hint="default" w:ascii="Times New Roman" w:hAnsi="Times New Roman" w:cs="Times New Roman" w:eastAsiaTheme="minorEastAsia"/>
                      <w:b/>
                      <w:bCs/>
                      <w:color w:val="auto"/>
                      <w:kern w:val="0"/>
                      <w:sz w:val="18"/>
                      <w:szCs w:val="18"/>
                      <w:highlight w:val="none"/>
                    </w:rPr>
                    <w:t>1、固液分离</w:t>
                  </w:r>
                </w:p>
                <w:p w14:paraId="78F940B5">
                  <w:pPr>
                    <w:keepNext w:val="0"/>
                    <w:keepLines w:val="0"/>
                    <w:pageBreakBefore w:val="0"/>
                    <w:widowControl w:val="0"/>
                    <w:tabs>
                      <w:tab w:val="left" w:pos="840"/>
                    </w:tabs>
                    <w:kinsoku/>
                    <w:wordWrap/>
                    <w:overflowPunct/>
                    <w:topLinePunct w:val="0"/>
                    <w:autoSpaceDE/>
                    <w:autoSpaceDN/>
                    <w:bidi w:val="0"/>
                    <w:adjustRightInd/>
                    <w:snapToGrid/>
                    <w:spacing w:line="320" w:lineRule="exact"/>
                    <w:ind w:firstLine="360" w:firstLineChars="200"/>
                    <w:textAlignment w:val="auto"/>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color w:val="auto"/>
                      <w:kern w:val="0"/>
                      <w:sz w:val="18"/>
                      <w:szCs w:val="18"/>
                      <w:highlight w:val="none"/>
                    </w:rPr>
                    <w:t>废水首先进入车间收集池，然后由泵提升进入固液分离机，固液分离机可以大量去除水中的蔬菜纤维，固液分离机出水进入调节池，然后由泵提升进入叠螺机，对水中一些细小的植物纤维、悬浮物、漂浮物等进行脱水，滤液进入中间池1，这时中间池1内的污水已经去除了大量蔬菜纤维，水中也不再呈现明显的绿色，可进入后续处理。</w:t>
                  </w:r>
                </w:p>
                <w:p w14:paraId="0D3447E8">
                  <w:pPr>
                    <w:keepNext w:val="0"/>
                    <w:keepLines w:val="0"/>
                    <w:pageBreakBefore w:val="0"/>
                    <w:widowControl w:val="0"/>
                    <w:tabs>
                      <w:tab w:val="left" w:pos="840"/>
                    </w:tabs>
                    <w:kinsoku/>
                    <w:wordWrap/>
                    <w:overflowPunct/>
                    <w:topLinePunct w:val="0"/>
                    <w:autoSpaceDE/>
                    <w:autoSpaceDN/>
                    <w:bidi w:val="0"/>
                    <w:adjustRightInd/>
                    <w:snapToGrid/>
                    <w:spacing w:line="320" w:lineRule="exact"/>
                    <w:ind w:firstLine="361" w:firstLineChars="200"/>
                    <w:textAlignment w:val="auto"/>
                    <w:rPr>
                      <w:rFonts w:hint="default" w:ascii="Times New Roman" w:hAnsi="Times New Roman" w:cs="Times New Roman" w:eastAsiaTheme="minorEastAsia"/>
                      <w:b/>
                      <w:bCs/>
                      <w:color w:val="auto"/>
                      <w:kern w:val="0"/>
                      <w:sz w:val="18"/>
                      <w:szCs w:val="18"/>
                      <w:highlight w:val="none"/>
                    </w:rPr>
                  </w:pPr>
                  <w:r>
                    <w:rPr>
                      <w:rFonts w:hint="default" w:ascii="Times New Roman" w:hAnsi="Times New Roman" w:cs="Times New Roman" w:eastAsiaTheme="minorEastAsia"/>
                      <w:b/>
                      <w:bCs/>
                      <w:color w:val="auto"/>
                      <w:kern w:val="0"/>
                      <w:sz w:val="18"/>
                      <w:szCs w:val="18"/>
                      <w:highlight w:val="none"/>
                    </w:rPr>
                    <w:t>2、絮凝反应、臭氧强氧化</w:t>
                  </w:r>
                </w:p>
                <w:p w14:paraId="29B75557">
                  <w:pPr>
                    <w:keepNext w:val="0"/>
                    <w:keepLines w:val="0"/>
                    <w:pageBreakBefore w:val="0"/>
                    <w:widowControl w:val="0"/>
                    <w:tabs>
                      <w:tab w:val="left" w:pos="840"/>
                    </w:tabs>
                    <w:kinsoku/>
                    <w:wordWrap/>
                    <w:overflowPunct/>
                    <w:topLinePunct w:val="0"/>
                    <w:autoSpaceDE/>
                    <w:autoSpaceDN/>
                    <w:bidi w:val="0"/>
                    <w:adjustRightInd/>
                    <w:snapToGrid/>
                    <w:spacing w:line="320" w:lineRule="exact"/>
                    <w:ind w:firstLine="360" w:firstLineChars="200"/>
                    <w:textAlignment w:val="auto"/>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color w:val="auto"/>
                      <w:kern w:val="0"/>
                      <w:sz w:val="18"/>
                      <w:szCs w:val="18"/>
                      <w:highlight w:val="none"/>
                    </w:rPr>
                    <w:t>中间池1出水由污水泵提升进入臭氧反应器，在臭氧反应器内充入臭氧，通过强氧化气浮一体机对污水进行强氧化反应，同时加入加入PAC、PAM进行絮凝反应，然后出水进入中间池2，然后进入IC厌氧塔。</w:t>
                  </w:r>
                </w:p>
                <w:p w14:paraId="7951BE13">
                  <w:pPr>
                    <w:keepNext w:val="0"/>
                    <w:keepLines w:val="0"/>
                    <w:pageBreakBefore w:val="0"/>
                    <w:widowControl w:val="0"/>
                    <w:tabs>
                      <w:tab w:val="left" w:pos="840"/>
                    </w:tabs>
                    <w:kinsoku/>
                    <w:wordWrap/>
                    <w:overflowPunct/>
                    <w:topLinePunct w:val="0"/>
                    <w:autoSpaceDE/>
                    <w:autoSpaceDN/>
                    <w:bidi w:val="0"/>
                    <w:adjustRightInd/>
                    <w:snapToGrid/>
                    <w:spacing w:line="320" w:lineRule="exact"/>
                    <w:ind w:firstLine="361" w:firstLineChars="200"/>
                    <w:textAlignment w:val="auto"/>
                    <w:rPr>
                      <w:rFonts w:hint="default" w:ascii="Times New Roman" w:hAnsi="Times New Roman" w:cs="Times New Roman" w:eastAsiaTheme="minorEastAsia"/>
                      <w:b/>
                      <w:bCs/>
                      <w:color w:val="auto"/>
                      <w:kern w:val="0"/>
                      <w:sz w:val="18"/>
                      <w:szCs w:val="18"/>
                      <w:highlight w:val="none"/>
                    </w:rPr>
                  </w:pPr>
                  <w:r>
                    <w:rPr>
                      <w:rFonts w:hint="default" w:ascii="Times New Roman" w:hAnsi="Times New Roman" w:cs="Times New Roman" w:eastAsiaTheme="minorEastAsia"/>
                      <w:b/>
                      <w:bCs/>
                      <w:color w:val="auto"/>
                      <w:kern w:val="0"/>
                      <w:sz w:val="18"/>
                      <w:szCs w:val="18"/>
                      <w:highlight w:val="none"/>
                    </w:rPr>
                    <w:t>3、IC厌氧</w:t>
                  </w:r>
                </w:p>
                <w:p w14:paraId="4FF5C614">
                  <w:pPr>
                    <w:keepNext w:val="0"/>
                    <w:keepLines w:val="0"/>
                    <w:pageBreakBefore w:val="0"/>
                    <w:widowControl w:val="0"/>
                    <w:tabs>
                      <w:tab w:val="left" w:pos="840"/>
                    </w:tabs>
                    <w:kinsoku/>
                    <w:wordWrap/>
                    <w:overflowPunct/>
                    <w:topLinePunct w:val="0"/>
                    <w:autoSpaceDE/>
                    <w:autoSpaceDN/>
                    <w:bidi w:val="0"/>
                    <w:adjustRightInd/>
                    <w:snapToGrid/>
                    <w:spacing w:line="320" w:lineRule="exact"/>
                    <w:ind w:firstLine="360" w:firstLineChars="200"/>
                    <w:textAlignment w:val="auto"/>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color w:val="auto"/>
                      <w:kern w:val="0"/>
                      <w:sz w:val="18"/>
                      <w:szCs w:val="18"/>
                      <w:highlight w:val="none"/>
                    </w:rPr>
                    <w:t>中间池2出水由污水提升泵提升进入IC厌氧塔，进行废水的厌氧发酵处理，在无分子氧的情况下，通过厌氧微生物的作用，将各种复杂的有机物分解成小分子有机物甲烷和二氧化碳。IC反应通过产生甲烷气体方式去除部分COD，同时将难生物降解的大分子有机物降解为小分子有机物。反应器由下而上共分为5个区：混合区、第1厌氧区、第2厌氧区、沉淀区和气液分离区。</w:t>
                  </w:r>
                </w:p>
                <w:p w14:paraId="22BCCBC1">
                  <w:pPr>
                    <w:keepNext w:val="0"/>
                    <w:keepLines w:val="0"/>
                    <w:pageBreakBefore w:val="0"/>
                    <w:widowControl w:val="0"/>
                    <w:tabs>
                      <w:tab w:val="left" w:pos="840"/>
                    </w:tabs>
                    <w:kinsoku/>
                    <w:wordWrap/>
                    <w:overflowPunct/>
                    <w:topLinePunct w:val="0"/>
                    <w:autoSpaceDE/>
                    <w:autoSpaceDN/>
                    <w:bidi w:val="0"/>
                    <w:adjustRightInd/>
                    <w:snapToGrid/>
                    <w:spacing w:line="320" w:lineRule="exact"/>
                    <w:ind w:firstLine="360" w:firstLineChars="200"/>
                    <w:textAlignment w:val="auto"/>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color w:val="auto"/>
                      <w:kern w:val="0"/>
                      <w:sz w:val="18"/>
                      <w:szCs w:val="18"/>
                      <w:highlight w:val="none"/>
                    </w:rPr>
                    <w:t>混合区：反应器底部进水、颗粒污泥和气液分离区回流的泥水混合物有效地在此区混合。</w:t>
                  </w:r>
                </w:p>
                <w:p w14:paraId="3FE16076">
                  <w:pPr>
                    <w:keepNext w:val="0"/>
                    <w:keepLines w:val="0"/>
                    <w:pageBreakBefore w:val="0"/>
                    <w:widowControl w:val="0"/>
                    <w:tabs>
                      <w:tab w:val="left" w:pos="840"/>
                    </w:tabs>
                    <w:kinsoku/>
                    <w:wordWrap/>
                    <w:overflowPunct/>
                    <w:topLinePunct w:val="0"/>
                    <w:autoSpaceDE/>
                    <w:autoSpaceDN/>
                    <w:bidi w:val="0"/>
                    <w:adjustRightInd/>
                    <w:snapToGrid/>
                    <w:spacing w:line="320" w:lineRule="exact"/>
                    <w:ind w:firstLine="360" w:firstLineChars="200"/>
                    <w:textAlignment w:val="auto"/>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color w:val="auto"/>
                      <w:kern w:val="0"/>
                      <w:sz w:val="18"/>
                      <w:szCs w:val="18"/>
                      <w:highlight w:val="none"/>
                    </w:rPr>
                    <w:t>第1厌氧区：混合区形成的泥水混合物进入该区，在高浓度污泥作用下，大部分有机物转化为沼气，厌氧环节产生的沼气由管道引至二级烘干热风炉作为燃料燃烧，不设沼气储罐。混合液上升流和沼气的剧烈扰动使该反应区内污泥呈膨胀和流化状态，加强了泥水表面接触，污泥由此而保持着高的活性。随着沼气产量的增多，一部分泥水混合物被沼气提升至顶部的气液分离区。</w:t>
                  </w:r>
                </w:p>
                <w:p w14:paraId="443E754B">
                  <w:pPr>
                    <w:keepNext w:val="0"/>
                    <w:keepLines w:val="0"/>
                    <w:pageBreakBefore w:val="0"/>
                    <w:widowControl w:val="0"/>
                    <w:tabs>
                      <w:tab w:val="left" w:pos="840"/>
                    </w:tabs>
                    <w:kinsoku/>
                    <w:wordWrap/>
                    <w:overflowPunct/>
                    <w:topLinePunct w:val="0"/>
                    <w:autoSpaceDE/>
                    <w:autoSpaceDN/>
                    <w:bidi w:val="0"/>
                    <w:adjustRightInd/>
                    <w:snapToGrid/>
                    <w:spacing w:line="320" w:lineRule="exact"/>
                    <w:ind w:firstLine="360" w:firstLineChars="200"/>
                    <w:textAlignment w:val="auto"/>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color w:val="auto"/>
                      <w:kern w:val="0"/>
                      <w:sz w:val="18"/>
                      <w:szCs w:val="18"/>
                      <w:highlight w:val="none"/>
                    </w:rPr>
                    <w:t>气液分离区：被提升的混合物中的沼气在此与泥水分离并导出处理系统，泥水混合物则沿着回流管返回到最下端的混合区，与反应器底部的污泥和进水充分混合，实现了混合液的内部循环。</w:t>
                  </w:r>
                </w:p>
                <w:p w14:paraId="2B26A3B3">
                  <w:pPr>
                    <w:keepNext w:val="0"/>
                    <w:keepLines w:val="0"/>
                    <w:pageBreakBefore w:val="0"/>
                    <w:widowControl w:val="0"/>
                    <w:tabs>
                      <w:tab w:val="left" w:pos="840"/>
                    </w:tabs>
                    <w:kinsoku/>
                    <w:wordWrap/>
                    <w:overflowPunct/>
                    <w:topLinePunct w:val="0"/>
                    <w:autoSpaceDE/>
                    <w:autoSpaceDN/>
                    <w:bidi w:val="0"/>
                    <w:adjustRightInd/>
                    <w:snapToGrid/>
                    <w:spacing w:line="320" w:lineRule="exact"/>
                    <w:ind w:firstLine="360" w:firstLineChars="200"/>
                    <w:textAlignment w:val="auto"/>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color w:val="auto"/>
                      <w:kern w:val="0"/>
                      <w:sz w:val="18"/>
                      <w:szCs w:val="18"/>
                      <w:highlight w:val="none"/>
                    </w:rPr>
                    <w:t>第2厌氧区：经第1厌氧区处理后的废水，除一部分被沼气提升外，其余的都通过三相分离器进入第2厌氧区。该区污泥浓度较低，且废水中大部分有机物已在第1厌氧区被降解，因此沼气产生量较少。沼气通过沼气管导入气液分离区，对第2厌氧区的扰动很小，这为污泥的停留提供了有利条件。</w:t>
                  </w:r>
                </w:p>
                <w:p w14:paraId="0462E19F">
                  <w:pPr>
                    <w:keepNext w:val="0"/>
                    <w:keepLines w:val="0"/>
                    <w:pageBreakBefore w:val="0"/>
                    <w:widowControl w:val="0"/>
                    <w:tabs>
                      <w:tab w:val="left" w:pos="840"/>
                    </w:tabs>
                    <w:kinsoku/>
                    <w:wordWrap/>
                    <w:overflowPunct/>
                    <w:topLinePunct w:val="0"/>
                    <w:autoSpaceDE/>
                    <w:autoSpaceDN/>
                    <w:bidi w:val="0"/>
                    <w:adjustRightInd/>
                    <w:snapToGrid/>
                    <w:spacing w:line="320" w:lineRule="exact"/>
                    <w:ind w:firstLine="360" w:firstLineChars="200"/>
                    <w:textAlignment w:val="auto"/>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color w:val="auto"/>
                      <w:kern w:val="0"/>
                      <w:sz w:val="18"/>
                      <w:szCs w:val="18"/>
                      <w:highlight w:val="none"/>
                    </w:rPr>
                    <w:t>沉淀区：第2厌氧区的泥水混合物在沉淀区进行固液分离，上清液由出水管排走，沉淀的颗粒污泥返回第2厌氧区污泥床。</w:t>
                  </w:r>
                </w:p>
                <w:p w14:paraId="60765133">
                  <w:pPr>
                    <w:keepNext w:val="0"/>
                    <w:keepLines w:val="0"/>
                    <w:pageBreakBefore w:val="0"/>
                    <w:widowControl w:val="0"/>
                    <w:tabs>
                      <w:tab w:val="left" w:pos="840"/>
                    </w:tabs>
                    <w:kinsoku/>
                    <w:wordWrap/>
                    <w:overflowPunct/>
                    <w:topLinePunct w:val="0"/>
                    <w:autoSpaceDE/>
                    <w:autoSpaceDN/>
                    <w:bidi w:val="0"/>
                    <w:adjustRightInd/>
                    <w:snapToGrid/>
                    <w:spacing w:line="320" w:lineRule="exact"/>
                    <w:ind w:firstLine="360" w:firstLineChars="200"/>
                    <w:textAlignment w:val="auto"/>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color w:val="auto"/>
                      <w:kern w:val="0"/>
                      <w:sz w:val="18"/>
                      <w:szCs w:val="18"/>
                      <w:highlight w:val="none"/>
                    </w:rPr>
                    <w:t>从IC反应器工作原理中可见，反应器通过2层三相分离器来实现高污泥浓度；通过大量沼气和内循环的剧烈扰动，使泥水充分接触，获得良好的传质效果。</w:t>
                  </w:r>
                </w:p>
                <w:p w14:paraId="3615F376">
                  <w:pPr>
                    <w:keepNext w:val="0"/>
                    <w:keepLines w:val="0"/>
                    <w:pageBreakBefore w:val="0"/>
                    <w:widowControl w:val="0"/>
                    <w:tabs>
                      <w:tab w:val="left" w:pos="840"/>
                    </w:tabs>
                    <w:kinsoku/>
                    <w:wordWrap/>
                    <w:overflowPunct/>
                    <w:topLinePunct w:val="0"/>
                    <w:autoSpaceDE/>
                    <w:autoSpaceDN/>
                    <w:bidi w:val="0"/>
                    <w:adjustRightInd/>
                    <w:snapToGrid/>
                    <w:spacing w:line="320" w:lineRule="exact"/>
                    <w:ind w:firstLine="361" w:firstLineChars="200"/>
                    <w:textAlignment w:val="auto"/>
                    <w:rPr>
                      <w:b/>
                      <w:bCs/>
                      <w:color w:val="auto"/>
                      <w:kern w:val="0"/>
                      <w:sz w:val="18"/>
                      <w:szCs w:val="18"/>
                      <w:highlight w:val="none"/>
                    </w:rPr>
                  </w:pPr>
                  <w:r>
                    <w:rPr>
                      <w:rFonts w:hint="eastAsia"/>
                      <w:b/>
                      <w:bCs/>
                      <w:color w:val="auto"/>
                      <w:kern w:val="0"/>
                      <w:sz w:val="18"/>
                      <w:szCs w:val="18"/>
                      <w:highlight w:val="none"/>
                    </w:rPr>
                    <w:t>4、</w:t>
                  </w:r>
                  <w:r>
                    <w:rPr>
                      <w:b/>
                      <w:bCs/>
                      <w:color w:val="auto"/>
                      <w:kern w:val="0"/>
                      <w:sz w:val="18"/>
                      <w:szCs w:val="18"/>
                      <w:highlight w:val="none"/>
                    </w:rPr>
                    <w:t>水解酸化、接触氧化</w:t>
                  </w:r>
                </w:p>
                <w:p w14:paraId="0329B8DB">
                  <w:pPr>
                    <w:keepNext w:val="0"/>
                    <w:keepLines w:val="0"/>
                    <w:pageBreakBefore w:val="0"/>
                    <w:widowControl w:val="0"/>
                    <w:tabs>
                      <w:tab w:val="left" w:pos="840"/>
                    </w:tabs>
                    <w:kinsoku/>
                    <w:wordWrap/>
                    <w:overflowPunct/>
                    <w:topLinePunct w:val="0"/>
                    <w:autoSpaceDE/>
                    <w:autoSpaceDN/>
                    <w:bidi w:val="0"/>
                    <w:adjustRightInd/>
                    <w:snapToGrid/>
                    <w:spacing w:line="320" w:lineRule="exact"/>
                    <w:ind w:firstLine="360" w:firstLineChars="200"/>
                    <w:textAlignment w:val="auto"/>
                    <w:rPr>
                      <w:color w:val="auto"/>
                      <w:kern w:val="0"/>
                      <w:sz w:val="18"/>
                      <w:szCs w:val="18"/>
                      <w:highlight w:val="none"/>
                    </w:rPr>
                  </w:pPr>
                  <w:r>
                    <w:rPr>
                      <w:color w:val="auto"/>
                      <w:kern w:val="0"/>
                      <w:sz w:val="18"/>
                      <w:szCs w:val="18"/>
                      <w:highlight w:val="none"/>
                    </w:rPr>
                    <w:t>IC厌氧塔出水进入水解酸化池，在水解酸化池内将大分子有机物分解成小分子有机物，有利于后续好氧工艺的处理，水解酸化池出水进入生物接触氧化池，生物法工作过程为：通过驯化培养而聚集的优势微生物群体，在生长过程中利用周围环境中的营养物质即水中的有机污染物质进行新陈代谢，达到降解污染物、净化水质的目的，出水进入沉淀池。</w:t>
                  </w:r>
                </w:p>
                <w:p w14:paraId="72A56BDE">
                  <w:pPr>
                    <w:keepNext w:val="0"/>
                    <w:keepLines w:val="0"/>
                    <w:pageBreakBefore w:val="0"/>
                    <w:widowControl w:val="0"/>
                    <w:tabs>
                      <w:tab w:val="left" w:pos="840"/>
                    </w:tabs>
                    <w:kinsoku/>
                    <w:wordWrap/>
                    <w:overflowPunct/>
                    <w:topLinePunct w:val="0"/>
                    <w:autoSpaceDE/>
                    <w:autoSpaceDN/>
                    <w:bidi w:val="0"/>
                    <w:adjustRightInd/>
                    <w:snapToGrid/>
                    <w:spacing w:line="320" w:lineRule="exact"/>
                    <w:ind w:firstLine="361" w:firstLineChars="200"/>
                    <w:textAlignment w:val="auto"/>
                    <w:rPr>
                      <w:b/>
                      <w:bCs/>
                      <w:color w:val="auto"/>
                      <w:kern w:val="0"/>
                      <w:sz w:val="18"/>
                      <w:szCs w:val="18"/>
                      <w:highlight w:val="none"/>
                    </w:rPr>
                  </w:pPr>
                  <w:r>
                    <w:rPr>
                      <w:rFonts w:hint="eastAsia"/>
                      <w:b/>
                      <w:bCs/>
                      <w:color w:val="auto"/>
                      <w:kern w:val="0"/>
                      <w:sz w:val="18"/>
                      <w:szCs w:val="18"/>
                      <w:highlight w:val="none"/>
                    </w:rPr>
                    <w:t>5、</w:t>
                  </w:r>
                  <w:r>
                    <w:rPr>
                      <w:b/>
                      <w:bCs/>
                      <w:color w:val="auto"/>
                      <w:kern w:val="0"/>
                      <w:sz w:val="18"/>
                      <w:szCs w:val="18"/>
                      <w:highlight w:val="none"/>
                    </w:rPr>
                    <w:t>混凝沉淀、排放</w:t>
                  </w:r>
                </w:p>
                <w:p w14:paraId="4F281A56">
                  <w:pPr>
                    <w:keepNext w:val="0"/>
                    <w:keepLines w:val="0"/>
                    <w:pageBreakBefore w:val="0"/>
                    <w:widowControl w:val="0"/>
                    <w:tabs>
                      <w:tab w:val="left" w:pos="840"/>
                    </w:tabs>
                    <w:kinsoku/>
                    <w:wordWrap/>
                    <w:overflowPunct/>
                    <w:topLinePunct w:val="0"/>
                    <w:autoSpaceDE/>
                    <w:autoSpaceDN/>
                    <w:bidi w:val="0"/>
                    <w:adjustRightInd/>
                    <w:snapToGrid/>
                    <w:spacing w:line="320" w:lineRule="exact"/>
                    <w:ind w:firstLine="360" w:firstLineChars="200"/>
                    <w:textAlignment w:val="auto"/>
                    <w:rPr>
                      <w:bCs/>
                      <w:color w:val="auto"/>
                      <w:szCs w:val="21"/>
                      <w:highlight w:val="none"/>
                    </w:rPr>
                  </w:pPr>
                  <w:r>
                    <w:rPr>
                      <w:color w:val="auto"/>
                      <w:kern w:val="0"/>
                      <w:sz w:val="18"/>
                      <w:szCs w:val="18"/>
                      <w:highlight w:val="none"/>
                    </w:rPr>
                    <w:t>沉淀池出水进入反应池，在反应池内投加粉末活性炭净化水质，出水由污水泵提升进入微气泡反应沉淀一体机，加入PAC、PAM进行混凝反应，出水进入清水池，出水达标排放。</w:t>
                  </w:r>
                </w:p>
              </w:tc>
            </w:tr>
          </w:tbl>
          <w:p w14:paraId="0C81DB6F">
            <w:pPr>
              <w:keepNext w:val="0"/>
              <w:keepLines w:val="0"/>
              <w:pageBreakBefore w:val="0"/>
              <w:widowControl w:val="0"/>
              <w:kinsoku/>
              <w:wordWrap/>
              <w:overflowPunct/>
              <w:topLinePunct w:val="0"/>
              <w:autoSpaceDE/>
              <w:autoSpaceDN/>
              <w:bidi w:val="0"/>
              <w:adjustRightInd/>
              <w:snapToGrid/>
              <w:spacing w:line="440" w:lineRule="exact"/>
              <w:ind w:left="420" w:leftChars="200"/>
              <w:textAlignment w:val="auto"/>
              <w:rPr>
                <w:b/>
                <w:color w:val="auto"/>
                <w:sz w:val="24"/>
                <w:highlight w:val="none"/>
              </w:rPr>
            </w:pPr>
            <w:r>
              <w:rPr>
                <w:rFonts w:hint="eastAsia"/>
                <w:b/>
                <w:color w:val="auto"/>
                <w:sz w:val="24"/>
                <w:highlight w:val="none"/>
                <w:lang w:val="en-US" w:eastAsia="zh-CN"/>
              </w:rPr>
              <w:t>3</w:t>
            </w:r>
            <w:r>
              <w:rPr>
                <w:rFonts w:hint="eastAsia"/>
                <w:b/>
                <w:color w:val="auto"/>
                <w:sz w:val="24"/>
                <w:highlight w:val="none"/>
              </w:rPr>
              <w:t>）</w:t>
            </w:r>
            <w:r>
              <w:rPr>
                <w:b/>
                <w:color w:val="auto"/>
                <w:sz w:val="24"/>
                <w:highlight w:val="none"/>
              </w:rPr>
              <w:t>项目废水排入寻甸县污水处理厂可行性分析</w:t>
            </w:r>
          </w:p>
          <w:p w14:paraId="595A8BE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highlight w:val="none"/>
                <w:lang w:bidi="ar"/>
              </w:rPr>
            </w:pPr>
            <w:r>
              <w:rPr>
                <w:rFonts w:hint="eastAsia"/>
                <w:color w:val="auto"/>
                <w:sz w:val="24"/>
                <w:highlight w:val="none"/>
                <w:lang w:val="en-US" w:eastAsia="zh-CN"/>
              </w:rPr>
              <w:t>经分析，本项目建设完成后全厂综合废水</w:t>
            </w:r>
            <w:r>
              <w:rPr>
                <w:rFonts w:hint="eastAsia"/>
                <w:color w:val="auto"/>
                <w:sz w:val="24"/>
                <w:highlight w:val="none"/>
              </w:rPr>
              <w:t>排放浓度可以达到《污水综合排放标准》（GB 8978-1996</w:t>
            </w:r>
            <w:r>
              <w:rPr>
                <w:rFonts w:hint="eastAsia"/>
                <w:b w:val="0"/>
                <w:bCs w:val="0"/>
                <w:color w:val="auto"/>
                <w:sz w:val="24"/>
                <w:highlight w:val="none"/>
              </w:rPr>
              <w:t>）中三级标准</w:t>
            </w:r>
            <w:r>
              <w:rPr>
                <w:rFonts w:hint="eastAsia"/>
                <w:b w:val="0"/>
                <w:bCs w:val="0"/>
                <w:color w:val="auto"/>
                <w:kern w:val="0"/>
                <w:sz w:val="24"/>
                <w:highlight w:val="none"/>
                <w:lang w:bidi="ar"/>
              </w:rPr>
              <w:t>，</w:t>
            </w:r>
            <w:r>
              <w:rPr>
                <w:rFonts w:hint="eastAsia"/>
                <w:b w:val="0"/>
                <w:bCs w:val="0"/>
                <w:color w:val="auto"/>
                <w:kern w:val="0"/>
                <w:sz w:val="24"/>
                <w:highlight w:val="none"/>
                <w:lang w:val="en-US" w:eastAsia="zh-CN" w:bidi="ar"/>
              </w:rPr>
              <w:t>其满足</w:t>
            </w:r>
            <w:r>
              <w:rPr>
                <w:b w:val="0"/>
                <w:bCs w:val="0"/>
                <w:color w:val="auto"/>
                <w:sz w:val="24"/>
                <w:highlight w:val="none"/>
              </w:rPr>
              <w:t>寻甸县污水处理厂</w:t>
            </w:r>
            <w:r>
              <w:rPr>
                <w:rFonts w:hint="eastAsia"/>
                <w:b w:val="0"/>
                <w:bCs w:val="0"/>
                <w:color w:val="auto"/>
                <w:sz w:val="24"/>
                <w:highlight w:val="none"/>
                <w:lang w:val="en-US" w:eastAsia="zh-CN"/>
              </w:rPr>
              <w:t>纳管标准，且</w:t>
            </w:r>
            <w:r>
              <w:rPr>
                <w:rFonts w:hint="eastAsia"/>
                <w:color w:val="auto"/>
                <w:kern w:val="0"/>
                <w:sz w:val="24"/>
                <w:highlight w:val="none"/>
                <w:lang w:bidi="ar"/>
              </w:rPr>
              <w:t>本</w:t>
            </w:r>
            <w:r>
              <w:rPr>
                <w:rFonts w:hint="eastAsia"/>
                <w:color w:val="auto"/>
                <w:kern w:val="0"/>
                <w:sz w:val="24"/>
                <w:highlight w:val="none"/>
                <w:lang w:val="en-US" w:eastAsia="zh-CN" w:bidi="ar"/>
              </w:rPr>
              <w:t>项目产生的</w:t>
            </w:r>
            <w:r>
              <w:rPr>
                <w:rFonts w:hint="eastAsia"/>
                <w:color w:val="auto"/>
                <w:kern w:val="0"/>
                <w:sz w:val="24"/>
                <w:highlight w:val="none"/>
                <w:lang w:bidi="ar"/>
              </w:rPr>
              <w:t>废水水质特征与</w:t>
            </w:r>
            <w:r>
              <w:rPr>
                <w:rFonts w:hint="eastAsia"/>
                <w:color w:val="auto"/>
                <w:kern w:val="0"/>
                <w:sz w:val="24"/>
                <w:highlight w:val="none"/>
                <w:lang w:val="en-US" w:eastAsia="zh-CN" w:bidi="ar"/>
              </w:rPr>
              <w:t>现</w:t>
            </w:r>
            <w:r>
              <w:rPr>
                <w:rFonts w:hint="eastAsia"/>
                <w:color w:val="auto"/>
                <w:kern w:val="0"/>
                <w:sz w:val="24"/>
                <w:highlight w:val="none"/>
                <w:lang w:bidi="ar"/>
              </w:rPr>
              <w:t>有项目基本一致，且排放去向仍为寻甸县污水处理厂，排放路径及方式均未发生改变。鉴于原有环评文件已对该排放路线的合理性、排放方式的环境可行性进行过详细论证，因此</w:t>
            </w:r>
            <w:r>
              <w:rPr>
                <w:rFonts w:hint="eastAsia"/>
                <w:color w:val="auto"/>
                <w:kern w:val="0"/>
                <w:sz w:val="24"/>
                <w:highlight w:val="none"/>
                <w:lang w:val="en-US" w:eastAsia="zh-CN" w:bidi="ar"/>
              </w:rPr>
              <w:t>本次环评不在</w:t>
            </w:r>
            <w:r>
              <w:rPr>
                <w:rFonts w:hint="eastAsia"/>
                <w:color w:val="auto"/>
                <w:kern w:val="0"/>
                <w:sz w:val="24"/>
                <w:highlight w:val="none"/>
                <w:lang w:bidi="ar"/>
              </w:rPr>
              <w:t>对该部分内容重复分析。</w:t>
            </w:r>
          </w:p>
          <w:p w14:paraId="66D00A3A">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b/>
                <w:color w:val="auto"/>
                <w:kern w:val="0"/>
                <w:sz w:val="24"/>
                <w:highlight w:val="none"/>
              </w:rPr>
            </w:pPr>
            <w:r>
              <w:rPr>
                <w:rFonts w:hint="eastAsia"/>
                <w:b/>
                <w:color w:val="auto"/>
                <w:kern w:val="0"/>
                <w:sz w:val="24"/>
                <w:highlight w:val="none"/>
                <w:lang w:eastAsia="zh-CN"/>
              </w:rPr>
              <w:t>（</w:t>
            </w:r>
            <w:r>
              <w:rPr>
                <w:rFonts w:hint="eastAsia"/>
                <w:b/>
                <w:color w:val="auto"/>
                <w:kern w:val="0"/>
                <w:sz w:val="24"/>
                <w:highlight w:val="none"/>
                <w:lang w:val="en-US" w:eastAsia="zh-CN"/>
              </w:rPr>
              <w:t>7</w:t>
            </w:r>
            <w:r>
              <w:rPr>
                <w:rFonts w:hint="eastAsia"/>
                <w:b/>
                <w:color w:val="auto"/>
                <w:kern w:val="0"/>
                <w:sz w:val="24"/>
                <w:highlight w:val="none"/>
                <w:lang w:eastAsia="zh-CN"/>
              </w:rPr>
              <w:t>）</w:t>
            </w:r>
            <w:r>
              <w:rPr>
                <w:b/>
                <w:color w:val="auto"/>
                <w:kern w:val="0"/>
                <w:sz w:val="24"/>
                <w:highlight w:val="none"/>
              </w:rPr>
              <w:t>地表水环境影响结论</w:t>
            </w:r>
          </w:p>
          <w:p w14:paraId="34BA784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iCs/>
                <w:color w:val="auto"/>
                <w:kern w:val="0"/>
                <w:sz w:val="24"/>
                <w:highlight w:val="none"/>
                <w:lang w:val="en-US" w:eastAsia="zh-CN"/>
              </w:rPr>
            </w:pPr>
            <w:r>
              <w:rPr>
                <w:rFonts w:hint="eastAsia"/>
                <w:iCs/>
                <w:color w:val="auto"/>
                <w:kern w:val="0"/>
                <w:sz w:val="24"/>
                <w:highlight w:val="none"/>
              </w:rPr>
              <w:t>项目周边主要的地表水体为项目区</w:t>
            </w:r>
            <w:r>
              <w:rPr>
                <w:rFonts w:hint="eastAsia"/>
                <w:iCs/>
                <w:color w:val="auto"/>
                <w:kern w:val="0"/>
                <w:sz w:val="24"/>
                <w:highlight w:val="none"/>
                <w:shd w:val="clear" w:color="FFFFFF" w:fill="D9D9D9"/>
              </w:rPr>
              <w:t>东侧</w:t>
            </w:r>
            <w:r>
              <w:rPr>
                <w:rFonts w:hint="eastAsia"/>
                <w:iCs/>
                <w:color w:val="auto"/>
                <w:kern w:val="0"/>
                <w:sz w:val="24"/>
                <w:highlight w:val="none"/>
                <w:shd w:val="clear" w:color="FFFFFF" w:fill="D9D9D9"/>
                <w:lang w:val="en-US" w:eastAsia="zh-CN"/>
              </w:rPr>
              <w:t>1980</w:t>
            </w:r>
            <w:r>
              <w:rPr>
                <w:rFonts w:hint="eastAsia"/>
                <w:iCs/>
                <w:color w:val="auto"/>
                <w:kern w:val="0"/>
                <w:sz w:val="24"/>
                <w:highlight w:val="none"/>
              </w:rPr>
              <w:t>m</w:t>
            </w:r>
            <w:r>
              <w:rPr>
                <w:rFonts w:hint="eastAsia"/>
                <w:color w:val="auto"/>
                <w:kern w:val="0"/>
                <w:sz w:val="24"/>
                <w:highlight w:val="none"/>
              </w:rPr>
              <w:t>处的牛栏江</w:t>
            </w:r>
            <w:r>
              <w:rPr>
                <w:rFonts w:hint="eastAsia"/>
                <w:iCs/>
                <w:color w:val="auto"/>
                <w:kern w:val="0"/>
                <w:sz w:val="24"/>
                <w:highlight w:val="none"/>
              </w:rPr>
              <w:t>，</w:t>
            </w:r>
            <w:r>
              <w:rPr>
                <w:rFonts w:hint="eastAsia"/>
                <w:iCs/>
                <w:color w:val="auto"/>
                <w:kern w:val="0"/>
                <w:sz w:val="24"/>
                <w:highlight w:val="none"/>
                <w:lang w:val="en-US" w:eastAsia="zh-CN"/>
              </w:rPr>
              <w:t>本</w:t>
            </w:r>
            <w:r>
              <w:rPr>
                <w:rFonts w:hint="eastAsia"/>
                <w:iCs/>
                <w:color w:val="auto"/>
                <w:kern w:val="0"/>
                <w:sz w:val="24"/>
                <w:highlight w:val="none"/>
              </w:rPr>
              <w:t>项目生产过程废水</w:t>
            </w:r>
            <w:r>
              <w:rPr>
                <w:rFonts w:hint="eastAsia"/>
                <w:iCs/>
                <w:color w:val="auto"/>
                <w:kern w:val="0"/>
                <w:sz w:val="24"/>
                <w:highlight w:val="none"/>
                <w:lang w:val="en-US" w:eastAsia="zh-CN"/>
              </w:rPr>
              <w:t>依托</w:t>
            </w:r>
            <w:r>
              <w:rPr>
                <w:rFonts w:hint="eastAsia"/>
                <w:color w:val="auto"/>
                <w:kern w:val="0"/>
                <w:sz w:val="24"/>
                <w:highlight w:val="none"/>
              </w:rPr>
              <w:t>厂内污水处理站</w:t>
            </w:r>
            <w:r>
              <w:rPr>
                <w:rFonts w:hint="eastAsia"/>
                <w:iCs/>
                <w:color w:val="auto"/>
                <w:kern w:val="0"/>
                <w:sz w:val="24"/>
                <w:highlight w:val="none"/>
              </w:rPr>
              <w:t>进行处理，处理达标后通过DW001废水总排放口排入寻甸县污水处理厂</w:t>
            </w:r>
            <w:r>
              <w:rPr>
                <w:rFonts w:hint="eastAsia"/>
                <w:iCs/>
                <w:color w:val="auto"/>
                <w:kern w:val="0"/>
                <w:sz w:val="24"/>
                <w:highlight w:val="none"/>
                <w:lang w:val="en-US" w:eastAsia="zh-CN"/>
              </w:rPr>
              <w:t>进一步处理，其无废水直接排入地表水体。</w:t>
            </w:r>
          </w:p>
          <w:p w14:paraId="56253DF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iCs/>
                <w:color w:val="auto"/>
                <w:kern w:val="0"/>
                <w:sz w:val="24"/>
                <w:highlight w:val="none"/>
              </w:rPr>
            </w:pPr>
            <w:r>
              <w:rPr>
                <w:rFonts w:hint="eastAsia"/>
                <w:iCs/>
                <w:color w:val="auto"/>
                <w:kern w:val="0"/>
                <w:sz w:val="24"/>
                <w:highlight w:val="none"/>
                <w:lang w:val="en-US" w:eastAsia="zh-CN"/>
              </w:rPr>
              <w:t>本项目使用现有项目产生的尾菜废水作为液体复合微生物肥料生产原料，其有效减少了全厂废水的排放总量，减轻了寻甸县污水处理厂的处理负荷，且本</w:t>
            </w:r>
            <w:r>
              <w:rPr>
                <w:rFonts w:hint="eastAsia"/>
                <w:iCs/>
                <w:color w:val="auto"/>
                <w:kern w:val="0"/>
                <w:sz w:val="24"/>
                <w:highlight w:val="none"/>
              </w:rPr>
              <w:t>项目废水需经过厂内污水处理系统和市政污水处理厂两级深度处理，COD、氨氮、总磷等主要污染物排放量已得到大幅削减，废水在输送至污水处理厂的过程中采用密闭管道，无泄漏风险，因此对牛栏江地表水环境质量不会造成明显负面影响。此外，项目已制定完善的废水排放监测计划，定期对排放口水质进行采样检测，确保各项污染物稳定达标排放，地表水环境影响处于可控范围内。</w:t>
            </w:r>
          </w:p>
          <w:p w14:paraId="6DC81AD4">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b/>
                <w:color w:val="auto"/>
                <w:kern w:val="0"/>
                <w:sz w:val="24"/>
                <w:highlight w:val="none"/>
              </w:rPr>
            </w:pPr>
            <w:r>
              <w:rPr>
                <w:rFonts w:hint="eastAsia"/>
                <w:b/>
                <w:color w:val="auto"/>
                <w:kern w:val="0"/>
                <w:sz w:val="24"/>
                <w:highlight w:val="none"/>
                <w:lang w:eastAsia="zh-CN"/>
              </w:rPr>
              <w:t>（</w:t>
            </w:r>
            <w:r>
              <w:rPr>
                <w:rFonts w:hint="eastAsia"/>
                <w:b/>
                <w:color w:val="auto"/>
                <w:kern w:val="0"/>
                <w:sz w:val="24"/>
                <w:highlight w:val="none"/>
                <w:lang w:val="en-US" w:eastAsia="zh-CN"/>
              </w:rPr>
              <w:t>8</w:t>
            </w:r>
            <w:r>
              <w:rPr>
                <w:rFonts w:hint="eastAsia"/>
                <w:b/>
                <w:color w:val="auto"/>
                <w:kern w:val="0"/>
                <w:sz w:val="24"/>
                <w:highlight w:val="none"/>
                <w:lang w:eastAsia="zh-CN"/>
              </w:rPr>
              <w:t>）</w:t>
            </w:r>
            <w:r>
              <w:rPr>
                <w:rFonts w:hint="eastAsia"/>
                <w:b/>
                <w:color w:val="auto"/>
                <w:kern w:val="0"/>
                <w:sz w:val="24"/>
                <w:highlight w:val="none"/>
              </w:rPr>
              <w:t>自行监测要求</w:t>
            </w:r>
          </w:p>
          <w:p w14:paraId="30BA23E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highlight w:val="none"/>
              </w:rPr>
            </w:pPr>
            <w:r>
              <w:rPr>
                <w:rFonts w:hint="eastAsia"/>
                <w:color w:val="auto"/>
                <w:kern w:val="0"/>
                <w:sz w:val="24"/>
                <w:highlight w:val="none"/>
              </w:rPr>
              <w:t>项目废水自行监测计划参照</w:t>
            </w:r>
            <w:r>
              <w:rPr>
                <w:color w:val="auto"/>
                <w:kern w:val="0"/>
                <w:sz w:val="24"/>
                <w:highlight w:val="none"/>
              </w:rPr>
              <w:t>《排污单位自行监测技术指南 磷肥、钾肥、复混肥料、有机肥料和微生物肥料》</w:t>
            </w:r>
            <w:r>
              <w:rPr>
                <w:rFonts w:hint="eastAsia"/>
                <w:color w:val="auto"/>
                <w:kern w:val="0"/>
                <w:sz w:val="24"/>
                <w:highlight w:val="none"/>
              </w:rPr>
              <w:t>（HJ1088-2020）及公司现有</w:t>
            </w:r>
            <w:r>
              <w:rPr>
                <w:color w:val="auto"/>
                <w:kern w:val="0"/>
                <w:sz w:val="24"/>
                <w:highlight w:val="none"/>
                <w:lang w:bidi="ar"/>
              </w:rPr>
              <w:t>废水监测要求</w:t>
            </w:r>
            <w:r>
              <w:rPr>
                <w:rFonts w:hint="eastAsia"/>
                <w:color w:val="auto"/>
                <w:kern w:val="0"/>
                <w:sz w:val="24"/>
                <w:highlight w:val="none"/>
              </w:rPr>
              <w:t>制定。项目废水自行监测方案见表4-</w:t>
            </w:r>
            <w:r>
              <w:rPr>
                <w:rFonts w:hint="eastAsia"/>
                <w:color w:val="auto"/>
                <w:kern w:val="0"/>
                <w:sz w:val="24"/>
                <w:highlight w:val="none"/>
                <w:lang w:val="en-US" w:eastAsia="zh-CN"/>
              </w:rPr>
              <w:t>2</w:t>
            </w:r>
            <w:r>
              <w:rPr>
                <w:rFonts w:hint="eastAsia"/>
                <w:color w:val="auto"/>
                <w:kern w:val="0"/>
                <w:sz w:val="24"/>
                <w:highlight w:val="none"/>
              </w:rPr>
              <w:t>3。</w:t>
            </w:r>
          </w:p>
          <w:p w14:paraId="6FFF9274">
            <w:pPr>
              <w:ind w:firstLine="422" w:firstLineChars="200"/>
              <w:jc w:val="center"/>
              <w:rPr>
                <w:b/>
                <w:bCs/>
                <w:color w:val="auto"/>
                <w:szCs w:val="21"/>
                <w:highlight w:val="none"/>
              </w:rPr>
            </w:pPr>
            <w:r>
              <w:rPr>
                <w:b/>
                <w:bCs/>
                <w:color w:val="auto"/>
                <w:szCs w:val="21"/>
                <w:highlight w:val="none"/>
              </w:rPr>
              <w:t>4-</w:t>
            </w:r>
            <w:r>
              <w:rPr>
                <w:rFonts w:hint="eastAsia"/>
                <w:b/>
                <w:bCs/>
                <w:color w:val="auto"/>
                <w:szCs w:val="21"/>
                <w:highlight w:val="none"/>
                <w:lang w:val="en-US" w:eastAsia="zh-CN"/>
              </w:rPr>
              <w:t>2</w:t>
            </w:r>
            <w:r>
              <w:rPr>
                <w:rFonts w:hint="eastAsia"/>
                <w:b/>
                <w:bCs/>
                <w:color w:val="auto"/>
                <w:szCs w:val="21"/>
                <w:highlight w:val="none"/>
              </w:rPr>
              <w:t>3  废水自行</w:t>
            </w:r>
            <w:r>
              <w:rPr>
                <w:b/>
                <w:bCs/>
                <w:color w:val="auto"/>
                <w:szCs w:val="21"/>
                <w:highlight w:val="none"/>
              </w:rPr>
              <w:t>监测计划</w:t>
            </w:r>
            <w:r>
              <w:rPr>
                <w:rFonts w:hint="eastAsia"/>
                <w:b/>
                <w:bCs/>
                <w:color w:val="auto"/>
                <w:szCs w:val="21"/>
                <w:highlight w:val="none"/>
              </w:rPr>
              <w:t>方案</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7"/>
              <w:gridCol w:w="1239"/>
              <w:gridCol w:w="1932"/>
              <w:gridCol w:w="1039"/>
              <w:gridCol w:w="2801"/>
              <w:gridCol w:w="1096"/>
            </w:tblGrid>
            <w:tr w14:paraId="57ED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32" w:type="pct"/>
                  <w:vAlign w:val="center"/>
                </w:tcPr>
                <w:p w14:paraId="3AA267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项目</w:t>
                  </w:r>
                </w:p>
              </w:tc>
              <w:tc>
                <w:tcPr>
                  <w:tcW w:w="713" w:type="pct"/>
                  <w:vAlign w:val="center"/>
                </w:tcPr>
                <w:p w14:paraId="0379A5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监测点位</w:t>
                  </w:r>
                </w:p>
              </w:tc>
              <w:tc>
                <w:tcPr>
                  <w:tcW w:w="1112" w:type="pct"/>
                  <w:vAlign w:val="center"/>
                </w:tcPr>
                <w:p w14:paraId="6CC62E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监测因子</w:t>
                  </w:r>
                </w:p>
              </w:tc>
              <w:tc>
                <w:tcPr>
                  <w:tcW w:w="598" w:type="pct"/>
                  <w:vAlign w:val="center"/>
                </w:tcPr>
                <w:p w14:paraId="09EF9D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监测频率</w:t>
                  </w:r>
                </w:p>
              </w:tc>
              <w:tc>
                <w:tcPr>
                  <w:tcW w:w="1612" w:type="pct"/>
                  <w:vAlign w:val="center"/>
                </w:tcPr>
                <w:p w14:paraId="487487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执行标准</w:t>
                  </w:r>
                </w:p>
              </w:tc>
              <w:tc>
                <w:tcPr>
                  <w:tcW w:w="631" w:type="pct"/>
                  <w:vAlign w:val="center"/>
                </w:tcPr>
                <w:p w14:paraId="398C56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szCs w:val="21"/>
                      <w:highlight w:val="none"/>
                    </w:rPr>
                  </w:pPr>
                  <w:r>
                    <w:rPr>
                      <w:b/>
                      <w:bCs/>
                      <w:color w:val="auto"/>
                      <w:szCs w:val="21"/>
                      <w:highlight w:val="none"/>
                    </w:rPr>
                    <w:t>监测方法</w:t>
                  </w:r>
                </w:p>
              </w:tc>
            </w:tr>
            <w:tr w14:paraId="0250A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32" w:type="pct"/>
                  <w:vAlign w:val="center"/>
                </w:tcPr>
                <w:p w14:paraId="4361AE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废水</w:t>
                  </w:r>
                </w:p>
              </w:tc>
              <w:tc>
                <w:tcPr>
                  <w:tcW w:w="713" w:type="pct"/>
                  <w:vAlign w:val="center"/>
                </w:tcPr>
                <w:p w14:paraId="156B09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厂区废水总</w:t>
                  </w:r>
                </w:p>
                <w:p w14:paraId="46479E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排放口</w:t>
                  </w:r>
                </w:p>
                <w:p w14:paraId="44987F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（DW001）</w:t>
                  </w:r>
                </w:p>
              </w:tc>
              <w:tc>
                <w:tcPr>
                  <w:tcW w:w="1112" w:type="pct"/>
                  <w:vAlign w:val="center"/>
                </w:tcPr>
                <w:p w14:paraId="2968B3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rPr>
                    <w:t>流量、</w:t>
                  </w:r>
                  <w:r>
                    <w:rPr>
                      <w:color w:val="auto"/>
                      <w:szCs w:val="21"/>
                      <w:highlight w:val="none"/>
                    </w:rPr>
                    <w:t>COD、</w:t>
                  </w:r>
                  <w:r>
                    <w:rPr>
                      <w:rFonts w:hint="eastAsia"/>
                      <w:color w:val="auto"/>
                      <w:szCs w:val="21"/>
                      <w:highlight w:val="none"/>
                    </w:rPr>
                    <w:t>氨</w:t>
                  </w:r>
                  <w:r>
                    <w:rPr>
                      <w:color w:val="auto"/>
                      <w:szCs w:val="21"/>
                      <w:highlight w:val="none"/>
                    </w:rPr>
                    <w:t>氮</w:t>
                  </w:r>
                  <w:r>
                    <w:rPr>
                      <w:rFonts w:hint="eastAsia"/>
                      <w:color w:val="auto"/>
                      <w:szCs w:val="21"/>
                      <w:highlight w:val="none"/>
                      <w:lang w:eastAsia="zh-CN"/>
                    </w:rPr>
                    <w:t>、</w:t>
                  </w:r>
                  <w:r>
                    <w:rPr>
                      <w:rFonts w:hint="eastAsia"/>
                      <w:color w:val="auto"/>
                      <w:szCs w:val="21"/>
                      <w:highlight w:val="none"/>
                      <w:lang w:val="en-US" w:eastAsia="zh-CN"/>
                    </w:rPr>
                    <w:t>总磷、总氮、悬浮物、动植物油</w:t>
                  </w:r>
                </w:p>
              </w:tc>
              <w:tc>
                <w:tcPr>
                  <w:tcW w:w="598" w:type="pct"/>
                  <w:vAlign w:val="center"/>
                </w:tcPr>
                <w:p w14:paraId="30B260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bCs/>
                      <w:color w:val="auto"/>
                      <w:szCs w:val="21"/>
                      <w:highlight w:val="none"/>
                    </w:rPr>
                    <w:t>1次/季度</w:t>
                  </w:r>
                </w:p>
              </w:tc>
              <w:tc>
                <w:tcPr>
                  <w:tcW w:w="1612" w:type="pct"/>
                  <w:vAlign w:val="center"/>
                </w:tcPr>
                <w:p w14:paraId="46390A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《污水综合排放标准》（GB 8978-1996）中三级标准</w:t>
                  </w:r>
                </w:p>
              </w:tc>
              <w:tc>
                <w:tcPr>
                  <w:tcW w:w="631" w:type="pct"/>
                  <w:vAlign w:val="center"/>
                </w:tcPr>
                <w:p w14:paraId="154E92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color w:val="auto"/>
                      <w:szCs w:val="21"/>
                      <w:highlight w:val="none"/>
                    </w:rPr>
                    <w:t>按国家标准 方法进行</w:t>
                  </w:r>
                </w:p>
              </w:tc>
            </w:tr>
          </w:tbl>
          <w:p w14:paraId="5266CB63">
            <w:pPr>
              <w:keepNext w:val="0"/>
              <w:keepLines w:val="0"/>
              <w:pageBreakBefore w:val="0"/>
              <w:widowControl w:val="0"/>
              <w:kinsoku/>
              <w:wordWrap/>
              <w:overflowPunct/>
              <w:topLinePunct w:val="0"/>
              <w:autoSpaceDE/>
              <w:autoSpaceDN/>
              <w:bidi w:val="0"/>
              <w:adjustRightInd/>
              <w:snapToGrid/>
              <w:spacing w:line="440" w:lineRule="exact"/>
              <w:textAlignment w:val="auto"/>
              <w:rPr>
                <w:color w:val="auto"/>
                <w:kern w:val="0"/>
                <w:sz w:val="24"/>
                <w:highlight w:val="none"/>
              </w:rPr>
            </w:pPr>
            <w:r>
              <w:rPr>
                <w:rFonts w:hint="eastAsia"/>
                <w:b/>
                <w:bCs/>
                <w:color w:val="auto"/>
                <w:kern w:val="0"/>
                <w:sz w:val="24"/>
                <w:highlight w:val="none"/>
                <w:lang w:val="en-US" w:eastAsia="zh-CN"/>
              </w:rPr>
              <w:t>3</w:t>
            </w:r>
            <w:r>
              <w:rPr>
                <w:rFonts w:hint="eastAsia"/>
                <w:b/>
                <w:bCs/>
                <w:color w:val="auto"/>
                <w:kern w:val="0"/>
                <w:sz w:val="24"/>
                <w:highlight w:val="none"/>
              </w:rPr>
              <w:t>、运营期声环境影响及保护</w:t>
            </w:r>
            <w:r>
              <w:rPr>
                <w:b/>
                <w:bCs/>
                <w:color w:val="auto"/>
                <w:kern w:val="0"/>
                <w:sz w:val="24"/>
                <w:highlight w:val="none"/>
              </w:rPr>
              <w:t>措施</w:t>
            </w:r>
          </w:p>
          <w:p w14:paraId="5351AF0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bCs/>
                <w:color w:val="auto"/>
                <w:kern w:val="0"/>
                <w:sz w:val="24"/>
                <w:highlight w:val="none"/>
              </w:rPr>
            </w:pPr>
            <w:r>
              <w:rPr>
                <w:rFonts w:hint="eastAsia"/>
                <w:bCs/>
                <w:color w:val="auto"/>
                <w:kern w:val="0"/>
                <w:sz w:val="24"/>
                <w:highlight w:val="none"/>
              </w:rPr>
              <w:t>鉴于</w:t>
            </w:r>
            <w:r>
              <w:rPr>
                <w:rFonts w:hint="eastAsia"/>
                <w:bCs/>
                <w:color w:val="auto"/>
                <w:kern w:val="0"/>
                <w:sz w:val="24"/>
                <w:highlight w:val="none"/>
                <w:lang w:val="en-US" w:eastAsia="zh-CN"/>
              </w:rPr>
              <w:t>本</w:t>
            </w:r>
            <w:r>
              <w:rPr>
                <w:rFonts w:hint="eastAsia"/>
                <w:bCs/>
                <w:color w:val="auto"/>
                <w:kern w:val="0"/>
                <w:sz w:val="24"/>
                <w:highlight w:val="none"/>
              </w:rPr>
              <w:t>项目</w:t>
            </w:r>
            <w:r>
              <w:rPr>
                <w:rFonts w:hint="eastAsia"/>
                <w:bCs/>
                <w:color w:val="auto"/>
                <w:kern w:val="0"/>
                <w:sz w:val="24"/>
                <w:highlight w:val="none"/>
                <w:lang w:val="en-US" w:eastAsia="zh-CN"/>
              </w:rPr>
              <w:t>建设完成后</w:t>
            </w:r>
            <w:r>
              <w:rPr>
                <w:rFonts w:hint="eastAsia"/>
                <w:bCs/>
                <w:color w:val="auto"/>
                <w:kern w:val="0"/>
                <w:sz w:val="24"/>
                <w:highlight w:val="none"/>
              </w:rPr>
              <w:t>与蔬菜干饲料共用部分生产车间</w:t>
            </w:r>
            <w:r>
              <w:rPr>
                <w:rFonts w:hint="eastAsia"/>
                <w:bCs/>
                <w:color w:val="auto"/>
                <w:kern w:val="0"/>
                <w:sz w:val="24"/>
                <w:highlight w:val="none"/>
                <w:lang w:eastAsia="zh-CN"/>
              </w:rPr>
              <w:t>；</w:t>
            </w:r>
            <w:r>
              <w:rPr>
                <w:rFonts w:hint="eastAsia"/>
                <w:bCs/>
                <w:color w:val="auto"/>
                <w:kern w:val="0"/>
                <w:sz w:val="24"/>
                <w:highlight w:val="none"/>
                <w:lang w:val="en-US" w:eastAsia="zh-CN"/>
              </w:rPr>
              <w:t>现有项目生产设备对</w:t>
            </w:r>
            <w:r>
              <w:rPr>
                <w:rFonts w:hint="eastAsia"/>
                <w:bCs/>
                <w:color w:val="auto"/>
                <w:kern w:val="0"/>
                <w:sz w:val="24"/>
                <w:highlight w:val="none"/>
              </w:rPr>
              <w:t>本项目</w:t>
            </w:r>
            <w:r>
              <w:rPr>
                <w:rFonts w:hint="eastAsia"/>
                <w:bCs/>
                <w:color w:val="auto"/>
                <w:kern w:val="0"/>
                <w:sz w:val="24"/>
                <w:highlight w:val="none"/>
                <w:lang w:val="en-US" w:eastAsia="zh-CN"/>
              </w:rPr>
              <w:t>也有</w:t>
            </w:r>
            <w:r>
              <w:rPr>
                <w:rFonts w:hint="eastAsia"/>
                <w:bCs/>
                <w:color w:val="auto"/>
                <w:kern w:val="0"/>
                <w:sz w:val="24"/>
                <w:highlight w:val="none"/>
              </w:rPr>
              <w:t>贡献，因此，本次环评</w:t>
            </w:r>
            <w:r>
              <w:rPr>
                <w:rFonts w:hint="eastAsia"/>
                <w:bCs/>
                <w:color w:val="auto"/>
                <w:kern w:val="0"/>
                <w:sz w:val="24"/>
                <w:highlight w:val="none"/>
                <w:lang w:val="en-US" w:eastAsia="zh-CN"/>
              </w:rPr>
              <w:t>将现有项目生产设备和本项目主要产噪设备</w:t>
            </w:r>
            <w:r>
              <w:rPr>
                <w:rFonts w:hint="eastAsia"/>
                <w:bCs/>
                <w:color w:val="auto"/>
                <w:kern w:val="0"/>
                <w:sz w:val="24"/>
                <w:highlight w:val="none"/>
              </w:rPr>
              <w:t>噪声源强进行</w:t>
            </w:r>
            <w:r>
              <w:rPr>
                <w:rFonts w:hint="eastAsia"/>
                <w:bCs/>
                <w:color w:val="auto"/>
                <w:kern w:val="0"/>
                <w:sz w:val="24"/>
                <w:highlight w:val="none"/>
                <w:lang w:val="en-US" w:eastAsia="zh-CN"/>
              </w:rPr>
              <w:t>叠加</w:t>
            </w:r>
            <w:r>
              <w:rPr>
                <w:rFonts w:hint="eastAsia"/>
                <w:bCs/>
                <w:color w:val="auto"/>
                <w:kern w:val="0"/>
                <w:sz w:val="24"/>
                <w:highlight w:val="none"/>
              </w:rPr>
              <w:t>预测分析。</w:t>
            </w:r>
          </w:p>
          <w:p w14:paraId="1D5274CB">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b/>
                <w:bCs/>
                <w:color w:val="auto"/>
                <w:kern w:val="0"/>
                <w:sz w:val="24"/>
                <w:szCs w:val="20"/>
                <w:highlight w:val="none"/>
              </w:rPr>
            </w:pPr>
            <w:r>
              <w:rPr>
                <w:rFonts w:hint="eastAsia"/>
                <w:b/>
                <w:bCs/>
                <w:color w:val="auto"/>
                <w:kern w:val="0"/>
                <w:sz w:val="24"/>
                <w:szCs w:val="20"/>
                <w:highlight w:val="none"/>
                <w:lang w:eastAsia="zh-CN"/>
              </w:rPr>
              <w:t>（</w:t>
            </w:r>
            <w:r>
              <w:rPr>
                <w:rFonts w:hint="eastAsia"/>
                <w:b/>
                <w:bCs/>
                <w:color w:val="auto"/>
                <w:kern w:val="0"/>
                <w:sz w:val="24"/>
                <w:szCs w:val="20"/>
                <w:highlight w:val="none"/>
                <w:lang w:val="en-US" w:eastAsia="zh-CN"/>
              </w:rPr>
              <w:t>1</w:t>
            </w:r>
            <w:r>
              <w:rPr>
                <w:rFonts w:hint="eastAsia"/>
                <w:b/>
                <w:bCs/>
                <w:color w:val="auto"/>
                <w:kern w:val="0"/>
                <w:sz w:val="24"/>
                <w:szCs w:val="20"/>
                <w:highlight w:val="none"/>
                <w:lang w:eastAsia="zh-CN"/>
              </w:rPr>
              <w:t>）</w:t>
            </w:r>
            <w:r>
              <w:rPr>
                <w:rFonts w:hint="eastAsia"/>
                <w:b/>
                <w:bCs/>
                <w:color w:val="auto"/>
                <w:kern w:val="0"/>
                <w:sz w:val="24"/>
                <w:szCs w:val="20"/>
                <w:highlight w:val="none"/>
              </w:rPr>
              <w:t>噪声源强</w:t>
            </w:r>
            <w:r>
              <w:rPr>
                <w:b/>
                <w:bCs/>
                <w:color w:val="auto"/>
                <w:kern w:val="0"/>
                <w:sz w:val="24"/>
                <w:szCs w:val="20"/>
                <w:highlight w:val="none"/>
              </w:rPr>
              <w:t>分析</w:t>
            </w:r>
          </w:p>
          <w:p w14:paraId="04BC975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bCs/>
                <w:color w:val="auto"/>
                <w:kern w:val="0"/>
                <w:sz w:val="24"/>
                <w:highlight w:val="none"/>
              </w:rPr>
            </w:pPr>
            <w:r>
              <w:rPr>
                <w:rFonts w:hint="eastAsia"/>
                <w:bCs/>
                <w:color w:val="auto"/>
                <w:kern w:val="0"/>
                <w:sz w:val="24"/>
                <w:highlight w:val="none"/>
              </w:rPr>
              <w:t>项目属于工业类项目，噪声主要来自于生产装备运行产生，本次评价结合</w:t>
            </w:r>
            <w:r>
              <w:rPr>
                <w:rFonts w:hint="eastAsia"/>
                <w:bCs/>
                <w:color w:val="auto"/>
                <w:kern w:val="0"/>
                <w:sz w:val="24"/>
                <w:highlight w:val="none"/>
                <w:lang w:val="en-US" w:eastAsia="zh-CN"/>
              </w:rPr>
              <w:t>现有</w:t>
            </w:r>
            <w:r>
              <w:rPr>
                <w:rFonts w:hint="eastAsia"/>
                <w:bCs/>
                <w:color w:val="auto"/>
                <w:kern w:val="0"/>
                <w:sz w:val="24"/>
                <w:highlight w:val="none"/>
              </w:rPr>
              <w:t>项目生产工艺及设备布局，识别主要噪声源为现有蔬菜干饲料生产线的风机、破碎机、振动筛、传送带等设备，以及本项目新增的破碎机、风机、</w:t>
            </w:r>
            <w:r>
              <w:rPr>
                <w:rFonts w:hint="eastAsia"/>
                <w:bCs/>
                <w:color w:val="auto"/>
                <w:kern w:val="0"/>
                <w:sz w:val="24"/>
                <w:highlight w:val="none"/>
                <w:lang w:val="en-US" w:eastAsia="zh-CN"/>
              </w:rPr>
              <w:t>包装</w:t>
            </w:r>
            <w:r>
              <w:rPr>
                <w:rFonts w:hint="eastAsia"/>
                <w:bCs/>
                <w:color w:val="auto"/>
                <w:kern w:val="0"/>
                <w:sz w:val="24"/>
                <w:highlight w:val="none"/>
              </w:rPr>
              <w:t>机等，各设备噪声源强范围为75~95dB(A)。</w:t>
            </w:r>
          </w:p>
          <w:p w14:paraId="7F574DA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szCs w:val="20"/>
                <w:highlight w:val="none"/>
              </w:rPr>
            </w:pPr>
            <w:r>
              <w:rPr>
                <w:rFonts w:hint="eastAsia"/>
                <w:bCs/>
                <w:color w:val="auto"/>
                <w:kern w:val="0"/>
                <w:sz w:val="24"/>
                <w:highlight w:val="none"/>
              </w:rPr>
              <w:t>项目</w:t>
            </w:r>
            <w:r>
              <w:rPr>
                <w:bCs/>
                <w:color w:val="auto"/>
                <w:kern w:val="0"/>
                <w:sz w:val="24"/>
                <w:highlight w:val="none"/>
              </w:rPr>
              <w:t>主要噪声设备源强及治理措施见表4-</w:t>
            </w:r>
            <w:r>
              <w:rPr>
                <w:rFonts w:hint="eastAsia"/>
                <w:bCs/>
                <w:color w:val="auto"/>
                <w:kern w:val="0"/>
                <w:sz w:val="24"/>
                <w:highlight w:val="none"/>
                <w:lang w:val="en-US" w:eastAsia="zh-CN"/>
              </w:rPr>
              <w:t>2</w:t>
            </w:r>
            <w:r>
              <w:rPr>
                <w:rFonts w:hint="eastAsia"/>
                <w:bCs/>
                <w:color w:val="auto"/>
                <w:kern w:val="0"/>
                <w:sz w:val="24"/>
                <w:highlight w:val="none"/>
              </w:rPr>
              <w:t>4。</w:t>
            </w:r>
          </w:p>
          <w:p w14:paraId="534A4167">
            <w:pPr>
              <w:ind w:firstLine="422" w:firstLineChars="200"/>
              <w:jc w:val="center"/>
              <w:rPr>
                <w:b/>
                <w:bCs/>
                <w:color w:val="auto"/>
                <w:szCs w:val="21"/>
                <w:highlight w:val="none"/>
              </w:rPr>
            </w:pPr>
            <w:r>
              <w:rPr>
                <w:rFonts w:hint="eastAsia"/>
                <w:b/>
                <w:bCs/>
                <w:color w:val="auto"/>
                <w:szCs w:val="21"/>
                <w:highlight w:val="none"/>
              </w:rPr>
              <w:t>表4-</w:t>
            </w:r>
            <w:r>
              <w:rPr>
                <w:rFonts w:hint="eastAsia"/>
                <w:b/>
                <w:bCs/>
                <w:color w:val="auto"/>
                <w:szCs w:val="21"/>
                <w:highlight w:val="none"/>
                <w:lang w:val="en-US" w:eastAsia="zh-CN"/>
              </w:rPr>
              <w:t>2</w:t>
            </w:r>
            <w:r>
              <w:rPr>
                <w:rFonts w:hint="eastAsia"/>
                <w:b/>
                <w:bCs/>
                <w:color w:val="auto"/>
                <w:szCs w:val="21"/>
                <w:highlight w:val="none"/>
              </w:rPr>
              <w:t>4  现有设备及改扩建新增主要噪声设备声源调查一览表（室内）</w:t>
            </w:r>
          </w:p>
          <w:tbl>
            <w:tblPr>
              <w:tblStyle w:val="26"/>
              <w:tblW w:w="8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470"/>
              <w:gridCol w:w="396"/>
              <w:gridCol w:w="872"/>
              <w:gridCol w:w="623"/>
              <w:gridCol w:w="717"/>
              <w:gridCol w:w="708"/>
              <w:gridCol w:w="769"/>
              <w:gridCol w:w="458"/>
              <w:gridCol w:w="726"/>
              <w:gridCol w:w="618"/>
              <w:gridCol w:w="575"/>
              <w:gridCol w:w="685"/>
              <w:gridCol w:w="685"/>
              <w:gridCol w:w="564"/>
            </w:tblGrid>
            <w:tr w14:paraId="303E9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Merge w:val="restart"/>
                  <w:vAlign w:val="center"/>
                </w:tcPr>
                <w:p w14:paraId="62BBE8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编号</w:t>
                  </w:r>
                </w:p>
              </w:tc>
              <w:tc>
                <w:tcPr>
                  <w:tcW w:w="223" w:type="pct"/>
                  <w:vMerge w:val="restart"/>
                  <w:vAlign w:val="center"/>
                </w:tcPr>
                <w:p w14:paraId="5DD37F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建筑物名称</w:t>
                  </w:r>
                </w:p>
              </w:tc>
              <w:tc>
                <w:tcPr>
                  <w:tcW w:w="491" w:type="pct"/>
                  <w:vMerge w:val="restart"/>
                  <w:vAlign w:val="center"/>
                </w:tcPr>
                <w:p w14:paraId="15D979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声源名称</w:t>
                  </w:r>
                </w:p>
              </w:tc>
              <w:tc>
                <w:tcPr>
                  <w:tcW w:w="351" w:type="pct"/>
                  <w:vMerge w:val="restart"/>
                  <w:vAlign w:val="center"/>
                </w:tcPr>
                <w:p w14:paraId="5313B0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声源源强</w:t>
                  </w:r>
                </w:p>
                <w:p w14:paraId="357915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声功率级</w:t>
                  </w:r>
                </w:p>
                <w:p w14:paraId="01406F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dB(A)</w:t>
                  </w:r>
                </w:p>
              </w:tc>
              <w:tc>
                <w:tcPr>
                  <w:tcW w:w="404" w:type="pct"/>
                  <w:vMerge w:val="restart"/>
                  <w:vAlign w:val="center"/>
                </w:tcPr>
                <w:p w14:paraId="413C3F2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降噪</w:t>
                  </w:r>
                </w:p>
                <w:p w14:paraId="1FFAA9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措施</w:t>
                  </w:r>
                </w:p>
              </w:tc>
              <w:tc>
                <w:tcPr>
                  <w:tcW w:w="1090" w:type="pct"/>
                  <w:gridSpan w:val="3"/>
                  <w:vAlign w:val="center"/>
                </w:tcPr>
                <w:p w14:paraId="6E3EB2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空间相对位置</w:t>
                  </w:r>
                </w:p>
              </w:tc>
              <w:tc>
                <w:tcPr>
                  <w:tcW w:w="409" w:type="pct"/>
                  <w:vMerge w:val="restart"/>
                  <w:vAlign w:val="center"/>
                </w:tcPr>
                <w:p w14:paraId="76533D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距室内</w:t>
                  </w:r>
                </w:p>
                <w:p w14:paraId="726625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边界距离</w:t>
                  </w:r>
                </w:p>
                <w:p w14:paraId="53B69E3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（m）</w:t>
                  </w:r>
                </w:p>
              </w:tc>
              <w:tc>
                <w:tcPr>
                  <w:tcW w:w="348" w:type="pct"/>
                  <w:vMerge w:val="restart"/>
                  <w:vAlign w:val="center"/>
                </w:tcPr>
                <w:p w14:paraId="5BFDABF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室内边界声级</w:t>
                  </w:r>
                </w:p>
                <w:p w14:paraId="2DBAE1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dB</w:t>
                  </w:r>
                </w:p>
              </w:tc>
              <w:tc>
                <w:tcPr>
                  <w:tcW w:w="324" w:type="pct"/>
                  <w:vMerge w:val="restart"/>
                  <w:vAlign w:val="center"/>
                </w:tcPr>
                <w:p w14:paraId="756D6D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运行时段</w:t>
                  </w:r>
                </w:p>
              </w:tc>
              <w:tc>
                <w:tcPr>
                  <w:tcW w:w="386" w:type="pct"/>
                  <w:vMerge w:val="restart"/>
                  <w:vAlign w:val="center"/>
                </w:tcPr>
                <w:p w14:paraId="0205BC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建筑物</w:t>
                  </w:r>
                </w:p>
                <w:p w14:paraId="312B718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插入</w:t>
                  </w:r>
                </w:p>
                <w:p w14:paraId="6AAF42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损失</w:t>
                  </w:r>
                </w:p>
                <w:p w14:paraId="60A76A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dB(A)</w:t>
                  </w:r>
                </w:p>
              </w:tc>
              <w:tc>
                <w:tcPr>
                  <w:tcW w:w="703" w:type="pct"/>
                  <w:gridSpan w:val="2"/>
                  <w:vAlign w:val="center"/>
                </w:tcPr>
                <w:p w14:paraId="1F7450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建筑物</w:t>
                  </w:r>
                </w:p>
                <w:p w14:paraId="11B6E3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外噪声</w:t>
                  </w:r>
                </w:p>
              </w:tc>
            </w:tr>
            <w:tr w14:paraId="1AE56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Merge w:val="continue"/>
                  <w:vAlign w:val="center"/>
                </w:tcPr>
                <w:p w14:paraId="6CC816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p>
              </w:tc>
              <w:tc>
                <w:tcPr>
                  <w:tcW w:w="223" w:type="pct"/>
                  <w:vMerge w:val="continue"/>
                  <w:vAlign w:val="center"/>
                </w:tcPr>
                <w:p w14:paraId="5307D3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p>
              </w:tc>
              <w:tc>
                <w:tcPr>
                  <w:tcW w:w="491" w:type="pct"/>
                  <w:vMerge w:val="continue"/>
                  <w:vAlign w:val="center"/>
                </w:tcPr>
                <w:p w14:paraId="6E4037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p>
              </w:tc>
              <w:tc>
                <w:tcPr>
                  <w:tcW w:w="351" w:type="pct"/>
                  <w:vMerge w:val="continue"/>
                  <w:vAlign w:val="center"/>
                </w:tcPr>
                <w:p w14:paraId="30ABC5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p>
              </w:tc>
              <w:tc>
                <w:tcPr>
                  <w:tcW w:w="404" w:type="pct"/>
                  <w:vMerge w:val="continue"/>
                  <w:vAlign w:val="center"/>
                </w:tcPr>
                <w:p w14:paraId="48B8D3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p>
              </w:tc>
              <w:tc>
                <w:tcPr>
                  <w:tcW w:w="399" w:type="pct"/>
                  <w:vAlign w:val="center"/>
                </w:tcPr>
                <w:p w14:paraId="759F41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X</w:t>
                  </w:r>
                </w:p>
              </w:tc>
              <w:tc>
                <w:tcPr>
                  <w:tcW w:w="433" w:type="pct"/>
                  <w:vAlign w:val="center"/>
                </w:tcPr>
                <w:p w14:paraId="79AAC2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Y</w:t>
                  </w:r>
                </w:p>
              </w:tc>
              <w:tc>
                <w:tcPr>
                  <w:tcW w:w="256" w:type="pct"/>
                  <w:vAlign w:val="center"/>
                </w:tcPr>
                <w:p w14:paraId="26FC97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Z</w:t>
                  </w:r>
                </w:p>
              </w:tc>
              <w:tc>
                <w:tcPr>
                  <w:tcW w:w="409" w:type="pct"/>
                  <w:vMerge w:val="continue"/>
                  <w:vAlign w:val="center"/>
                </w:tcPr>
                <w:p w14:paraId="433DE2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p>
              </w:tc>
              <w:tc>
                <w:tcPr>
                  <w:tcW w:w="348" w:type="pct"/>
                  <w:vMerge w:val="continue"/>
                  <w:vAlign w:val="center"/>
                </w:tcPr>
                <w:p w14:paraId="382D77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p>
              </w:tc>
              <w:tc>
                <w:tcPr>
                  <w:tcW w:w="324" w:type="pct"/>
                  <w:vMerge w:val="continue"/>
                  <w:vAlign w:val="center"/>
                </w:tcPr>
                <w:p w14:paraId="434527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p>
              </w:tc>
              <w:tc>
                <w:tcPr>
                  <w:tcW w:w="386" w:type="pct"/>
                  <w:vMerge w:val="continue"/>
                  <w:vAlign w:val="center"/>
                </w:tcPr>
                <w:p w14:paraId="4F0BEA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p>
              </w:tc>
              <w:tc>
                <w:tcPr>
                  <w:tcW w:w="386" w:type="pct"/>
                  <w:vAlign w:val="center"/>
                </w:tcPr>
                <w:p w14:paraId="173F51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声压级</w:t>
                  </w:r>
                </w:p>
                <w:p w14:paraId="732FDE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dB(A)</w:t>
                  </w:r>
                </w:p>
              </w:tc>
              <w:tc>
                <w:tcPr>
                  <w:tcW w:w="316" w:type="pct"/>
                  <w:vAlign w:val="center"/>
                </w:tcPr>
                <w:p w14:paraId="7340E0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pacing w:val="-11"/>
                      <w:sz w:val="21"/>
                      <w:szCs w:val="21"/>
                      <w:highlight w:val="none"/>
                    </w:rPr>
                  </w:pPr>
                  <w:r>
                    <w:rPr>
                      <w:rFonts w:hint="default" w:ascii="Times New Roman" w:hAnsi="Times New Roman" w:cs="Times New Roman" w:eastAsiaTheme="minorEastAsia"/>
                      <w:b/>
                      <w:bCs/>
                      <w:color w:val="auto"/>
                      <w:spacing w:val="-11"/>
                      <w:sz w:val="21"/>
                      <w:szCs w:val="21"/>
                      <w:highlight w:val="none"/>
                    </w:rPr>
                    <w:t>建筑物外距离</w:t>
                  </w:r>
                </w:p>
              </w:tc>
            </w:tr>
            <w:tr w14:paraId="760C0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6D5CFF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223" w:type="pct"/>
                  <w:vMerge w:val="restart"/>
                  <w:vAlign w:val="center"/>
                </w:tcPr>
                <w:p w14:paraId="23C6C9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一级烘干车间</w:t>
                  </w:r>
                </w:p>
              </w:tc>
              <w:tc>
                <w:tcPr>
                  <w:tcW w:w="491" w:type="pct"/>
                  <w:vAlign w:val="center"/>
                </w:tcPr>
                <w:p w14:paraId="6AA6C5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破碎</w:t>
                  </w:r>
                </w:p>
                <w:p w14:paraId="1C32FE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分选机</w:t>
                  </w:r>
                </w:p>
              </w:tc>
              <w:tc>
                <w:tcPr>
                  <w:tcW w:w="351" w:type="pct"/>
                  <w:vAlign w:val="center"/>
                </w:tcPr>
                <w:p w14:paraId="6B6152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85</w:t>
                  </w:r>
                </w:p>
              </w:tc>
              <w:tc>
                <w:tcPr>
                  <w:tcW w:w="404" w:type="pct"/>
                  <w:vMerge w:val="restart"/>
                  <w:vAlign w:val="center"/>
                </w:tcPr>
                <w:p w14:paraId="55D8F1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合理布局、基础减振、建筑隔声</w:t>
                  </w:r>
                </w:p>
              </w:tc>
              <w:tc>
                <w:tcPr>
                  <w:tcW w:w="399" w:type="pct"/>
                  <w:vAlign w:val="center"/>
                </w:tcPr>
                <w:p w14:paraId="3CC88B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131.96</w:t>
                  </w:r>
                </w:p>
              </w:tc>
              <w:tc>
                <w:tcPr>
                  <w:tcW w:w="433" w:type="pct"/>
                  <w:vAlign w:val="center"/>
                </w:tcPr>
                <w:p w14:paraId="749687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93.6</w:t>
                  </w:r>
                </w:p>
              </w:tc>
              <w:tc>
                <w:tcPr>
                  <w:tcW w:w="256" w:type="pct"/>
                  <w:vAlign w:val="center"/>
                </w:tcPr>
                <w:p w14:paraId="4DE020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1.2</w:t>
                  </w:r>
                </w:p>
              </w:tc>
              <w:tc>
                <w:tcPr>
                  <w:tcW w:w="409" w:type="pct"/>
                  <w:vAlign w:val="center"/>
                </w:tcPr>
                <w:p w14:paraId="2A5796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3.5</w:t>
                  </w:r>
                </w:p>
              </w:tc>
              <w:tc>
                <w:tcPr>
                  <w:tcW w:w="618" w:type="dxa"/>
                  <w:vAlign w:val="center"/>
                </w:tcPr>
                <w:p w14:paraId="7D26CC7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74</w:t>
                  </w:r>
                </w:p>
              </w:tc>
              <w:tc>
                <w:tcPr>
                  <w:tcW w:w="324" w:type="pct"/>
                  <w:vMerge w:val="restart"/>
                  <w:vAlign w:val="center"/>
                </w:tcPr>
                <w:p w14:paraId="547F14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昼</w:t>
                  </w:r>
                  <w:r>
                    <w:rPr>
                      <w:rFonts w:hint="default" w:ascii="Times New Roman" w:hAnsi="Times New Roman" w:cs="Times New Roman" w:eastAsiaTheme="minorEastAsia"/>
                      <w:color w:val="auto"/>
                      <w:spacing w:val="-11"/>
                      <w:sz w:val="21"/>
                      <w:szCs w:val="21"/>
                      <w:highlight w:val="none"/>
                      <w:lang w:val="en-US" w:eastAsia="zh-CN"/>
                    </w:rPr>
                    <w:t>/</w:t>
                  </w:r>
                  <w:r>
                    <w:rPr>
                      <w:rFonts w:hint="default" w:ascii="Times New Roman" w:hAnsi="Times New Roman" w:cs="Times New Roman" w:eastAsiaTheme="minorEastAsia"/>
                      <w:color w:val="auto"/>
                      <w:spacing w:val="-11"/>
                      <w:sz w:val="21"/>
                      <w:szCs w:val="21"/>
                      <w:highlight w:val="none"/>
                    </w:rPr>
                    <w:t>夜</w:t>
                  </w:r>
                </w:p>
              </w:tc>
              <w:tc>
                <w:tcPr>
                  <w:tcW w:w="386" w:type="pct"/>
                  <w:vAlign w:val="center"/>
                </w:tcPr>
                <w:p w14:paraId="2A3105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35A60962">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59</w:t>
                  </w:r>
                </w:p>
              </w:tc>
              <w:tc>
                <w:tcPr>
                  <w:tcW w:w="316" w:type="pct"/>
                  <w:vAlign w:val="center"/>
                </w:tcPr>
                <w:p w14:paraId="3DC2D2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25DD6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47CE92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w:t>
                  </w:r>
                </w:p>
              </w:tc>
              <w:tc>
                <w:tcPr>
                  <w:tcW w:w="223" w:type="pct"/>
                  <w:vMerge w:val="continue"/>
                  <w:vAlign w:val="center"/>
                </w:tcPr>
                <w:p w14:paraId="5AE6D6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64BCEF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压榨机</w:t>
                  </w:r>
                </w:p>
              </w:tc>
              <w:tc>
                <w:tcPr>
                  <w:tcW w:w="351" w:type="pct"/>
                  <w:vAlign w:val="center"/>
                </w:tcPr>
                <w:p w14:paraId="3F2A10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85</w:t>
                  </w:r>
                </w:p>
              </w:tc>
              <w:tc>
                <w:tcPr>
                  <w:tcW w:w="404" w:type="pct"/>
                  <w:vMerge w:val="continue"/>
                  <w:vAlign w:val="center"/>
                </w:tcPr>
                <w:p w14:paraId="4BCD59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1FEFF3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123.2</w:t>
                  </w:r>
                </w:p>
              </w:tc>
              <w:tc>
                <w:tcPr>
                  <w:tcW w:w="433" w:type="pct"/>
                  <w:vAlign w:val="center"/>
                </w:tcPr>
                <w:p w14:paraId="534BE1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95.9</w:t>
                  </w:r>
                </w:p>
              </w:tc>
              <w:tc>
                <w:tcPr>
                  <w:tcW w:w="256" w:type="pct"/>
                  <w:vAlign w:val="center"/>
                </w:tcPr>
                <w:p w14:paraId="212582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3714FB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10</w:t>
                  </w:r>
                </w:p>
              </w:tc>
              <w:tc>
                <w:tcPr>
                  <w:tcW w:w="618" w:type="dxa"/>
                  <w:vAlign w:val="center"/>
                </w:tcPr>
                <w:p w14:paraId="3AFE66F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65</w:t>
                  </w:r>
                </w:p>
              </w:tc>
              <w:tc>
                <w:tcPr>
                  <w:tcW w:w="324" w:type="pct"/>
                  <w:vMerge w:val="continue"/>
                  <w:vAlign w:val="center"/>
                </w:tcPr>
                <w:p w14:paraId="4CC171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34308A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45384AE7">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316" w:type="pct"/>
                  <w:vAlign w:val="center"/>
                </w:tcPr>
                <w:p w14:paraId="1B9E60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0F427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3AD2D2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3</w:t>
                  </w:r>
                </w:p>
              </w:tc>
              <w:tc>
                <w:tcPr>
                  <w:tcW w:w="223" w:type="pct"/>
                  <w:vMerge w:val="continue"/>
                  <w:vAlign w:val="center"/>
                </w:tcPr>
                <w:p w14:paraId="44ED7D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6600FD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烘干机</w:t>
                  </w:r>
                </w:p>
              </w:tc>
              <w:tc>
                <w:tcPr>
                  <w:tcW w:w="351" w:type="pct"/>
                  <w:vAlign w:val="center"/>
                </w:tcPr>
                <w:p w14:paraId="4F15FF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90</w:t>
                  </w:r>
                </w:p>
              </w:tc>
              <w:tc>
                <w:tcPr>
                  <w:tcW w:w="404" w:type="pct"/>
                  <w:vMerge w:val="continue"/>
                  <w:vAlign w:val="center"/>
                </w:tcPr>
                <w:p w14:paraId="19F9F9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25E47F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105.68</w:t>
                  </w:r>
                </w:p>
              </w:tc>
              <w:tc>
                <w:tcPr>
                  <w:tcW w:w="433" w:type="pct"/>
                  <w:vAlign w:val="center"/>
                </w:tcPr>
                <w:p w14:paraId="4A041A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96.82</w:t>
                  </w:r>
                </w:p>
              </w:tc>
              <w:tc>
                <w:tcPr>
                  <w:tcW w:w="256" w:type="pct"/>
                  <w:vAlign w:val="center"/>
                </w:tcPr>
                <w:p w14:paraId="1A6809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409" w:type="pct"/>
                  <w:vAlign w:val="center"/>
                </w:tcPr>
                <w:p w14:paraId="243927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16</w:t>
                  </w:r>
                </w:p>
              </w:tc>
              <w:tc>
                <w:tcPr>
                  <w:tcW w:w="618" w:type="dxa"/>
                  <w:vAlign w:val="center"/>
                </w:tcPr>
                <w:p w14:paraId="3FBDE3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66</w:t>
                  </w:r>
                </w:p>
              </w:tc>
              <w:tc>
                <w:tcPr>
                  <w:tcW w:w="324" w:type="pct"/>
                  <w:vMerge w:val="continue"/>
                  <w:vAlign w:val="center"/>
                </w:tcPr>
                <w:p w14:paraId="72D434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51E52A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5FABCDD6">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51</w:t>
                  </w:r>
                </w:p>
              </w:tc>
              <w:tc>
                <w:tcPr>
                  <w:tcW w:w="316" w:type="pct"/>
                  <w:vAlign w:val="center"/>
                </w:tcPr>
                <w:p w14:paraId="5D0476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04956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047162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4</w:t>
                  </w:r>
                </w:p>
              </w:tc>
              <w:tc>
                <w:tcPr>
                  <w:tcW w:w="223" w:type="pct"/>
                  <w:vMerge w:val="continue"/>
                  <w:vAlign w:val="center"/>
                </w:tcPr>
                <w:p w14:paraId="0CE57A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5AAB708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引风机</w:t>
                  </w:r>
                </w:p>
              </w:tc>
              <w:tc>
                <w:tcPr>
                  <w:tcW w:w="351" w:type="pct"/>
                  <w:vAlign w:val="center"/>
                </w:tcPr>
                <w:p w14:paraId="7E08F59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90</w:t>
                  </w:r>
                </w:p>
              </w:tc>
              <w:tc>
                <w:tcPr>
                  <w:tcW w:w="404" w:type="pct"/>
                  <w:vMerge w:val="continue"/>
                  <w:vAlign w:val="center"/>
                </w:tcPr>
                <w:p w14:paraId="38C24F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1178D9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112.59</w:t>
                  </w:r>
                </w:p>
              </w:tc>
              <w:tc>
                <w:tcPr>
                  <w:tcW w:w="433" w:type="pct"/>
                  <w:vAlign w:val="center"/>
                </w:tcPr>
                <w:p w14:paraId="643347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96.82</w:t>
                  </w:r>
                </w:p>
              </w:tc>
              <w:tc>
                <w:tcPr>
                  <w:tcW w:w="256" w:type="pct"/>
                  <w:vAlign w:val="center"/>
                </w:tcPr>
                <w:p w14:paraId="1E56CF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035213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w:t>
                  </w:r>
                </w:p>
              </w:tc>
              <w:tc>
                <w:tcPr>
                  <w:tcW w:w="618" w:type="dxa"/>
                  <w:vAlign w:val="center"/>
                </w:tcPr>
                <w:p w14:paraId="7EBFC6B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71</w:t>
                  </w:r>
                </w:p>
              </w:tc>
              <w:tc>
                <w:tcPr>
                  <w:tcW w:w="324" w:type="pct"/>
                  <w:vMerge w:val="continue"/>
                  <w:vAlign w:val="center"/>
                </w:tcPr>
                <w:p w14:paraId="1E3721F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441ED6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6E0D2C36">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316" w:type="pct"/>
                  <w:vAlign w:val="center"/>
                </w:tcPr>
                <w:p w14:paraId="0A65F5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04BF8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724792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5</w:t>
                  </w:r>
                </w:p>
              </w:tc>
              <w:tc>
                <w:tcPr>
                  <w:tcW w:w="223" w:type="pct"/>
                  <w:vMerge w:val="restart"/>
                  <w:vAlign w:val="center"/>
                </w:tcPr>
                <w:p w14:paraId="3EC6C7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二级烘干粉碎车间</w:t>
                  </w:r>
                </w:p>
              </w:tc>
              <w:tc>
                <w:tcPr>
                  <w:tcW w:w="491" w:type="pct"/>
                  <w:vAlign w:val="center"/>
                </w:tcPr>
                <w:p w14:paraId="6ADFC7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烘干箱</w:t>
                  </w:r>
                </w:p>
              </w:tc>
              <w:tc>
                <w:tcPr>
                  <w:tcW w:w="351" w:type="pct"/>
                  <w:vAlign w:val="center"/>
                </w:tcPr>
                <w:p w14:paraId="2601B3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90</w:t>
                  </w:r>
                </w:p>
              </w:tc>
              <w:tc>
                <w:tcPr>
                  <w:tcW w:w="404" w:type="pct"/>
                  <w:vMerge w:val="continue"/>
                  <w:vAlign w:val="center"/>
                </w:tcPr>
                <w:p w14:paraId="2A4006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75507A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105.68</w:t>
                  </w:r>
                </w:p>
              </w:tc>
              <w:tc>
                <w:tcPr>
                  <w:tcW w:w="433" w:type="pct"/>
                  <w:vAlign w:val="center"/>
                </w:tcPr>
                <w:p w14:paraId="2B81E0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96.82</w:t>
                  </w:r>
                </w:p>
              </w:tc>
              <w:tc>
                <w:tcPr>
                  <w:tcW w:w="256" w:type="pct"/>
                  <w:vAlign w:val="center"/>
                </w:tcPr>
                <w:p w14:paraId="30945C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409" w:type="pct"/>
                  <w:vAlign w:val="center"/>
                </w:tcPr>
                <w:p w14:paraId="46BA1C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w:t>
                  </w:r>
                </w:p>
              </w:tc>
              <w:tc>
                <w:tcPr>
                  <w:tcW w:w="618" w:type="dxa"/>
                  <w:vAlign w:val="center"/>
                </w:tcPr>
                <w:p w14:paraId="6CD1879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324" w:type="pct"/>
                  <w:vMerge w:val="continue"/>
                  <w:vAlign w:val="center"/>
                </w:tcPr>
                <w:p w14:paraId="3D4C7A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3A0F48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775BAFBB">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57</w:t>
                  </w:r>
                </w:p>
              </w:tc>
              <w:tc>
                <w:tcPr>
                  <w:tcW w:w="316" w:type="pct"/>
                  <w:vAlign w:val="center"/>
                </w:tcPr>
                <w:p w14:paraId="137183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60F19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4356E4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6</w:t>
                  </w:r>
                </w:p>
              </w:tc>
              <w:tc>
                <w:tcPr>
                  <w:tcW w:w="223" w:type="pct"/>
                  <w:vMerge w:val="continue"/>
                  <w:vAlign w:val="center"/>
                </w:tcPr>
                <w:p w14:paraId="7783DF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192462F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引风机</w:t>
                  </w:r>
                </w:p>
              </w:tc>
              <w:tc>
                <w:tcPr>
                  <w:tcW w:w="351" w:type="pct"/>
                  <w:vAlign w:val="center"/>
                </w:tcPr>
                <w:p w14:paraId="23F66F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95</w:t>
                  </w:r>
                </w:p>
              </w:tc>
              <w:tc>
                <w:tcPr>
                  <w:tcW w:w="404" w:type="pct"/>
                  <w:vMerge w:val="continue"/>
                  <w:vAlign w:val="center"/>
                </w:tcPr>
                <w:p w14:paraId="401DC1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50A486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112.5  9</w:t>
                  </w:r>
                </w:p>
              </w:tc>
              <w:tc>
                <w:tcPr>
                  <w:tcW w:w="433" w:type="pct"/>
                  <w:vAlign w:val="center"/>
                </w:tcPr>
                <w:p w14:paraId="52D500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 xml:space="preserve"> 96. 82 </w:t>
                  </w:r>
                </w:p>
              </w:tc>
              <w:tc>
                <w:tcPr>
                  <w:tcW w:w="256" w:type="pct"/>
                  <w:vAlign w:val="center"/>
                </w:tcPr>
                <w:p w14:paraId="5075A38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4C0F6D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18" w:type="dxa"/>
                  <w:vAlign w:val="center"/>
                </w:tcPr>
                <w:p w14:paraId="06EF547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71</w:t>
                  </w:r>
                </w:p>
              </w:tc>
              <w:tc>
                <w:tcPr>
                  <w:tcW w:w="324" w:type="pct"/>
                  <w:vMerge w:val="continue"/>
                  <w:vAlign w:val="center"/>
                </w:tcPr>
                <w:p w14:paraId="268788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387992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2AF49BA0">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316" w:type="pct"/>
                  <w:vAlign w:val="center"/>
                </w:tcPr>
                <w:p w14:paraId="05030C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25118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2F39C9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7</w:t>
                  </w:r>
                </w:p>
              </w:tc>
              <w:tc>
                <w:tcPr>
                  <w:tcW w:w="223" w:type="pct"/>
                  <w:vMerge w:val="continue"/>
                  <w:vAlign w:val="center"/>
                </w:tcPr>
                <w:p w14:paraId="56EB04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1113CC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冷却风机</w:t>
                  </w:r>
                </w:p>
              </w:tc>
              <w:tc>
                <w:tcPr>
                  <w:tcW w:w="351" w:type="pct"/>
                  <w:vAlign w:val="center"/>
                </w:tcPr>
                <w:p w14:paraId="3F96BE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65</w:t>
                  </w:r>
                </w:p>
              </w:tc>
              <w:tc>
                <w:tcPr>
                  <w:tcW w:w="404" w:type="pct"/>
                  <w:vMerge w:val="continue"/>
                  <w:vAlign w:val="center"/>
                </w:tcPr>
                <w:p w14:paraId="150F73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0CBF92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92.77</w:t>
                  </w:r>
                </w:p>
              </w:tc>
              <w:tc>
                <w:tcPr>
                  <w:tcW w:w="433" w:type="pct"/>
                  <w:vAlign w:val="center"/>
                </w:tcPr>
                <w:p w14:paraId="2C587B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56.71</w:t>
                  </w:r>
                </w:p>
              </w:tc>
              <w:tc>
                <w:tcPr>
                  <w:tcW w:w="256" w:type="pct"/>
                  <w:vAlign w:val="center"/>
                </w:tcPr>
                <w:p w14:paraId="598BA5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5D64B3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16</w:t>
                  </w:r>
                </w:p>
              </w:tc>
              <w:tc>
                <w:tcPr>
                  <w:tcW w:w="618" w:type="dxa"/>
                  <w:vAlign w:val="center"/>
                </w:tcPr>
                <w:p w14:paraId="7B3E12F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41</w:t>
                  </w:r>
                </w:p>
              </w:tc>
              <w:tc>
                <w:tcPr>
                  <w:tcW w:w="324" w:type="pct"/>
                  <w:vMerge w:val="continue"/>
                  <w:vAlign w:val="center"/>
                </w:tcPr>
                <w:p w14:paraId="176A70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6972CE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7455FF09">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26</w:t>
                  </w:r>
                </w:p>
              </w:tc>
              <w:tc>
                <w:tcPr>
                  <w:tcW w:w="316" w:type="pct"/>
                  <w:vAlign w:val="center"/>
                </w:tcPr>
                <w:p w14:paraId="2225F4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1848F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2D88A8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w:t>
                  </w:r>
                </w:p>
              </w:tc>
              <w:tc>
                <w:tcPr>
                  <w:tcW w:w="223" w:type="pct"/>
                  <w:vMerge w:val="continue"/>
                  <w:vAlign w:val="center"/>
                </w:tcPr>
                <w:p w14:paraId="6EC805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0A7A33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粉碎机</w:t>
                  </w:r>
                </w:p>
              </w:tc>
              <w:tc>
                <w:tcPr>
                  <w:tcW w:w="351" w:type="pct"/>
                  <w:vAlign w:val="center"/>
                </w:tcPr>
                <w:p w14:paraId="0D111E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70</w:t>
                  </w:r>
                </w:p>
              </w:tc>
              <w:tc>
                <w:tcPr>
                  <w:tcW w:w="404" w:type="pct"/>
                  <w:vMerge w:val="continue"/>
                  <w:vAlign w:val="center"/>
                </w:tcPr>
                <w:p w14:paraId="64DA31A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21B053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82.92</w:t>
                  </w:r>
                </w:p>
              </w:tc>
              <w:tc>
                <w:tcPr>
                  <w:tcW w:w="433" w:type="pct"/>
                  <w:vAlign w:val="center"/>
                </w:tcPr>
                <w:p w14:paraId="0470C8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80.44</w:t>
                  </w:r>
                </w:p>
              </w:tc>
              <w:tc>
                <w:tcPr>
                  <w:tcW w:w="256" w:type="pct"/>
                  <w:vAlign w:val="center"/>
                </w:tcPr>
                <w:p w14:paraId="75B8E44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409" w:type="pct"/>
                  <w:vAlign w:val="center"/>
                </w:tcPr>
                <w:p w14:paraId="511B8F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10</w:t>
                  </w:r>
                </w:p>
              </w:tc>
              <w:tc>
                <w:tcPr>
                  <w:tcW w:w="618" w:type="dxa"/>
                  <w:vAlign w:val="center"/>
                </w:tcPr>
                <w:p w14:paraId="2953817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324" w:type="pct"/>
                  <w:vMerge w:val="continue"/>
                  <w:vAlign w:val="center"/>
                </w:tcPr>
                <w:p w14:paraId="039A65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552E43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6ACFF788">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35</w:t>
                  </w:r>
                </w:p>
              </w:tc>
              <w:tc>
                <w:tcPr>
                  <w:tcW w:w="316" w:type="pct"/>
                  <w:vAlign w:val="center"/>
                </w:tcPr>
                <w:p w14:paraId="47580F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67906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42069A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w:t>
                  </w:r>
                </w:p>
              </w:tc>
              <w:tc>
                <w:tcPr>
                  <w:tcW w:w="223" w:type="pct"/>
                  <w:vMerge w:val="continue"/>
                  <w:vAlign w:val="center"/>
                </w:tcPr>
                <w:p w14:paraId="1271B00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2E7B4F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打包机</w:t>
                  </w:r>
                </w:p>
              </w:tc>
              <w:tc>
                <w:tcPr>
                  <w:tcW w:w="351" w:type="pct"/>
                  <w:vAlign w:val="center"/>
                </w:tcPr>
                <w:p w14:paraId="4BB2CD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82</w:t>
                  </w:r>
                </w:p>
              </w:tc>
              <w:tc>
                <w:tcPr>
                  <w:tcW w:w="404" w:type="pct"/>
                  <w:vMerge w:val="continue"/>
                  <w:vAlign w:val="center"/>
                </w:tcPr>
                <w:p w14:paraId="2587BA9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630DD4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83.02</w:t>
                  </w:r>
                </w:p>
              </w:tc>
              <w:tc>
                <w:tcPr>
                  <w:tcW w:w="433" w:type="pct"/>
                  <w:vAlign w:val="center"/>
                </w:tcPr>
                <w:p w14:paraId="24927B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41.96</w:t>
                  </w:r>
                </w:p>
              </w:tc>
              <w:tc>
                <w:tcPr>
                  <w:tcW w:w="256" w:type="pct"/>
                  <w:vAlign w:val="center"/>
                </w:tcPr>
                <w:p w14:paraId="22A60D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1.2</w:t>
                  </w:r>
                </w:p>
              </w:tc>
              <w:tc>
                <w:tcPr>
                  <w:tcW w:w="409" w:type="pct"/>
                  <w:vAlign w:val="center"/>
                </w:tcPr>
                <w:p w14:paraId="575052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10</w:t>
                  </w:r>
                </w:p>
              </w:tc>
              <w:tc>
                <w:tcPr>
                  <w:tcW w:w="618" w:type="dxa"/>
                  <w:vAlign w:val="center"/>
                </w:tcPr>
                <w:p w14:paraId="3F6DF5C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62</w:t>
                  </w:r>
                </w:p>
              </w:tc>
              <w:tc>
                <w:tcPr>
                  <w:tcW w:w="324" w:type="pct"/>
                  <w:vMerge w:val="continue"/>
                  <w:vAlign w:val="center"/>
                </w:tcPr>
                <w:p w14:paraId="787B5E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2FDEF1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16D6D611">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47</w:t>
                  </w:r>
                </w:p>
              </w:tc>
              <w:tc>
                <w:tcPr>
                  <w:tcW w:w="316" w:type="pct"/>
                  <w:vAlign w:val="center"/>
                </w:tcPr>
                <w:p w14:paraId="4ADEFC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37F3E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29339F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10</w:t>
                  </w:r>
                </w:p>
              </w:tc>
              <w:tc>
                <w:tcPr>
                  <w:tcW w:w="223" w:type="pct"/>
                  <w:vMerge w:val="continue"/>
                  <w:vAlign w:val="center"/>
                </w:tcPr>
                <w:p w14:paraId="3C7795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52A4A5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鼓风机</w:t>
                  </w:r>
                </w:p>
              </w:tc>
              <w:tc>
                <w:tcPr>
                  <w:tcW w:w="351" w:type="pct"/>
                  <w:vAlign w:val="center"/>
                </w:tcPr>
                <w:p w14:paraId="116406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85</w:t>
                  </w:r>
                </w:p>
              </w:tc>
              <w:tc>
                <w:tcPr>
                  <w:tcW w:w="404" w:type="pct"/>
                  <w:vMerge w:val="continue"/>
                  <w:vAlign w:val="center"/>
                </w:tcPr>
                <w:p w14:paraId="4566BB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1135BD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75.64</w:t>
                  </w:r>
                </w:p>
              </w:tc>
              <w:tc>
                <w:tcPr>
                  <w:tcW w:w="433" w:type="pct"/>
                  <w:vAlign w:val="center"/>
                </w:tcPr>
                <w:p w14:paraId="55A487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35.51</w:t>
                  </w:r>
                </w:p>
              </w:tc>
              <w:tc>
                <w:tcPr>
                  <w:tcW w:w="256" w:type="pct"/>
                  <w:vAlign w:val="center"/>
                </w:tcPr>
                <w:p w14:paraId="23DEF5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3B6B54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12</w:t>
                  </w:r>
                </w:p>
              </w:tc>
              <w:tc>
                <w:tcPr>
                  <w:tcW w:w="618" w:type="dxa"/>
                  <w:vAlign w:val="center"/>
                </w:tcPr>
                <w:p w14:paraId="1F8C105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63</w:t>
                  </w:r>
                </w:p>
              </w:tc>
              <w:tc>
                <w:tcPr>
                  <w:tcW w:w="324" w:type="pct"/>
                  <w:vMerge w:val="continue"/>
                  <w:vAlign w:val="center"/>
                </w:tcPr>
                <w:p w14:paraId="5B5C95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09F187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11DA06DC">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48</w:t>
                  </w:r>
                </w:p>
              </w:tc>
              <w:tc>
                <w:tcPr>
                  <w:tcW w:w="316" w:type="pct"/>
                  <w:vAlign w:val="center"/>
                </w:tcPr>
                <w:p w14:paraId="7445E1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281A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2214DFD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11</w:t>
                  </w:r>
                </w:p>
              </w:tc>
              <w:tc>
                <w:tcPr>
                  <w:tcW w:w="223" w:type="pct"/>
                  <w:vMerge w:val="restart"/>
                  <w:vAlign w:val="center"/>
                </w:tcPr>
                <w:p w14:paraId="15DD01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污水处理站</w:t>
                  </w:r>
                </w:p>
              </w:tc>
              <w:tc>
                <w:tcPr>
                  <w:tcW w:w="491" w:type="pct"/>
                  <w:vAlign w:val="center"/>
                </w:tcPr>
                <w:p w14:paraId="6A5800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固液</w:t>
                  </w:r>
                </w:p>
                <w:p w14:paraId="5A7DE2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分离机</w:t>
                  </w:r>
                </w:p>
              </w:tc>
              <w:tc>
                <w:tcPr>
                  <w:tcW w:w="351" w:type="pct"/>
                  <w:vAlign w:val="center"/>
                </w:tcPr>
                <w:p w14:paraId="2A5706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80</w:t>
                  </w:r>
                </w:p>
              </w:tc>
              <w:tc>
                <w:tcPr>
                  <w:tcW w:w="404" w:type="pct"/>
                  <w:vMerge w:val="continue"/>
                  <w:vAlign w:val="center"/>
                </w:tcPr>
                <w:p w14:paraId="679BE3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6269A9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48.44</w:t>
                  </w:r>
                </w:p>
              </w:tc>
              <w:tc>
                <w:tcPr>
                  <w:tcW w:w="433" w:type="pct"/>
                  <w:vAlign w:val="center"/>
                </w:tcPr>
                <w:p w14:paraId="0AAA97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10.15</w:t>
                  </w:r>
                </w:p>
              </w:tc>
              <w:tc>
                <w:tcPr>
                  <w:tcW w:w="256" w:type="pct"/>
                  <w:vAlign w:val="center"/>
                </w:tcPr>
                <w:p w14:paraId="4D78DA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306603F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5</w:t>
                  </w:r>
                </w:p>
              </w:tc>
              <w:tc>
                <w:tcPr>
                  <w:tcW w:w="618" w:type="dxa"/>
                  <w:vAlign w:val="center"/>
                </w:tcPr>
                <w:p w14:paraId="54B29D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66</w:t>
                  </w:r>
                </w:p>
              </w:tc>
              <w:tc>
                <w:tcPr>
                  <w:tcW w:w="324" w:type="pct"/>
                  <w:vMerge w:val="restart"/>
                  <w:vAlign w:val="center"/>
                </w:tcPr>
                <w:p w14:paraId="63540C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昼间</w:t>
                  </w:r>
                </w:p>
              </w:tc>
              <w:tc>
                <w:tcPr>
                  <w:tcW w:w="386" w:type="pct"/>
                  <w:vAlign w:val="center"/>
                </w:tcPr>
                <w:p w14:paraId="2A7E22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43FC570A">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51</w:t>
                  </w:r>
                </w:p>
              </w:tc>
              <w:tc>
                <w:tcPr>
                  <w:tcW w:w="316" w:type="pct"/>
                  <w:vAlign w:val="center"/>
                </w:tcPr>
                <w:p w14:paraId="42A3FC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45617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0EC217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12</w:t>
                  </w:r>
                </w:p>
              </w:tc>
              <w:tc>
                <w:tcPr>
                  <w:tcW w:w="223" w:type="pct"/>
                  <w:vMerge w:val="continue"/>
                  <w:vAlign w:val="center"/>
                </w:tcPr>
                <w:p w14:paraId="47000F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0EF3B0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潜水</w:t>
                  </w:r>
                </w:p>
                <w:p w14:paraId="686598F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搅拌机</w:t>
                  </w:r>
                </w:p>
              </w:tc>
              <w:tc>
                <w:tcPr>
                  <w:tcW w:w="351" w:type="pct"/>
                  <w:vAlign w:val="center"/>
                </w:tcPr>
                <w:p w14:paraId="1CAA1C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85</w:t>
                  </w:r>
                </w:p>
              </w:tc>
              <w:tc>
                <w:tcPr>
                  <w:tcW w:w="404" w:type="pct"/>
                  <w:vMerge w:val="continue"/>
                  <w:vAlign w:val="center"/>
                </w:tcPr>
                <w:p w14:paraId="450188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66E1D9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41.07</w:t>
                  </w:r>
                </w:p>
              </w:tc>
              <w:tc>
                <w:tcPr>
                  <w:tcW w:w="433" w:type="pct"/>
                  <w:vAlign w:val="center"/>
                </w:tcPr>
                <w:p w14:paraId="0152A8E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4.16</w:t>
                  </w:r>
                </w:p>
              </w:tc>
              <w:tc>
                <w:tcPr>
                  <w:tcW w:w="256" w:type="pct"/>
                  <w:vAlign w:val="center"/>
                </w:tcPr>
                <w:p w14:paraId="5B2602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5C3F9F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w:t>
                  </w:r>
                </w:p>
              </w:tc>
              <w:tc>
                <w:tcPr>
                  <w:tcW w:w="618" w:type="dxa"/>
                  <w:vAlign w:val="center"/>
                </w:tcPr>
                <w:p w14:paraId="0FC85C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79</w:t>
                  </w:r>
                </w:p>
              </w:tc>
              <w:tc>
                <w:tcPr>
                  <w:tcW w:w="324" w:type="pct"/>
                  <w:vMerge w:val="continue"/>
                  <w:vAlign w:val="center"/>
                </w:tcPr>
                <w:p w14:paraId="1487E3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3C4201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4B322CE0">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64</w:t>
                  </w:r>
                </w:p>
              </w:tc>
              <w:tc>
                <w:tcPr>
                  <w:tcW w:w="316" w:type="pct"/>
                  <w:vAlign w:val="center"/>
                </w:tcPr>
                <w:p w14:paraId="5EF057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3450D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46E292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13</w:t>
                  </w:r>
                </w:p>
              </w:tc>
              <w:tc>
                <w:tcPr>
                  <w:tcW w:w="223" w:type="pct"/>
                  <w:vMerge w:val="continue"/>
                  <w:vAlign w:val="center"/>
                </w:tcPr>
                <w:p w14:paraId="7D225D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5CED30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气浮</w:t>
                  </w:r>
                </w:p>
                <w:p w14:paraId="2A718E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一体机</w:t>
                  </w:r>
                </w:p>
              </w:tc>
              <w:tc>
                <w:tcPr>
                  <w:tcW w:w="351" w:type="pct"/>
                  <w:vAlign w:val="center"/>
                </w:tcPr>
                <w:p w14:paraId="6169CD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82</w:t>
                  </w:r>
                </w:p>
              </w:tc>
              <w:tc>
                <w:tcPr>
                  <w:tcW w:w="404" w:type="pct"/>
                  <w:vMerge w:val="continue"/>
                  <w:vAlign w:val="center"/>
                </w:tcPr>
                <w:p w14:paraId="32F56C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0C55CA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38.76</w:t>
                  </w:r>
                </w:p>
              </w:tc>
              <w:tc>
                <w:tcPr>
                  <w:tcW w:w="433" w:type="pct"/>
                  <w:vAlign w:val="center"/>
                </w:tcPr>
                <w:p w14:paraId="525345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7.38</w:t>
                  </w:r>
                </w:p>
              </w:tc>
              <w:tc>
                <w:tcPr>
                  <w:tcW w:w="256" w:type="pct"/>
                  <w:vAlign w:val="center"/>
                </w:tcPr>
                <w:p w14:paraId="5FAC0C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1.2</w:t>
                  </w:r>
                </w:p>
              </w:tc>
              <w:tc>
                <w:tcPr>
                  <w:tcW w:w="409" w:type="pct"/>
                  <w:vAlign w:val="center"/>
                </w:tcPr>
                <w:p w14:paraId="6659DD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4</w:t>
                  </w:r>
                </w:p>
              </w:tc>
              <w:tc>
                <w:tcPr>
                  <w:tcW w:w="618" w:type="dxa"/>
                  <w:vAlign w:val="center"/>
                </w:tcPr>
                <w:p w14:paraId="2084E2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70</w:t>
                  </w:r>
                </w:p>
              </w:tc>
              <w:tc>
                <w:tcPr>
                  <w:tcW w:w="324" w:type="pct"/>
                  <w:vMerge w:val="continue"/>
                  <w:vAlign w:val="center"/>
                </w:tcPr>
                <w:p w14:paraId="24F6F1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3095489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6A0E5BE3">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55</w:t>
                  </w:r>
                </w:p>
              </w:tc>
              <w:tc>
                <w:tcPr>
                  <w:tcW w:w="316" w:type="pct"/>
                  <w:vAlign w:val="center"/>
                </w:tcPr>
                <w:p w14:paraId="43E7F2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18925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1B9369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14</w:t>
                  </w:r>
                </w:p>
              </w:tc>
              <w:tc>
                <w:tcPr>
                  <w:tcW w:w="223" w:type="pct"/>
                  <w:vMerge w:val="continue"/>
                  <w:vAlign w:val="center"/>
                </w:tcPr>
                <w:p w14:paraId="0141BC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36FC581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污水</w:t>
                  </w:r>
                </w:p>
                <w:p w14:paraId="51E251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提升泵</w:t>
                  </w:r>
                </w:p>
              </w:tc>
              <w:tc>
                <w:tcPr>
                  <w:tcW w:w="351" w:type="pct"/>
                  <w:vAlign w:val="center"/>
                </w:tcPr>
                <w:p w14:paraId="725239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90</w:t>
                  </w:r>
                </w:p>
              </w:tc>
              <w:tc>
                <w:tcPr>
                  <w:tcW w:w="404" w:type="pct"/>
                  <w:vMerge w:val="continue"/>
                  <w:vAlign w:val="center"/>
                </w:tcPr>
                <w:p w14:paraId="577B2B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2B32CB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32.37</w:t>
                  </w:r>
                </w:p>
              </w:tc>
              <w:tc>
                <w:tcPr>
                  <w:tcW w:w="433" w:type="pct"/>
                  <w:vAlign w:val="center"/>
                </w:tcPr>
                <w:p w14:paraId="56BAF1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-0.13</w:t>
                  </w:r>
                </w:p>
              </w:tc>
              <w:tc>
                <w:tcPr>
                  <w:tcW w:w="256" w:type="pct"/>
                  <w:vAlign w:val="center"/>
                </w:tcPr>
                <w:p w14:paraId="5CD35C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337FB7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5</w:t>
                  </w:r>
                </w:p>
              </w:tc>
              <w:tc>
                <w:tcPr>
                  <w:tcW w:w="618" w:type="dxa"/>
                  <w:vAlign w:val="center"/>
                </w:tcPr>
                <w:p w14:paraId="45B7C28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76</w:t>
                  </w:r>
                </w:p>
              </w:tc>
              <w:tc>
                <w:tcPr>
                  <w:tcW w:w="324" w:type="pct"/>
                  <w:vMerge w:val="restart"/>
                  <w:vAlign w:val="center"/>
                </w:tcPr>
                <w:p w14:paraId="35AE36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昼夜</w:t>
                  </w:r>
                </w:p>
              </w:tc>
              <w:tc>
                <w:tcPr>
                  <w:tcW w:w="386" w:type="pct"/>
                  <w:vAlign w:val="center"/>
                </w:tcPr>
                <w:p w14:paraId="77697E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25271573">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61</w:t>
                  </w:r>
                </w:p>
              </w:tc>
              <w:tc>
                <w:tcPr>
                  <w:tcW w:w="316" w:type="pct"/>
                  <w:vAlign w:val="center"/>
                </w:tcPr>
                <w:p w14:paraId="676E96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52F4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40BD8B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223" w:type="pct"/>
                  <w:vMerge w:val="continue"/>
                  <w:vAlign w:val="center"/>
                </w:tcPr>
                <w:p w14:paraId="42A625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4692DF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污水</w:t>
                  </w:r>
                </w:p>
                <w:p w14:paraId="7B08E5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提升泵2</w:t>
                  </w:r>
                </w:p>
              </w:tc>
              <w:tc>
                <w:tcPr>
                  <w:tcW w:w="351" w:type="pct"/>
                  <w:vAlign w:val="center"/>
                </w:tcPr>
                <w:p w14:paraId="1F6331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90</w:t>
                  </w:r>
                </w:p>
              </w:tc>
              <w:tc>
                <w:tcPr>
                  <w:tcW w:w="404" w:type="pct"/>
                  <w:vMerge w:val="continue"/>
                  <w:vAlign w:val="center"/>
                </w:tcPr>
                <w:p w14:paraId="3B67FB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1F308F0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29.8</w:t>
                  </w:r>
                </w:p>
              </w:tc>
              <w:tc>
                <w:tcPr>
                  <w:tcW w:w="433" w:type="pct"/>
                  <w:vAlign w:val="center"/>
                </w:tcPr>
                <w:p w14:paraId="24EB90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-2.63</w:t>
                  </w:r>
                </w:p>
              </w:tc>
              <w:tc>
                <w:tcPr>
                  <w:tcW w:w="256" w:type="pct"/>
                  <w:vAlign w:val="center"/>
                </w:tcPr>
                <w:p w14:paraId="7C0414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439D0B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5</w:t>
                  </w:r>
                </w:p>
              </w:tc>
              <w:tc>
                <w:tcPr>
                  <w:tcW w:w="618" w:type="dxa"/>
                  <w:vAlign w:val="center"/>
                </w:tcPr>
                <w:p w14:paraId="7AD8A44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76</w:t>
                  </w:r>
                </w:p>
              </w:tc>
              <w:tc>
                <w:tcPr>
                  <w:tcW w:w="324" w:type="pct"/>
                  <w:vMerge w:val="continue"/>
                  <w:vAlign w:val="center"/>
                </w:tcPr>
                <w:p w14:paraId="64234E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398EFC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3D70DBB4">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61</w:t>
                  </w:r>
                </w:p>
              </w:tc>
              <w:tc>
                <w:tcPr>
                  <w:tcW w:w="316" w:type="pct"/>
                  <w:vAlign w:val="center"/>
                </w:tcPr>
                <w:p w14:paraId="2DA94C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3817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7BB2EF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16</w:t>
                  </w:r>
                </w:p>
              </w:tc>
              <w:tc>
                <w:tcPr>
                  <w:tcW w:w="223" w:type="pct"/>
                  <w:vMerge w:val="continue"/>
                  <w:vAlign w:val="center"/>
                </w:tcPr>
                <w:p w14:paraId="1A99A4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151D3C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污泥</w:t>
                  </w:r>
                </w:p>
                <w:p w14:paraId="1352A2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回流泵</w:t>
                  </w:r>
                </w:p>
              </w:tc>
              <w:tc>
                <w:tcPr>
                  <w:tcW w:w="351" w:type="pct"/>
                  <w:vAlign w:val="center"/>
                </w:tcPr>
                <w:p w14:paraId="64303A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90</w:t>
                  </w:r>
                </w:p>
              </w:tc>
              <w:tc>
                <w:tcPr>
                  <w:tcW w:w="404" w:type="pct"/>
                  <w:vMerge w:val="continue"/>
                  <w:vAlign w:val="center"/>
                </w:tcPr>
                <w:p w14:paraId="2932B7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19BAE1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24.87</w:t>
                  </w:r>
                </w:p>
              </w:tc>
              <w:tc>
                <w:tcPr>
                  <w:tcW w:w="433" w:type="pct"/>
                  <w:vAlign w:val="center"/>
                </w:tcPr>
                <w:p w14:paraId="316F48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-9.76</w:t>
                  </w:r>
                </w:p>
              </w:tc>
              <w:tc>
                <w:tcPr>
                  <w:tcW w:w="256" w:type="pct"/>
                  <w:vAlign w:val="center"/>
                </w:tcPr>
                <w:p w14:paraId="152D69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0A2EA6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5.5</w:t>
                  </w:r>
                </w:p>
              </w:tc>
              <w:tc>
                <w:tcPr>
                  <w:tcW w:w="618" w:type="dxa"/>
                  <w:vAlign w:val="center"/>
                </w:tcPr>
                <w:p w14:paraId="3AB9B7F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75</w:t>
                  </w:r>
                </w:p>
              </w:tc>
              <w:tc>
                <w:tcPr>
                  <w:tcW w:w="324" w:type="pct"/>
                  <w:vMerge w:val="restart"/>
                  <w:vAlign w:val="center"/>
                </w:tcPr>
                <w:p w14:paraId="01D423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昼间</w:t>
                  </w:r>
                </w:p>
              </w:tc>
              <w:tc>
                <w:tcPr>
                  <w:tcW w:w="386" w:type="pct"/>
                  <w:vAlign w:val="center"/>
                </w:tcPr>
                <w:p w14:paraId="42564D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03D559DE">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60</w:t>
                  </w:r>
                </w:p>
              </w:tc>
              <w:tc>
                <w:tcPr>
                  <w:tcW w:w="316" w:type="pct"/>
                  <w:vAlign w:val="center"/>
                </w:tcPr>
                <w:p w14:paraId="2AE541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434B5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7EDFDB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17</w:t>
                  </w:r>
                </w:p>
              </w:tc>
              <w:tc>
                <w:tcPr>
                  <w:tcW w:w="223" w:type="pct"/>
                  <w:vMerge w:val="continue"/>
                  <w:vAlign w:val="center"/>
                </w:tcPr>
                <w:p w14:paraId="6CF91E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12FBC4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油烟</w:t>
                  </w:r>
                </w:p>
                <w:p w14:paraId="2C1045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净化器</w:t>
                  </w:r>
                </w:p>
              </w:tc>
              <w:tc>
                <w:tcPr>
                  <w:tcW w:w="351" w:type="pct"/>
                  <w:vAlign w:val="center"/>
                </w:tcPr>
                <w:p w14:paraId="075021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65</w:t>
                  </w:r>
                </w:p>
              </w:tc>
              <w:tc>
                <w:tcPr>
                  <w:tcW w:w="404" w:type="pct"/>
                  <w:vMerge w:val="continue"/>
                  <w:vAlign w:val="center"/>
                </w:tcPr>
                <w:p w14:paraId="283258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2E841E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8.23</w:t>
                  </w:r>
                </w:p>
              </w:tc>
              <w:tc>
                <w:tcPr>
                  <w:tcW w:w="433" w:type="pct"/>
                  <w:vAlign w:val="center"/>
                </w:tcPr>
                <w:p w14:paraId="1D9724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-27.42</w:t>
                  </w:r>
                </w:p>
              </w:tc>
              <w:tc>
                <w:tcPr>
                  <w:tcW w:w="256" w:type="pct"/>
                  <w:vAlign w:val="center"/>
                </w:tcPr>
                <w:p w14:paraId="4A5F6C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w:t>
                  </w:r>
                </w:p>
              </w:tc>
              <w:tc>
                <w:tcPr>
                  <w:tcW w:w="409" w:type="pct"/>
                  <w:vAlign w:val="center"/>
                </w:tcPr>
                <w:p w14:paraId="49CEB6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5.3</w:t>
                  </w:r>
                </w:p>
              </w:tc>
              <w:tc>
                <w:tcPr>
                  <w:tcW w:w="618" w:type="dxa"/>
                  <w:vAlign w:val="center"/>
                </w:tcPr>
                <w:p w14:paraId="1A4CD0E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51</w:t>
                  </w:r>
                </w:p>
              </w:tc>
              <w:tc>
                <w:tcPr>
                  <w:tcW w:w="324" w:type="pct"/>
                  <w:vMerge w:val="continue"/>
                  <w:vAlign w:val="center"/>
                </w:tcPr>
                <w:p w14:paraId="0FF725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175B1C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1D5A6D3A">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36</w:t>
                  </w:r>
                </w:p>
              </w:tc>
              <w:tc>
                <w:tcPr>
                  <w:tcW w:w="316" w:type="pct"/>
                  <w:vAlign w:val="center"/>
                </w:tcPr>
                <w:p w14:paraId="311D12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35A9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3B9951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18</w:t>
                  </w:r>
                </w:p>
              </w:tc>
              <w:tc>
                <w:tcPr>
                  <w:tcW w:w="223" w:type="pct"/>
                  <w:vMerge w:val="continue"/>
                  <w:vAlign w:val="center"/>
                </w:tcPr>
                <w:p w14:paraId="03E566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12A925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叠螺机</w:t>
                  </w:r>
                </w:p>
              </w:tc>
              <w:tc>
                <w:tcPr>
                  <w:tcW w:w="351" w:type="pct"/>
                  <w:vAlign w:val="center"/>
                </w:tcPr>
                <w:p w14:paraId="7E011B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85</w:t>
                  </w:r>
                </w:p>
              </w:tc>
              <w:tc>
                <w:tcPr>
                  <w:tcW w:w="404" w:type="pct"/>
                  <w:vMerge w:val="continue"/>
                  <w:vAlign w:val="center"/>
                </w:tcPr>
                <w:p w14:paraId="0B9B35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5C5642E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53.69</w:t>
                  </w:r>
                </w:p>
              </w:tc>
              <w:tc>
                <w:tcPr>
                  <w:tcW w:w="433" w:type="pct"/>
                  <w:vAlign w:val="center"/>
                </w:tcPr>
                <w:p w14:paraId="74512D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12.3</w:t>
                  </w:r>
                </w:p>
              </w:tc>
              <w:tc>
                <w:tcPr>
                  <w:tcW w:w="256" w:type="pct"/>
                  <w:vAlign w:val="center"/>
                </w:tcPr>
                <w:p w14:paraId="695C863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1D94C1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6</w:t>
                  </w:r>
                </w:p>
              </w:tc>
              <w:tc>
                <w:tcPr>
                  <w:tcW w:w="618" w:type="dxa"/>
                  <w:vAlign w:val="center"/>
                </w:tcPr>
                <w:p w14:paraId="6EC55CC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69</w:t>
                  </w:r>
                </w:p>
              </w:tc>
              <w:tc>
                <w:tcPr>
                  <w:tcW w:w="324" w:type="pct"/>
                  <w:vMerge w:val="continue"/>
                  <w:vAlign w:val="center"/>
                </w:tcPr>
                <w:p w14:paraId="248449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01F287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50472FA5">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54</w:t>
                  </w:r>
                </w:p>
              </w:tc>
              <w:tc>
                <w:tcPr>
                  <w:tcW w:w="316" w:type="pct"/>
                  <w:vAlign w:val="center"/>
                </w:tcPr>
                <w:p w14:paraId="55FBBD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14CCB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4D6132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19</w:t>
                  </w:r>
                </w:p>
              </w:tc>
              <w:tc>
                <w:tcPr>
                  <w:tcW w:w="223" w:type="pct"/>
                  <w:vMerge w:val="continue"/>
                  <w:vAlign w:val="center"/>
                </w:tcPr>
                <w:p w14:paraId="24E497F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70A78D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叠螺机2</w:t>
                  </w:r>
                </w:p>
              </w:tc>
              <w:tc>
                <w:tcPr>
                  <w:tcW w:w="351" w:type="pct"/>
                  <w:vAlign w:val="center"/>
                </w:tcPr>
                <w:p w14:paraId="66DE7B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85</w:t>
                  </w:r>
                </w:p>
              </w:tc>
              <w:tc>
                <w:tcPr>
                  <w:tcW w:w="404" w:type="pct"/>
                  <w:vMerge w:val="continue"/>
                  <w:vAlign w:val="center"/>
                </w:tcPr>
                <w:p w14:paraId="0040BD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4EAE95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50.24</w:t>
                  </w:r>
                </w:p>
              </w:tc>
              <w:tc>
                <w:tcPr>
                  <w:tcW w:w="433" w:type="pct"/>
                  <w:vAlign w:val="center"/>
                </w:tcPr>
                <w:p w14:paraId="1AACDF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15.01</w:t>
                  </w:r>
                </w:p>
              </w:tc>
              <w:tc>
                <w:tcPr>
                  <w:tcW w:w="256" w:type="pct"/>
                  <w:vAlign w:val="center"/>
                </w:tcPr>
                <w:p w14:paraId="750BE0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63A9E3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w:t>
                  </w:r>
                </w:p>
              </w:tc>
              <w:tc>
                <w:tcPr>
                  <w:tcW w:w="618" w:type="dxa"/>
                  <w:vAlign w:val="center"/>
                </w:tcPr>
                <w:p w14:paraId="077F643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67</w:t>
                  </w:r>
                </w:p>
              </w:tc>
              <w:tc>
                <w:tcPr>
                  <w:tcW w:w="324" w:type="pct"/>
                  <w:vMerge w:val="continue"/>
                  <w:vAlign w:val="center"/>
                </w:tcPr>
                <w:p w14:paraId="3D346F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1FABC2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1B4C572F">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52</w:t>
                  </w:r>
                </w:p>
              </w:tc>
              <w:tc>
                <w:tcPr>
                  <w:tcW w:w="316" w:type="pct"/>
                  <w:vAlign w:val="center"/>
                </w:tcPr>
                <w:p w14:paraId="5AB9610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11C40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0D2D52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20</w:t>
                  </w:r>
                </w:p>
              </w:tc>
              <w:tc>
                <w:tcPr>
                  <w:tcW w:w="223" w:type="pct"/>
                  <w:vMerge w:val="restart"/>
                  <w:vAlign w:val="center"/>
                </w:tcPr>
                <w:p w14:paraId="1EC877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lang w:eastAsia="zh-CN"/>
                    </w:rPr>
                    <w:t>液体复合微生物肥</w:t>
                  </w:r>
                  <w:r>
                    <w:rPr>
                      <w:rFonts w:hint="default" w:ascii="Times New Roman" w:hAnsi="Times New Roman" w:cs="Times New Roman" w:eastAsiaTheme="minorEastAsia"/>
                      <w:color w:val="auto"/>
                      <w:spacing w:val="-11"/>
                      <w:sz w:val="21"/>
                      <w:szCs w:val="21"/>
                      <w:highlight w:val="none"/>
                    </w:rPr>
                    <w:t>生产车间</w:t>
                  </w:r>
                </w:p>
              </w:tc>
              <w:tc>
                <w:tcPr>
                  <w:tcW w:w="491" w:type="pct"/>
                  <w:vAlign w:val="center"/>
                </w:tcPr>
                <w:p w14:paraId="633333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污水</w:t>
                  </w:r>
                </w:p>
                <w:p w14:paraId="0BA246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潜水泵</w:t>
                  </w:r>
                </w:p>
              </w:tc>
              <w:tc>
                <w:tcPr>
                  <w:tcW w:w="351" w:type="pct"/>
                  <w:vAlign w:val="center"/>
                </w:tcPr>
                <w:p w14:paraId="6B7F8B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90</w:t>
                  </w:r>
                </w:p>
              </w:tc>
              <w:tc>
                <w:tcPr>
                  <w:tcW w:w="404" w:type="pct"/>
                  <w:vMerge w:val="continue"/>
                  <w:vAlign w:val="center"/>
                </w:tcPr>
                <w:p w14:paraId="170B66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2B6695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51.64</w:t>
                  </w:r>
                </w:p>
              </w:tc>
              <w:tc>
                <w:tcPr>
                  <w:tcW w:w="433" w:type="pct"/>
                  <w:vAlign w:val="center"/>
                </w:tcPr>
                <w:p w14:paraId="197CB1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58.68</w:t>
                  </w:r>
                </w:p>
              </w:tc>
              <w:tc>
                <w:tcPr>
                  <w:tcW w:w="256" w:type="pct"/>
                  <w:vAlign w:val="center"/>
                </w:tcPr>
                <w:p w14:paraId="5FBC0F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4CBCF1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w:t>
                  </w:r>
                </w:p>
              </w:tc>
              <w:tc>
                <w:tcPr>
                  <w:tcW w:w="618" w:type="dxa"/>
                  <w:vAlign w:val="center"/>
                </w:tcPr>
                <w:p w14:paraId="078906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71</w:t>
                  </w:r>
                </w:p>
              </w:tc>
              <w:tc>
                <w:tcPr>
                  <w:tcW w:w="324" w:type="pct"/>
                  <w:vMerge w:val="continue"/>
                  <w:vAlign w:val="center"/>
                </w:tcPr>
                <w:p w14:paraId="2ED7B2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23DE4D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22423CA4">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316" w:type="pct"/>
                  <w:vAlign w:val="center"/>
                </w:tcPr>
                <w:p w14:paraId="621D1BE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5C992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27A0A7F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21</w:t>
                  </w:r>
                </w:p>
              </w:tc>
              <w:tc>
                <w:tcPr>
                  <w:tcW w:w="223" w:type="pct"/>
                  <w:vMerge w:val="continue"/>
                  <w:vAlign w:val="center"/>
                </w:tcPr>
                <w:p w14:paraId="595882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339EC4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卧式多级离心泵</w:t>
                  </w:r>
                </w:p>
              </w:tc>
              <w:tc>
                <w:tcPr>
                  <w:tcW w:w="351" w:type="pct"/>
                  <w:vAlign w:val="center"/>
                </w:tcPr>
                <w:p w14:paraId="6CEBB7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90</w:t>
                  </w:r>
                </w:p>
              </w:tc>
              <w:tc>
                <w:tcPr>
                  <w:tcW w:w="404" w:type="pct"/>
                  <w:vMerge w:val="continue"/>
                  <w:vAlign w:val="center"/>
                </w:tcPr>
                <w:p w14:paraId="29FBD6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3D6DC4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54.86</w:t>
                  </w:r>
                </w:p>
              </w:tc>
              <w:tc>
                <w:tcPr>
                  <w:tcW w:w="433" w:type="pct"/>
                  <w:vAlign w:val="center"/>
                </w:tcPr>
                <w:p w14:paraId="371A5C3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56.84</w:t>
                  </w:r>
                </w:p>
              </w:tc>
              <w:tc>
                <w:tcPr>
                  <w:tcW w:w="256" w:type="pct"/>
                  <w:vAlign w:val="center"/>
                </w:tcPr>
                <w:p w14:paraId="09519C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1AEDBC8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13</w:t>
                  </w:r>
                </w:p>
              </w:tc>
              <w:tc>
                <w:tcPr>
                  <w:tcW w:w="618" w:type="dxa"/>
                  <w:vAlign w:val="center"/>
                </w:tcPr>
                <w:p w14:paraId="2D65912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68</w:t>
                  </w:r>
                </w:p>
              </w:tc>
              <w:tc>
                <w:tcPr>
                  <w:tcW w:w="324" w:type="pct"/>
                  <w:vMerge w:val="continue"/>
                  <w:vAlign w:val="center"/>
                </w:tcPr>
                <w:p w14:paraId="2C7F76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30E8DF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70CF3DF1">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53</w:t>
                  </w:r>
                </w:p>
              </w:tc>
              <w:tc>
                <w:tcPr>
                  <w:tcW w:w="316" w:type="pct"/>
                  <w:vAlign w:val="center"/>
                </w:tcPr>
                <w:p w14:paraId="59884A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1D3CC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7A4652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22</w:t>
                  </w:r>
                </w:p>
              </w:tc>
              <w:tc>
                <w:tcPr>
                  <w:tcW w:w="223" w:type="pct"/>
                  <w:vMerge w:val="continue"/>
                  <w:vAlign w:val="center"/>
                </w:tcPr>
                <w:p w14:paraId="76C5D8F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1F226B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灌装机</w:t>
                  </w:r>
                </w:p>
              </w:tc>
              <w:tc>
                <w:tcPr>
                  <w:tcW w:w="351" w:type="pct"/>
                  <w:vAlign w:val="center"/>
                </w:tcPr>
                <w:p w14:paraId="0679748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80</w:t>
                  </w:r>
                </w:p>
              </w:tc>
              <w:tc>
                <w:tcPr>
                  <w:tcW w:w="404" w:type="pct"/>
                  <w:vMerge w:val="continue"/>
                  <w:vAlign w:val="center"/>
                </w:tcPr>
                <w:p w14:paraId="7C7755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090B70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77.5</w:t>
                  </w:r>
                </w:p>
              </w:tc>
              <w:tc>
                <w:tcPr>
                  <w:tcW w:w="433" w:type="pct"/>
                  <w:vAlign w:val="center"/>
                </w:tcPr>
                <w:p w14:paraId="16F306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84.38</w:t>
                  </w:r>
                </w:p>
              </w:tc>
              <w:tc>
                <w:tcPr>
                  <w:tcW w:w="256" w:type="pct"/>
                  <w:vAlign w:val="center"/>
                </w:tcPr>
                <w:p w14:paraId="0453AF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19876C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18" w:type="dxa"/>
                  <w:vAlign w:val="center"/>
                </w:tcPr>
                <w:p w14:paraId="7B62A5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324" w:type="pct"/>
                  <w:vMerge w:val="restart"/>
                  <w:vAlign w:val="center"/>
                </w:tcPr>
                <w:p w14:paraId="0C40A4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昼夜</w:t>
                  </w:r>
                </w:p>
              </w:tc>
              <w:tc>
                <w:tcPr>
                  <w:tcW w:w="386" w:type="pct"/>
                  <w:vAlign w:val="center"/>
                </w:tcPr>
                <w:p w14:paraId="05AB0F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0E82E6FC">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41</w:t>
                  </w:r>
                </w:p>
              </w:tc>
              <w:tc>
                <w:tcPr>
                  <w:tcW w:w="316" w:type="pct"/>
                  <w:vAlign w:val="center"/>
                </w:tcPr>
                <w:p w14:paraId="4EE409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6B6A5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3EE642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23</w:t>
                  </w:r>
                </w:p>
              </w:tc>
              <w:tc>
                <w:tcPr>
                  <w:tcW w:w="223" w:type="pct"/>
                  <w:vMerge w:val="continue"/>
                  <w:vAlign w:val="center"/>
                </w:tcPr>
                <w:p w14:paraId="2298EFA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602F40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搅拌罐</w:t>
                  </w:r>
                </w:p>
              </w:tc>
              <w:tc>
                <w:tcPr>
                  <w:tcW w:w="351" w:type="pct"/>
                  <w:vAlign w:val="center"/>
                </w:tcPr>
                <w:p w14:paraId="0FCB20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85</w:t>
                  </w:r>
                </w:p>
              </w:tc>
              <w:tc>
                <w:tcPr>
                  <w:tcW w:w="404" w:type="pct"/>
                  <w:vMerge w:val="continue"/>
                  <w:vAlign w:val="center"/>
                </w:tcPr>
                <w:p w14:paraId="7EAAEE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7E7FEA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73.81</w:t>
                  </w:r>
                </w:p>
              </w:tc>
              <w:tc>
                <w:tcPr>
                  <w:tcW w:w="433" w:type="pct"/>
                  <w:vAlign w:val="center"/>
                </w:tcPr>
                <w:p w14:paraId="0C5D76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80.69</w:t>
                  </w:r>
                </w:p>
              </w:tc>
              <w:tc>
                <w:tcPr>
                  <w:tcW w:w="256" w:type="pct"/>
                  <w:vAlign w:val="center"/>
                </w:tcPr>
                <w:p w14:paraId="78953A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0FE286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18" w:type="dxa"/>
                  <w:vAlign w:val="center"/>
                </w:tcPr>
                <w:p w14:paraId="004650C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61</w:t>
                  </w:r>
                </w:p>
              </w:tc>
              <w:tc>
                <w:tcPr>
                  <w:tcW w:w="324" w:type="pct"/>
                  <w:vMerge w:val="continue"/>
                  <w:vAlign w:val="center"/>
                </w:tcPr>
                <w:p w14:paraId="249677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3B6E92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1C0418BA">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46</w:t>
                  </w:r>
                </w:p>
              </w:tc>
              <w:tc>
                <w:tcPr>
                  <w:tcW w:w="316" w:type="pct"/>
                  <w:vAlign w:val="center"/>
                </w:tcPr>
                <w:p w14:paraId="64354A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1961E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6ABB5E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24</w:t>
                  </w:r>
                </w:p>
              </w:tc>
              <w:tc>
                <w:tcPr>
                  <w:tcW w:w="223" w:type="pct"/>
                  <w:vMerge w:val="restart"/>
                  <w:vAlign w:val="center"/>
                </w:tcPr>
                <w:p w14:paraId="312950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lang w:eastAsia="zh-CN"/>
                    </w:rPr>
                    <w:t>固体</w:t>
                  </w:r>
                  <w:r>
                    <w:rPr>
                      <w:rFonts w:hint="default" w:ascii="Times New Roman" w:hAnsi="Times New Roman" w:cs="Times New Roman" w:eastAsiaTheme="minorEastAsia"/>
                      <w:color w:val="auto"/>
                      <w:spacing w:val="-11"/>
                      <w:sz w:val="21"/>
                      <w:szCs w:val="21"/>
                      <w:highlight w:val="none"/>
                      <w:lang w:val="en-US" w:eastAsia="zh-CN"/>
                    </w:rPr>
                    <w:t>复合微生物</w:t>
                  </w:r>
                  <w:r>
                    <w:rPr>
                      <w:rFonts w:hint="default" w:ascii="Times New Roman" w:hAnsi="Times New Roman" w:cs="Times New Roman" w:eastAsiaTheme="minorEastAsia"/>
                      <w:color w:val="auto"/>
                      <w:spacing w:val="-11"/>
                      <w:sz w:val="21"/>
                      <w:szCs w:val="21"/>
                      <w:highlight w:val="none"/>
                    </w:rPr>
                    <w:t>生产车间</w:t>
                  </w:r>
                </w:p>
              </w:tc>
              <w:tc>
                <w:tcPr>
                  <w:tcW w:w="491" w:type="pct"/>
                  <w:vAlign w:val="center"/>
                </w:tcPr>
                <w:p w14:paraId="01679E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立式</w:t>
                  </w:r>
                </w:p>
                <w:p w14:paraId="19012E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粉碎机</w:t>
                  </w:r>
                </w:p>
              </w:tc>
              <w:tc>
                <w:tcPr>
                  <w:tcW w:w="351" w:type="pct"/>
                  <w:vAlign w:val="center"/>
                </w:tcPr>
                <w:p w14:paraId="5D7286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85</w:t>
                  </w:r>
                </w:p>
              </w:tc>
              <w:tc>
                <w:tcPr>
                  <w:tcW w:w="404" w:type="pct"/>
                  <w:vMerge w:val="continue"/>
                  <w:vAlign w:val="center"/>
                </w:tcPr>
                <w:p w14:paraId="0D906A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785CC5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82.92</w:t>
                  </w:r>
                </w:p>
              </w:tc>
              <w:tc>
                <w:tcPr>
                  <w:tcW w:w="433" w:type="pct"/>
                  <w:vAlign w:val="center"/>
                </w:tcPr>
                <w:p w14:paraId="1A1894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80.44</w:t>
                  </w:r>
                </w:p>
              </w:tc>
              <w:tc>
                <w:tcPr>
                  <w:tcW w:w="256" w:type="pct"/>
                  <w:vAlign w:val="center"/>
                </w:tcPr>
                <w:p w14:paraId="3BFE43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409" w:type="pct"/>
                  <w:vAlign w:val="center"/>
                </w:tcPr>
                <w:p w14:paraId="2482F7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10</w:t>
                  </w:r>
                </w:p>
              </w:tc>
              <w:tc>
                <w:tcPr>
                  <w:tcW w:w="618" w:type="dxa"/>
                  <w:vAlign w:val="center"/>
                </w:tcPr>
                <w:p w14:paraId="4F61E61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65</w:t>
                  </w:r>
                </w:p>
              </w:tc>
              <w:tc>
                <w:tcPr>
                  <w:tcW w:w="324" w:type="pct"/>
                  <w:vMerge w:val="continue"/>
                  <w:vAlign w:val="center"/>
                </w:tcPr>
                <w:p w14:paraId="79C44E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7B13D2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4275D577">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316" w:type="pct"/>
                  <w:vAlign w:val="center"/>
                </w:tcPr>
                <w:p w14:paraId="3D8B05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070E3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5BCD8C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25</w:t>
                  </w:r>
                </w:p>
              </w:tc>
              <w:tc>
                <w:tcPr>
                  <w:tcW w:w="223" w:type="pct"/>
                  <w:vMerge w:val="continue"/>
                  <w:vAlign w:val="center"/>
                </w:tcPr>
                <w:p w14:paraId="778CBF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6D9DE3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筛分机</w:t>
                  </w:r>
                </w:p>
              </w:tc>
              <w:tc>
                <w:tcPr>
                  <w:tcW w:w="351" w:type="pct"/>
                  <w:vAlign w:val="center"/>
                </w:tcPr>
                <w:p w14:paraId="5D3676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85</w:t>
                  </w:r>
                </w:p>
              </w:tc>
              <w:tc>
                <w:tcPr>
                  <w:tcW w:w="404" w:type="pct"/>
                  <w:vMerge w:val="continue"/>
                  <w:vAlign w:val="center"/>
                </w:tcPr>
                <w:p w14:paraId="0D7A04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1D04C5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-83.59</w:t>
                  </w:r>
                </w:p>
              </w:tc>
              <w:tc>
                <w:tcPr>
                  <w:tcW w:w="433" w:type="pct"/>
                  <w:vAlign w:val="center"/>
                </w:tcPr>
                <w:p w14:paraId="5B161E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-50.29</w:t>
                  </w:r>
                </w:p>
              </w:tc>
              <w:tc>
                <w:tcPr>
                  <w:tcW w:w="256" w:type="pct"/>
                  <w:vAlign w:val="center"/>
                </w:tcPr>
                <w:p w14:paraId="7A8F32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629065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w:t>
                  </w:r>
                </w:p>
              </w:tc>
              <w:tc>
                <w:tcPr>
                  <w:tcW w:w="618" w:type="dxa"/>
                  <w:vAlign w:val="center"/>
                </w:tcPr>
                <w:p w14:paraId="5897E6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66</w:t>
                  </w:r>
                </w:p>
              </w:tc>
              <w:tc>
                <w:tcPr>
                  <w:tcW w:w="324" w:type="pct"/>
                  <w:vMerge w:val="continue"/>
                  <w:vAlign w:val="center"/>
                </w:tcPr>
                <w:p w14:paraId="567920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7FEAAF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695154D4">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51</w:t>
                  </w:r>
                </w:p>
              </w:tc>
              <w:tc>
                <w:tcPr>
                  <w:tcW w:w="316" w:type="pct"/>
                  <w:vAlign w:val="center"/>
                </w:tcPr>
                <w:p w14:paraId="703046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7C14D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48AD7D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26</w:t>
                  </w:r>
                </w:p>
              </w:tc>
              <w:tc>
                <w:tcPr>
                  <w:tcW w:w="223" w:type="pct"/>
                  <w:vMerge w:val="continue"/>
                  <w:vAlign w:val="center"/>
                </w:tcPr>
                <w:p w14:paraId="42C4E2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323CD5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双轴</w:t>
                  </w:r>
                </w:p>
                <w:p w14:paraId="162427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搅拌机1</w:t>
                  </w:r>
                </w:p>
              </w:tc>
              <w:tc>
                <w:tcPr>
                  <w:tcW w:w="351" w:type="pct"/>
                  <w:vAlign w:val="center"/>
                </w:tcPr>
                <w:p w14:paraId="041C15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85</w:t>
                  </w:r>
                </w:p>
              </w:tc>
              <w:tc>
                <w:tcPr>
                  <w:tcW w:w="404" w:type="pct"/>
                  <w:vMerge w:val="continue"/>
                  <w:vAlign w:val="center"/>
                </w:tcPr>
                <w:p w14:paraId="447657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0B16AB9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-108.34</w:t>
                  </w:r>
                </w:p>
              </w:tc>
              <w:tc>
                <w:tcPr>
                  <w:tcW w:w="433" w:type="pct"/>
                  <w:vAlign w:val="center"/>
                </w:tcPr>
                <w:p w14:paraId="7FC140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-101.11</w:t>
                  </w:r>
                </w:p>
              </w:tc>
              <w:tc>
                <w:tcPr>
                  <w:tcW w:w="256" w:type="pct"/>
                  <w:vAlign w:val="center"/>
                </w:tcPr>
                <w:p w14:paraId="33C9ED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64B2C2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w:t>
                  </w:r>
                </w:p>
              </w:tc>
              <w:tc>
                <w:tcPr>
                  <w:tcW w:w="618" w:type="dxa"/>
                  <w:vAlign w:val="center"/>
                </w:tcPr>
                <w:p w14:paraId="38D039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66</w:t>
                  </w:r>
                </w:p>
              </w:tc>
              <w:tc>
                <w:tcPr>
                  <w:tcW w:w="324" w:type="pct"/>
                  <w:vMerge w:val="continue"/>
                  <w:vAlign w:val="center"/>
                </w:tcPr>
                <w:p w14:paraId="274CE8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4C7DE8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154D7236">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51</w:t>
                  </w:r>
                </w:p>
              </w:tc>
              <w:tc>
                <w:tcPr>
                  <w:tcW w:w="316" w:type="pct"/>
                  <w:vAlign w:val="center"/>
                </w:tcPr>
                <w:p w14:paraId="572330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05618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45E660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27</w:t>
                  </w:r>
                </w:p>
              </w:tc>
              <w:tc>
                <w:tcPr>
                  <w:tcW w:w="223" w:type="pct"/>
                  <w:vMerge w:val="continue"/>
                  <w:vAlign w:val="center"/>
                </w:tcPr>
                <w:p w14:paraId="322229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0BBA03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双轴</w:t>
                  </w:r>
                </w:p>
                <w:p w14:paraId="639F5B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搅拌机2</w:t>
                  </w:r>
                </w:p>
              </w:tc>
              <w:tc>
                <w:tcPr>
                  <w:tcW w:w="351" w:type="pct"/>
                  <w:vAlign w:val="center"/>
                </w:tcPr>
                <w:p w14:paraId="737CD6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85</w:t>
                  </w:r>
                </w:p>
              </w:tc>
              <w:tc>
                <w:tcPr>
                  <w:tcW w:w="404" w:type="pct"/>
                  <w:vMerge w:val="continue"/>
                  <w:vAlign w:val="center"/>
                </w:tcPr>
                <w:p w14:paraId="173FEE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0AB86F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-85.96</w:t>
                  </w:r>
                </w:p>
              </w:tc>
              <w:tc>
                <w:tcPr>
                  <w:tcW w:w="433" w:type="pct"/>
                  <w:vAlign w:val="center"/>
                </w:tcPr>
                <w:p w14:paraId="60A43E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-53.19</w:t>
                  </w:r>
                </w:p>
              </w:tc>
              <w:tc>
                <w:tcPr>
                  <w:tcW w:w="256" w:type="pct"/>
                  <w:vAlign w:val="center"/>
                </w:tcPr>
                <w:p w14:paraId="17ECFA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794B08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8.6</w:t>
                  </w:r>
                </w:p>
              </w:tc>
              <w:tc>
                <w:tcPr>
                  <w:tcW w:w="618" w:type="dxa"/>
                  <w:vAlign w:val="center"/>
                </w:tcPr>
                <w:p w14:paraId="4E8B6CB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66</w:t>
                  </w:r>
                </w:p>
              </w:tc>
              <w:tc>
                <w:tcPr>
                  <w:tcW w:w="324" w:type="pct"/>
                  <w:vMerge w:val="continue"/>
                  <w:vAlign w:val="center"/>
                </w:tcPr>
                <w:p w14:paraId="55D749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3F307D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4249AE6C">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51</w:t>
                  </w:r>
                </w:p>
              </w:tc>
              <w:tc>
                <w:tcPr>
                  <w:tcW w:w="316" w:type="pct"/>
                  <w:vAlign w:val="center"/>
                </w:tcPr>
                <w:p w14:paraId="1FB532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725BE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08F206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28</w:t>
                  </w:r>
                </w:p>
              </w:tc>
              <w:tc>
                <w:tcPr>
                  <w:tcW w:w="223" w:type="pct"/>
                  <w:vMerge w:val="continue"/>
                  <w:vAlign w:val="center"/>
                </w:tcPr>
                <w:p w14:paraId="47DEFD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50A0F39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扑粉机1</w:t>
                  </w:r>
                </w:p>
              </w:tc>
              <w:tc>
                <w:tcPr>
                  <w:tcW w:w="351" w:type="pct"/>
                  <w:vAlign w:val="center"/>
                </w:tcPr>
                <w:p w14:paraId="49ADA8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80</w:t>
                  </w:r>
                </w:p>
              </w:tc>
              <w:tc>
                <w:tcPr>
                  <w:tcW w:w="404" w:type="pct"/>
                  <w:vMerge w:val="continue"/>
                  <w:vAlign w:val="center"/>
                </w:tcPr>
                <w:p w14:paraId="261B474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7F8B68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-108.85</w:t>
                  </w:r>
                </w:p>
              </w:tc>
              <w:tc>
                <w:tcPr>
                  <w:tcW w:w="433" w:type="pct"/>
                  <w:vAlign w:val="center"/>
                </w:tcPr>
                <w:p w14:paraId="22408F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-102.75</w:t>
                  </w:r>
                </w:p>
              </w:tc>
              <w:tc>
                <w:tcPr>
                  <w:tcW w:w="256" w:type="pct"/>
                  <w:vAlign w:val="center"/>
                </w:tcPr>
                <w:p w14:paraId="21C005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5EA222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8.8</w:t>
                  </w:r>
                </w:p>
              </w:tc>
              <w:tc>
                <w:tcPr>
                  <w:tcW w:w="618" w:type="dxa"/>
                  <w:vAlign w:val="center"/>
                </w:tcPr>
                <w:p w14:paraId="0D165E1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61</w:t>
                  </w:r>
                </w:p>
              </w:tc>
              <w:tc>
                <w:tcPr>
                  <w:tcW w:w="324" w:type="pct"/>
                  <w:vMerge w:val="continue"/>
                  <w:vAlign w:val="center"/>
                </w:tcPr>
                <w:p w14:paraId="2E25552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694092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6D3206F3">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46</w:t>
                  </w:r>
                </w:p>
              </w:tc>
              <w:tc>
                <w:tcPr>
                  <w:tcW w:w="316" w:type="pct"/>
                  <w:vAlign w:val="center"/>
                </w:tcPr>
                <w:p w14:paraId="33417C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37071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4AEAE8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29</w:t>
                  </w:r>
                </w:p>
              </w:tc>
              <w:tc>
                <w:tcPr>
                  <w:tcW w:w="223" w:type="pct"/>
                  <w:vMerge w:val="continue"/>
                  <w:vAlign w:val="center"/>
                </w:tcPr>
                <w:p w14:paraId="30F0CC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20F051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扑粉机2</w:t>
                  </w:r>
                </w:p>
              </w:tc>
              <w:tc>
                <w:tcPr>
                  <w:tcW w:w="351" w:type="pct"/>
                  <w:vAlign w:val="center"/>
                </w:tcPr>
                <w:p w14:paraId="3E7E96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80</w:t>
                  </w:r>
                </w:p>
              </w:tc>
              <w:tc>
                <w:tcPr>
                  <w:tcW w:w="404" w:type="pct"/>
                  <w:vMerge w:val="continue"/>
                  <w:vAlign w:val="center"/>
                </w:tcPr>
                <w:p w14:paraId="196E66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3B4C77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-86.35</w:t>
                  </w:r>
                </w:p>
              </w:tc>
              <w:tc>
                <w:tcPr>
                  <w:tcW w:w="433" w:type="pct"/>
                  <w:vAlign w:val="center"/>
                </w:tcPr>
                <w:p w14:paraId="7F81FD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-54.9</w:t>
                  </w:r>
                </w:p>
              </w:tc>
              <w:tc>
                <w:tcPr>
                  <w:tcW w:w="256" w:type="pct"/>
                  <w:vAlign w:val="center"/>
                </w:tcPr>
                <w:p w14:paraId="38E72E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17F4BE9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9.5</w:t>
                  </w:r>
                </w:p>
              </w:tc>
              <w:tc>
                <w:tcPr>
                  <w:tcW w:w="618" w:type="dxa"/>
                  <w:vAlign w:val="center"/>
                </w:tcPr>
                <w:p w14:paraId="233F7F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60</w:t>
                  </w:r>
                </w:p>
              </w:tc>
              <w:tc>
                <w:tcPr>
                  <w:tcW w:w="324" w:type="pct"/>
                  <w:vMerge w:val="continue"/>
                  <w:vAlign w:val="center"/>
                </w:tcPr>
                <w:p w14:paraId="560F9A0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2F95D3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21E9E763">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45</w:t>
                  </w:r>
                </w:p>
              </w:tc>
              <w:tc>
                <w:tcPr>
                  <w:tcW w:w="316" w:type="pct"/>
                  <w:vAlign w:val="center"/>
                </w:tcPr>
                <w:p w14:paraId="255E8A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2F8E0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270EE7B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30</w:t>
                  </w:r>
                </w:p>
              </w:tc>
              <w:tc>
                <w:tcPr>
                  <w:tcW w:w="223" w:type="pct"/>
                  <w:vMerge w:val="continue"/>
                  <w:vAlign w:val="center"/>
                </w:tcPr>
                <w:p w14:paraId="01DB16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4D0810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引风机</w:t>
                  </w:r>
                </w:p>
              </w:tc>
              <w:tc>
                <w:tcPr>
                  <w:tcW w:w="351" w:type="pct"/>
                  <w:vAlign w:val="center"/>
                </w:tcPr>
                <w:p w14:paraId="495B687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93</w:t>
                  </w:r>
                </w:p>
              </w:tc>
              <w:tc>
                <w:tcPr>
                  <w:tcW w:w="404" w:type="pct"/>
                  <w:vMerge w:val="continue"/>
                  <w:vAlign w:val="center"/>
                </w:tcPr>
                <w:p w14:paraId="52C33C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26FF63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-82.91</w:t>
                  </w:r>
                </w:p>
              </w:tc>
              <w:tc>
                <w:tcPr>
                  <w:tcW w:w="433" w:type="pct"/>
                  <w:vAlign w:val="center"/>
                </w:tcPr>
                <w:p w14:paraId="2EA585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-49.18</w:t>
                  </w:r>
                </w:p>
              </w:tc>
              <w:tc>
                <w:tcPr>
                  <w:tcW w:w="256" w:type="pct"/>
                  <w:vAlign w:val="center"/>
                </w:tcPr>
                <w:p w14:paraId="1EEEE1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4D423D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8.2</w:t>
                  </w:r>
                </w:p>
              </w:tc>
              <w:tc>
                <w:tcPr>
                  <w:tcW w:w="618" w:type="dxa"/>
                  <w:vAlign w:val="center"/>
                </w:tcPr>
                <w:p w14:paraId="0137137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75</w:t>
                  </w:r>
                </w:p>
              </w:tc>
              <w:tc>
                <w:tcPr>
                  <w:tcW w:w="324" w:type="pct"/>
                  <w:vMerge w:val="continue"/>
                  <w:vAlign w:val="center"/>
                </w:tcPr>
                <w:p w14:paraId="38F250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4313F9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705F837F">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60</w:t>
                  </w:r>
                </w:p>
              </w:tc>
              <w:tc>
                <w:tcPr>
                  <w:tcW w:w="316" w:type="pct"/>
                  <w:vAlign w:val="center"/>
                </w:tcPr>
                <w:p w14:paraId="1B448A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0E72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75E76D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31</w:t>
                  </w:r>
                </w:p>
              </w:tc>
              <w:tc>
                <w:tcPr>
                  <w:tcW w:w="223" w:type="pct"/>
                  <w:vMerge w:val="continue"/>
                  <w:vAlign w:val="center"/>
                </w:tcPr>
                <w:p w14:paraId="4A4DE2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28FC32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打包机</w:t>
                  </w:r>
                </w:p>
              </w:tc>
              <w:tc>
                <w:tcPr>
                  <w:tcW w:w="351" w:type="pct"/>
                  <w:vAlign w:val="center"/>
                </w:tcPr>
                <w:p w14:paraId="6E3977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82</w:t>
                  </w:r>
                </w:p>
              </w:tc>
              <w:tc>
                <w:tcPr>
                  <w:tcW w:w="404" w:type="pct"/>
                  <w:vMerge w:val="continue"/>
                  <w:vAlign w:val="center"/>
                </w:tcPr>
                <w:p w14:paraId="2DA74A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05D714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-65.1</w:t>
                  </w:r>
                </w:p>
              </w:tc>
              <w:tc>
                <w:tcPr>
                  <w:tcW w:w="433" w:type="pct"/>
                  <w:vAlign w:val="center"/>
                </w:tcPr>
                <w:p w14:paraId="2728D1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-31.29</w:t>
                  </w:r>
                </w:p>
              </w:tc>
              <w:tc>
                <w:tcPr>
                  <w:tcW w:w="256" w:type="pct"/>
                  <w:vAlign w:val="center"/>
                </w:tcPr>
                <w:p w14:paraId="640182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1.2</w:t>
                  </w:r>
                </w:p>
              </w:tc>
              <w:tc>
                <w:tcPr>
                  <w:tcW w:w="409" w:type="pct"/>
                  <w:vAlign w:val="center"/>
                </w:tcPr>
                <w:p w14:paraId="28F7D3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8.7</w:t>
                  </w:r>
                </w:p>
              </w:tc>
              <w:tc>
                <w:tcPr>
                  <w:tcW w:w="618" w:type="dxa"/>
                  <w:vAlign w:val="center"/>
                </w:tcPr>
                <w:p w14:paraId="468034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63</w:t>
                  </w:r>
                </w:p>
              </w:tc>
              <w:tc>
                <w:tcPr>
                  <w:tcW w:w="324" w:type="pct"/>
                  <w:vMerge w:val="restart"/>
                  <w:vAlign w:val="center"/>
                </w:tcPr>
                <w:p w14:paraId="3F62ED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昼间</w:t>
                  </w:r>
                </w:p>
              </w:tc>
              <w:tc>
                <w:tcPr>
                  <w:tcW w:w="386" w:type="pct"/>
                  <w:vAlign w:val="center"/>
                </w:tcPr>
                <w:p w14:paraId="5144C3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5618E4B8">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48</w:t>
                  </w:r>
                </w:p>
              </w:tc>
              <w:tc>
                <w:tcPr>
                  <w:tcW w:w="316" w:type="pct"/>
                  <w:vAlign w:val="center"/>
                </w:tcPr>
                <w:p w14:paraId="140B3E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r w14:paraId="082B8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65" w:type="pct"/>
                  <w:vAlign w:val="center"/>
                </w:tcPr>
                <w:p w14:paraId="5BD5C8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32</w:t>
                  </w:r>
                </w:p>
              </w:tc>
              <w:tc>
                <w:tcPr>
                  <w:tcW w:w="223" w:type="pct"/>
                  <w:vMerge w:val="continue"/>
                  <w:vAlign w:val="center"/>
                </w:tcPr>
                <w:p w14:paraId="336B11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491" w:type="pct"/>
                  <w:vAlign w:val="center"/>
                </w:tcPr>
                <w:p w14:paraId="2D94A6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污水泵</w:t>
                  </w:r>
                </w:p>
              </w:tc>
              <w:tc>
                <w:tcPr>
                  <w:tcW w:w="351" w:type="pct"/>
                  <w:vAlign w:val="center"/>
                </w:tcPr>
                <w:p w14:paraId="3AD68F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90</w:t>
                  </w:r>
                </w:p>
              </w:tc>
              <w:tc>
                <w:tcPr>
                  <w:tcW w:w="404" w:type="pct"/>
                  <w:vMerge w:val="continue"/>
                  <w:vAlign w:val="center"/>
                </w:tcPr>
                <w:p w14:paraId="544A05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99" w:type="pct"/>
                  <w:vAlign w:val="center"/>
                </w:tcPr>
                <w:p w14:paraId="36BAEC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-89.41</w:t>
                  </w:r>
                </w:p>
              </w:tc>
              <w:tc>
                <w:tcPr>
                  <w:tcW w:w="433" w:type="pct"/>
                  <w:vAlign w:val="center"/>
                </w:tcPr>
                <w:p w14:paraId="3C19C3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-47.69</w:t>
                  </w:r>
                </w:p>
              </w:tc>
              <w:tc>
                <w:tcPr>
                  <w:tcW w:w="256" w:type="pct"/>
                  <w:vAlign w:val="center"/>
                </w:tcPr>
                <w:p w14:paraId="43770D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w:t>
                  </w:r>
                </w:p>
              </w:tc>
              <w:tc>
                <w:tcPr>
                  <w:tcW w:w="409" w:type="pct"/>
                  <w:vAlign w:val="center"/>
                </w:tcPr>
                <w:p w14:paraId="4957E5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8</w:t>
                  </w:r>
                </w:p>
              </w:tc>
              <w:tc>
                <w:tcPr>
                  <w:tcW w:w="618" w:type="dxa"/>
                  <w:vAlign w:val="center"/>
                </w:tcPr>
                <w:p w14:paraId="4C0A776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324" w:type="pct"/>
                  <w:vMerge w:val="continue"/>
                  <w:vAlign w:val="center"/>
                </w:tcPr>
                <w:p w14:paraId="489338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p>
              </w:tc>
              <w:tc>
                <w:tcPr>
                  <w:tcW w:w="386" w:type="pct"/>
                  <w:vAlign w:val="center"/>
                </w:tcPr>
                <w:p w14:paraId="52F9EB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15</w:t>
                  </w:r>
                </w:p>
              </w:tc>
              <w:tc>
                <w:tcPr>
                  <w:tcW w:w="686" w:type="dxa"/>
                  <w:vAlign w:val="center"/>
                </w:tcPr>
                <w:p w14:paraId="58D600B0">
                  <w:pPr>
                    <w:keepNext w:val="0"/>
                    <w:keepLines w:val="0"/>
                    <w:widowControl/>
                    <w:suppressLineNumbers w:val="0"/>
                    <w:jc w:val="center"/>
                    <w:textAlignment w:val="center"/>
                    <w:rPr>
                      <w:rFonts w:hint="default" w:ascii="Times New Roman" w:hAnsi="Times New Roman" w:cs="Times New Roman" w:eastAsiaTheme="minorEastAsia"/>
                      <w:color w:val="auto"/>
                      <w:spacing w:val="-11"/>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57</w:t>
                  </w:r>
                </w:p>
              </w:tc>
              <w:tc>
                <w:tcPr>
                  <w:tcW w:w="316" w:type="pct"/>
                  <w:vAlign w:val="center"/>
                </w:tcPr>
                <w:p w14:paraId="24E534E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pacing w:val="-11"/>
                      <w:sz w:val="21"/>
                      <w:szCs w:val="21"/>
                      <w:highlight w:val="none"/>
                    </w:rPr>
                  </w:pPr>
                  <w:r>
                    <w:rPr>
                      <w:rFonts w:hint="default" w:ascii="Times New Roman" w:hAnsi="Times New Roman" w:cs="Times New Roman" w:eastAsiaTheme="minorEastAsia"/>
                      <w:color w:val="auto"/>
                      <w:spacing w:val="-11"/>
                      <w:sz w:val="21"/>
                      <w:szCs w:val="21"/>
                      <w:highlight w:val="none"/>
                    </w:rPr>
                    <w:t>1m</w:t>
                  </w:r>
                </w:p>
              </w:tc>
            </w:tr>
          </w:tbl>
          <w:p w14:paraId="080EF23B">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b/>
                <w:bCs/>
                <w:color w:val="auto"/>
                <w:kern w:val="0"/>
                <w:sz w:val="24"/>
                <w:szCs w:val="20"/>
                <w:highlight w:val="none"/>
              </w:rPr>
            </w:pPr>
            <w:r>
              <w:rPr>
                <w:rFonts w:hint="eastAsia"/>
                <w:b/>
                <w:bCs/>
                <w:color w:val="auto"/>
                <w:kern w:val="0"/>
                <w:sz w:val="24"/>
                <w:szCs w:val="20"/>
                <w:highlight w:val="none"/>
                <w:lang w:eastAsia="zh-CN"/>
              </w:rPr>
              <w:t>（</w:t>
            </w:r>
            <w:r>
              <w:rPr>
                <w:rFonts w:hint="eastAsia"/>
                <w:b/>
                <w:bCs/>
                <w:color w:val="auto"/>
                <w:kern w:val="0"/>
                <w:sz w:val="24"/>
                <w:szCs w:val="20"/>
                <w:highlight w:val="none"/>
                <w:lang w:val="en-US" w:eastAsia="zh-CN"/>
              </w:rPr>
              <w:t>2</w:t>
            </w:r>
            <w:r>
              <w:rPr>
                <w:rFonts w:hint="eastAsia"/>
                <w:b/>
                <w:bCs/>
                <w:color w:val="auto"/>
                <w:kern w:val="0"/>
                <w:sz w:val="24"/>
                <w:szCs w:val="20"/>
                <w:highlight w:val="none"/>
                <w:lang w:eastAsia="zh-CN"/>
              </w:rPr>
              <w:t>）</w:t>
            </w:r>
            <w:r>
              <w:rPr>
                <w:rFonts w:hint="eastAsia"/>
                <w:b/>
                <w:bCs/>
                <w:color w:val="auto"/>
                <w:kern w:val="0"/>
                <w:sz w:val="24"/>
                <w:szCs w:val="20"/>
                <w:highlight w:val="none"/>
              </w:rPr>
              <w:t>声环境影响预测</w:t>
            </w:r>
          </w:p>
          <w:p w14:paraId="406F774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szCs w:val="20"/>
                <w:highlight w:val="none"/>
              </w:rPr>
            </w:pPr>
            <w:r>
              <w:rPr>
                <w:rFonts w:hint="eastAsia"/>
                <w:color w:val="auto"/>
                <w:kern w:val="0"/>
                <w:sz w:val="24"/>
                <w:szCs w:val="20"/>
                <w:highlight w:val="none"/>
              </w:rPr>
              <w:t>1）预测模型</w:t>
            </w:r>
          </w:p>
          <w:p w14:paraId="0F40DC2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highlight w:val="none"/>
              </w:rPr>
            </w:pPr>
            <w:r>
              <w:rPr>
                <w:color w:val="auto"/>
                <w:kern w:val="0"/>
                <w:sz w:val="24"/>
                <w:highlight w:val="none"/>
              </w:rPr>
              <w:t>室内声源采用等效室外声源声功率级法进行计算。设靠近开口处（或窗户）室内、室外某倍频带的声压级或A声级分别为</w:t>
            </w:r>
            <w:r>
              <w:rPr>
                <w:i/>
                <w:iCs/>
                <w:color w:val="auto"/>
                <w:kern w:val="0"/>
                <w:sz w:val="24"/>
                <w:highlight w:val="none"/>
              </w:rPr>
              <w:t>L</w:t>
            </w:r>
            <w:r>
              <w:rPr>
                <w:color w:val="auto"/>
                <w:kern w:val="0"/>
                <w:sz w:val="24"/>
                <w:highlight w:val="none"/>
                <w:vertAlign w:val="subscript"/>
              </w:rPr>
              <w:t>p1</w:t>
            </w:r>
            <w:r>
              <w:rPr>
                <w:color w:val="auto"/>
                <w:kern w:val="0"/>
                <w:sz w:val="24"/>
                <w:highlight w:val="none"/>
              </w:rPr>
              <w:t>和</w:t>
            </w:r>
            <w:r>
              <w:rPr>
                <w:i/>
                <w:iCs/>
                <w:color w:val="auto"/>
                <w:kern w:val="0"/>
                <w:sz w:val="24"/>
                <w:highlight w:val="none"/>
              </w:rPr>
              <w:t>L</w:t>
            </w:r>
            <w:r>
              <w:rPr>
                <w:color w:val="auto"/>
                <w:kern w:val="0"/>
                <w:sz w:val="24"/>
                <w:highlight w:val="none"/>
                <w:vertAlign w:val="subscript"/>
              </w:rPr>
              <w:t>p2</w:t>
            </w:r>
            <w:r>
              <w:rPr>
                <w:color w:val="auto"/>
                <w:kern w:val="0"/>
                <w:sz w:val="24"/>
                <w:highlight w:val="none"/>
              </w:rPr>
              <w:t>，则室外的倍频带声压级计算公式：</w:t>
            </w:r>
          </w:p>
          <w:p w14:paraId="464B99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color w:val="auto"/>
                <w:kern w:val="0"/>
                <w:sz w:val="24"/>
                <w:highlight w:val="none"/>
              </w:rPr>
            </w:pPr>
            <w:r>
              <w:rPr>
                <w:i/>
                <w:iCs/>
                <w:color w:val="auto"/>
                <w:kern w:val="0"/>
                <w:sz w:val="24"/>
                <w:highlight w:val="none"/>
              </w:rPr>
              <w:t>L</w:t>
            </w:r>
            <w:r>
              <w:rPr>
                <w:color w:val="auto"/>
                <w:kern w:val="0"/>
                <w:sz w:val="24"/>
                <w:highlight w:val="none"/>
                <w:vertAlign w:val="subscript"/>
              </w:rPr>
              <w:t>p2=</w:t>
            </w:r>
            <w:r>
              <w:rPr>
                <w:i/>
                <w:iCs/>
                <w:color w:val="auto"/>
                <w:kern w:val="0"/>
                <w:sz w:val="24"/>
                <w:highlight w:val="none"/>
              </w:rPr>
              <w:t>L</w:t>
            </w:r>
            <w:r>
              <w:rPr>
                <w:color w:val="auto"/>
                <w:kern w:val="0"/>
                <w:sz w:val="24"/>
                <w:highlight w:val="none"/>
                <w:vertAlign w:val="subscript"/>
              </w:rPr>
              <w:t>p1</w:t>
            </w:r>
            <w:r>
              <w:rPr>
                <w:color w:val="auto"/>
                <w:kern w:val="0"/>
                <w:sz w:val="24"/>
                <w:highlight w:val="none"/>
              </w:rPr>
              <w:t>－（</w:t>
            </w:r>
            <w:r>
              <w:rPr>
                <w:i/>
                <w:iCs/>
                <w:color w:val="auto"/>
                <w:kern w:val="0"/>
                <w:sz w:val="24"/>
                <w:highlight w:val="none"/>
              </w:rPr>
              <w:t>TL</w:t>
            </w:r>
            <w:r>
              <w:rPr>
                <w:color w:val="auto"/>
                <w:kern w:val="0"/>
                <w:sz w:val="24"/>
                <w:highlight w:val="none"/>
              </w:rPr>
              <w:t>+6）</w:t>
            </w:r>
          </w:p>
          <w:p w14:paraId="22F9895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highlight w:val="none"/>
              </w:rPr>
            </w:pPr>
            <w:r>
              <w:rPr>
                <w:color w:val="auto"/>
                <w:kern w:val="0"/>
                <w:sz w:val="24"/>
                <w:highlight w:val="none"/>
              </w:rPr>
              <w:t>式中：</w:t>
            </w:r>
          </w:p>
          <w:p w14:paraId="5D4592A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highlight w:val="none"/>
              </w:rPr>
            </w:pPr>
            <w:r>
              <w:rPr>
                <w:i/>
                <w:iCs/>
                <w:color w:val="auto"/>
                <w:kern w:val="0"/>
                <w:sz w:val="24"/>
                <w:highlight w:val="none"/>
              </w:rPr>
              <w:t>L</w:t>
            </w:r>
            <w:r>
              <w:rPr>
                <w:color w:val="auto"/>
                <w:kern w:val="0"/>
                <w:sz w:val="24"/>
                <w:highlight w:val="none"/>
                <w:vertAlign w:val="subscript"/>
              </w:rPr>
              <w:t>p1</w:t>
            </w:r>
            <w:r>
              <w:rPr>
                <w:color w:val="auto"/>
                <w:kern w:val="0"/>
                <w:sz w:val="24"/>
                <w:highlight w:val="none"/>
              </w:rPr>
              <w:t>——靠近开口处（或窗户）室内某倍频带的声压级或A声级，dB；</w:t>
            </w:r>
          </w:p>
          <w:p w14:paraId="51176BB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highlight w:val="none"/>
              </w:rPr>
            </w:pPr>
            <w:r>
              <w:rPr>
                <w:i/>
                <w:iCs/>
                <w:color w:val="auto"/>
                <w:kern w:val="0"/>
                <w:sz w:val="24"/>
                <w:highlight w:val="none"/>
              </w:rPr>
              <w:t>L</w:t>
            </w:r>
            <w:r>
              <w:rPr>
                <w:color w:val="auto"/>
                <w:kern w:val="0"/>
                <w:sz w:val="24"/>
                <w:highlight w:val="none"/>
                <w:vertAlign w:val="subscript"/>
              </w:rPr>
              <w:t>p2</w:t>
            </w:r>
            <w:r>
              <w:rPr>
                <w:color w:val="auto"/>
                <w:kern w:val="0"/>
                <w:sz w:val="24"/>
                <w:highlight w:val="none"/>
              </w:rPr>
              <w:t>——靠近开口处（或窗户）室外某倍频带的声压级或A声级，dB；</w:t>
            </w:r>
          </w:p>
          <w:p w14:paraId="0A8CA9B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highlight w:val="none"/>
              </w:rPr>
            </w:pPr>
            <w:r>
              <w:rPr>
                <w:i/>
                <w:iCs/>
                <w:color w:val="auto"/>
                <w:kern w:val="0"/>
                <w:sz w:val="24"/>
                <w:highlight w:val="none"/>
              </w:rPr>
              <w:t>TL</w:t>
            </w:r>
            <w:r>
              <w:rPr>
                <w:color w:val="auto"/>
                <w:kern w:val="0"/>
                <w:sz w:val="24"/>
                <w:highlight w:val="none"/>
              </w:rPr>
              <w:t>——隔墙（或窗户）倍频带或A声级的隔声量。</w:t>
            </w:r>
          </w:p>
          <w:p w14:paraId="5157C7F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highlight w:val="none"/>
              </w:rPr>
            </w:pPr>
            <w:r>
              <w:rPr>
                <w:color w:val="auto"/>
                <w:kern w:val="0"/>
                <w:sz w:val="24"/>
                <w:highlight w:val="none"/>
              </w:rPr>
              <w:t>单个室外点声源在预测点产生的声级计算模式采用《环境影响评价技术导则 声环境》（HJ2.4-2021）中所推荐的点声源几何发散衰减的基本公式，计算如下：</w:t>
            </w:r>
          </w:p>
          <w:p w14:paraId="2F9E490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color w:val="auto"/>
                <w:kern w:val="0"/>
                <w:sz w:val="24"/>
                <w:szCs w:val="20"/>
                <w:highlight w:val="none"/>
              </w:rPr>
            </w:pPr>
            <w:r>
              <w:rPr>
                <w:i/>
                <w:iCs/>
                <w:color w:val="auto"/>
                <w:kern w:val="0"/>
                <w:sz w:val="23"/>
                <w:szCs w:val="23"/>
                <w:highlight w:val="none"/>
              </w:rPr>
              <w:t>L</w:t>
            </w:r>
            <w:r>
              <w:rPr>
                <w:color w:val="auto"/>
                <w:kern w:val="0"/>
                <w:sz w:val="23"/>
                <w:szCs w:val="23"/>
                <w:highlight w:val="none"/>
              </w:rPr>
              <w:t>p（r）</w:t>
            </w:r>
            <w:r>
              <w:rPr>
                <w:rFonts w:hint="eastAsia"/>
                <w:color w:val="auto"/>
                <w:kern w:val="0"/>
                <w:sz w:val="23"/>
                <w:szCs w:val="23"/>
                <w:highlight w:val="none"/>
              </w:rPr>
              <w:t>=</w:t>
            </w:r>
            <w:r>
              <w:rPr>
                <w:i/>
                <w:iCs/>
                <w:color w:val="auto"/>
                <w:kern w:val="0"/>
                <w:sz w:val="23"/>
                <w:szCs w:val="23"/>
                <w:highlight w:val="none"/>
              </w:rPr>
              <w:t>L</w:t>
            </w:r>
            <w:r>
              <w:rPr>
                <w:color w:val="auto"/>
                <w:kern w:val="0"/>
                <w:sz w:val="23"/>
                <w:szCs w:val="23"/>
                <w:highlight w:val="none"/>
              </w:rPr>
              <w:t>p（r</w:t>
            </w:r>
            <w:r>
              <w:rPr>
                <w:color w:val="auto"/>
                <w:kern w:val="0"/>
                <w:sz w:val="13"/>
                <w:szCs w:val="13"/>
                <w:highlight w:val="none"/>
              </w:rPr>
              <w:t>0</w:t>
            </w:r>
            <w:r>
              <w:rPr>
                <w:color w:val="auto"/>
                <w:kern w:val="0"/>
                <w:sz w:val="23"/>
                <w:szCs w:val="23"/>
                <w:highlight w:val="none"/>
              </w:rPr>
              <w:t>）</w:t>
            </w:r>
            <w:r>
              <w:rPr>
                <w:rFonts w:hint="eastAsia"/>
                <w:color w:val="auto"/>
                <w:kern w:val="0"/>
                <w:sz w:val="23"/>
                <w:szCs w:val="23"/>
                <w:highlight w:val="none"/>
              </w:rPr>
              <w:t>—</w:t>
            </w:r>
            <w:r>
              <w:rPr>
                <w:color w:val="auto"/>
                <w:kern w:val="0"/>
                <w:sz w:val="23"/>
                <w:szCs w:val="23"/>
                <w:highlight w:val="none"/>
              </w:rPr>
              <w:t>20lg（r/r</w:t>
            </w:r>
            <w:r>
              <w:rPr>
                <w:color w:val="auto"/>
                <w:kern w:val="0"/>
                <w:sz w:val="13"/>
                <w:szCs w:val="13"/>
                <w:highlight w:val="none"/>
              </w:rPr>
              <w:t>0</w:t>
            </w:r>
            <w:r>
              <w:rPr>
                <w:color w:val="auto"/>
                <w:kern w:val="0"/>
                <w:sz w:val="23"/>
                <w:szCs w:val="23"/>
                <w:highlight w:val="none"/>
              </w:rPr>
              <w:t>）</w:t>
            </w:r>
          </w:p>
          <w:p w14:paraId="3170F2E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szCs w:val="20"/>
                <w:highlight w:val="none"/>
              </w:rPr>
            </w:pPr>
            <w:r>
              <w:rPr>
                <w:color w:val="auto"/>
                <w:kern w:val="0"/>
                <w:sz w:val="24"/>
                <w:szCs w:val="20"/>
                <w:highlight w:val="none"/>
              </w:rPr>
              <w:t>式中：</w:t>
            </w:r>
          </w:p>
          <w:p w14:paraId="66659C7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szCs w:val="20"/>
                <w:highlight w:val="none"/>
              </w:rPr>
            </w:pPr>
            <w:r>
              <w:rPr>
                <w:color w:val="auto"/>
                <w:kern w:val="0"/>
                <w:sz w:val="24"/>
                <w:szCs w:val="20"/>
                <w:highlight w:val="none"/>
              </w:rPr>
              <w:t>Lp（r）——预测点处声压级，dB；</w:t>
            </w:r>
          </w:p>
          <w:p w14:paraId="633151A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szCs w:val="20"/>
                <w:highlight w:val="none"/>
              </w:rPr>
            </w:pPr>
            <w:r>
              <w:rPr>
                <w:color w:val="auto"/>
                <w:kern w:val="0"/>
                <w:sz w:val="24"/>
                <w:szCs w:val="20"/>
                <w:highlight w:val="none"/>
              </w:rPr>
              <w:t>Lp（r</w:t>
            </w:r>
            <w:r>
              <w:rPr>
                <w:color w:val="auto"/>
                <w:kern w:val="0"/>
                <w:sz w:val="24"/>
                <w:szCs w:val="20"/>
                <w:highlight w:val="none"/>
                <w:vertAlign w:val="subscript"/>
              </w:rPr>
              <w:t>0</w:t>
            </w:r>
            <w:r>
              <w:rPr>
                <w:color w:val="auto"/>
                <w:kern w:val="0"/>
                <w:sz w:val="24"/>
                <w:szCs w:val="20"/>
                <w:highlight w:val="none"/>
              </w:rPr>
              <w:t>）——参考位置r0处的声压级，dB；</w:t>
            </w:r>
          </w:p>
          <w:p w14:paraId="7616899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szCs w:val="20"/>
                <w:highlight w:val="none"/>
              </w:rPr>
            </w:pPr>
            <w:r>
              <w:rPr>
                <w:color w:val="auto"/>
                <w:kern w:val="0"/>
                <w:sz w:val="24"/>
                <w:szCs w:val="20"/>
                <w:highlight w:val="none"/>
              </w:rPr>
              <w:t>r——预测点距声源的距离；</w:t>
            </w:r>
          </w:p>
          <w:p w14:paraId="59A99E2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szCs w:val="20"/>
                <w:highlight w:val="none"/>
              </w:rPr>
            </w:pPr>
            <w:r>
              <w:rPr>
                <w:color w:val="auto"/>
                <w:kern w:val="0"/>
                <w:sz w:val="24"/>
                <w:szCs w:val="20"/>
                <w:highlight w:val="none"/>
              </w:rPr>
              <w:t>r</w:t>
            </w:r>
            <w:r>
              <w:rPr>
                <w:color w:val="auto"/>
                <w:kern w:val="0"/>
                <w:sz w:val="24"/>
                <w:szCs w:val="20"/>
                <w:highlight w:val="none"/>
                <w:vertAlign w:val="subscript"/>
              </w:rPr>
              <w:t>0</w:t>
            </w:r>
            <w:r>
              <w:rPr>
                <w:color w:val="auto"/>
                <w:kern w:val="0"/>
                <w:sz w:val="24"/>
                <w:szCs w:val="20"/>
                <w:highlight w:val="none"/>
              </w:rPr>
              <w:t>——参考位置距声源的距离。</w:t>
            </w:r>
          </w:p>
          <w:p w14:paraId="5B261E4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szCs w:val="20"/>
                <w:highlight w:val="none"/>
              </w:rPr>
            </w:pPr>
            <w:r>
              <w:rPr>
                <w:color w:val="auto"/>
                <w:kern w:val="0"/>
                <w:sz w:val="24"/>
                <w:szCs w:val="20"/>
                <w:highlight w:val="none"/>
              </w:rPr>
              <w:t>设第i个室外声源在预测点产生的A声级为L</w:t>
            </w:r>
            <w:r>
              <w:rPr>
                <w:color w:val="auto"/>
                <w:kern w:val="0"/>
                <w:sz w:val="24"/>
                <w:szCs w:val="20"/>
                <w:highlight w:val="none"/>
                <w:vertAlign w:val="subscript"/>
              </w:rPr>
              <w:t>Ai</w:t>
            </w:r>
            <w:r>
              <w:rPr>
                <w:color w:val="auto"/>
                <w:kern w:val="0"/>
                <w:sz w:val="24"/>
                <w:szCs w:val="20"/>
                <w:highlight w:val="none"/>
              </w:rPr>
              <w:t>，在T时间内该声源工作时间为t</w:t>
            </w:r>
            <w:r>
              <w:rPr>
                <w:color w:val="auto"/>
                <w:kern w:val="0"/>
                <w:sz w:val="24"/>
                <w:szCs w:val="20"/>
                <w:highlight w:val="none"/>
                <w:vertAlign w:val="subscript"/>
              </w:rPr>
              <w:t>i</w:t>
            </w:r>
            <w:r>
              <w:rPr>
                <w:color w:val="auto"/>
                <w:kern w:val="0"/>
                <w:sz w:val="24"/>
                <w:szCs w:val="20"/>
                <w:highlight w:val="none"/>
              </w:rPr>
              <w:t>；第j个等效室外声源在预测点产生的A声级为L</w:t>
            </w:r>
            <w:r>
              <w:rPr>
                <w:color w:val="auto"/>
                <w:kern w:val="0"/>
                <w:sz w:val="24"/>
                <w:szCs w:val="20"/>
                <w:highlight w:val="none"/>
                <w:vertAlign w:val="subscript"/>
              </w:rPr>
              <w:t>Aj</w:t>
            </w:r>
            <w:r>
              <w:rPr>
                <w:color w:val="auto"/>
                <w:kern w:val="0"/>
                <w:sz w:val="24"/>
                <w:szCs w:val="20"/>
                <w:highlight w:val="none"/>
              </w:rPr>
              <w:t>，在T时间内该声源工作时间为t</w:t>
            </w:r>
            <w:r>
              <w:rPr>
                <w:color w:val="auto"/>
                <w:kern w:val="0"/>
                <w:sz w:val="24"/>
                <w:szCs w:val="20"/>
                <w:highlight w:val="none"/>
                <w:vertAlign w:val="subscript"/>
              </w:rPr>
              <w:t>j</w:t>
            </w:r>
            <w:r>
              <w:rPr>
                <w:color w:val="auto"/>
                <w:kern w:val="0"/>
                <w:sz w:val="24"/>
                <w:szCs w:val="20"/>
                <w:highlight w:val="none"/>
              </w:rPr>
              <w:t>，则项目声源对预测点产生的贡献值（L</w:t>
            </w:r>
            <w:r>
              <w:rPr>
                <w:color w:val="auto"/>
                <w:kern w:val="0"/>
                <w:sz w:val="24"/>
                <w:szCs w:val="20"/>
                <w:highlight w:val="none"/>
                <w:vertAlign w:val="subscript"/>
              </w:rPr>
              <w:t>eqg</w:t>
            </w:r>
            <w:r>
              <w:rPr>
                <w:color w:val="auto"/>
                <w:kern w:val="0"/>
                <w:sz w:val="24"/>
                <w:szCs w:val="20"/>
                <w:highlight w:val="none"/>
              </w:rPr>
              <w:t>）为：</w:t>
            </w:r>
          </w:p>
          <w:p w14:paraId="606391C2">
            <w:pPr>
              <w:spacing w:line="360" w:lineRule="auto"/>
              <w:jc w:val="center"/>
              <w:rPr>
                <w:b/>
                <w:bCs/>
                <w:color w:val="auto"/>
                <w:kern w:val="0"/>
                <w:sz w:val="24"/>
                <w:szCs w:val="20"/>
                <w:highlight w:val="none"/>
              </w:rPr>
            </w:pPr>
            <w:r>
              <w:rPr>
                <w:color w:val="auto"/>
                <w:kern w:val="0"/>
                <w:sz w:val="24"/>
                <w:szCs w:val="20"/>
                <w:highlight w:val="none"/>
              </w:rPr>
              <w:drawing>
                <wp:inline distT="0" distB="0" distL="114300" distR="114300">
                  <wp:extent cx="2419350" cy="436245"/>
                  <wp:effectExtent l="0" t="0" r="3810" b="5715"/>
                  <wp:docPr id="4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6"/>
                          <pic:cNvPicPr>
                            <a:picLocks noChangeAspect="1"/>
                          </pic:cNvPicPr>
                        </pic:nvPicPr>
                        <pic:blipFill>
                          <a:blip r:embed="rId19"/>
                          <a:stretch>
                            <a:fillRect/>
                          </a:stretch>
                        </pic:blipFill>
                        <pic:spPr>
                          <a:xfrm>
                            <a:off x="0" y="0"/>
                            <a:ext cx="2419350" cy="436245"/>
                          </a:xfrm>
                          <a:prstGeom prst="rect">
                            <a:avLst/>
                          </a:prstGeom>
                          <a:noFill/>
                          <a:ln>
                            <a:noFill/>
                          </a:ln>
                        </pic:spPr>
                      </pic:pic>
                    </a:graphicData>
                  </a:graphic>
                </wp:inline>
              </w:drawing>
            </w:r>
          </w:p>
          <w:p w14:paraId="2E6BC2D6">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color w:val="auto"/>
                <w:kern w:val="0"/>
                <w:sz w:val="24"/>
                <w:szCs w:val="20"/>
                <w:highlight w:val="none"/>
              </w:rPr>
            </w:pPr>
            <w:r>
              <w:rPr>
                <w:color w:val="auto"/>
                <w:kern w:val="0"/>
                <w:sz w:val="24"/>
                <w:szCs w:val="20"/>
                <w:highlight w:val="none"/>
              </w:rPr>
              <w:t>式中：</w:t>
            </w:r>
          </w:p>
          <w:p w14:paraId="66DB99C3">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color w:val="auto"/>
                <w:kern w:val="0"/>
                <w:sz w:val="24"/>
                <w:szCs w:val="20"/>
                <w:highlight w:val="none"/>
              </w:rPr>
            </w:pPr>
            <w:r>
              <w:rPr>
                <w:color w:val="auto"/>
                <w:kern w:val="0"/>
                <w:sz w:val="24"/>
                <w:szCs w:val="20"/>
                <w:highlight w:val="none"/>
              </w:rPr>
              <w:t>L</w:t>
            </w:r>
            <w:r>
              <w:rPr>
                <w:color w:val="auto"/>
                <w:kern w:val="0"/>
                <w:sz w:val="24"/>
                <w:szCs w:val="20"/>
                <w:highlight w:val="none"/>
                <w:vertAlign w:val="subscript"/>
              </w:rPr>
              <w:t>eqg</w:t>
            </w:r>
            <w:r>
              <w:rPr>
                <w:color w:val="auto"/>
                <w:kern w:val="0"/>
                <w:sz w:val="24"/>
                <w:szCs w:val="20"/>
                <w:highlight w:val="none"/>
              </w:rPr>
              <w:t>——建设项目声源在预测点产生的噪声贡献值，dB；</w:t>
            </w:r>
          </w:p>
          <w:p w14:paraId="11A6C953">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color w:val="auto"/>
                <w:kern w:val="0"/>
                <w:sz w:val="24"/>
                <w:szCs w:val="20"/>
                <w:highlight w:val="none"/>
              </w:rPr>
            </w:pPr>
            <w:r>
              <w:rPr>
                <w:color w:val="auto"/>
                <w:kern w:val="0"/>
                <w:sz w:val="24"/>
                <w:szCs w:val="20"/>
                <w:highlight w:val="none"/>
              </w:rPr>
              <w:t>T——用于计算等效声级的时间，s；</w:t>
            </w:r>
          </w:p>
          <w:p w14:paraId="468635D1">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color w:val="auto"/>
                <w:kern w:val="0"/>
                <w:sz w:val="24"/>
                <w:szCs w:val="20"/>
                <w:highlight w:val="none"/>
              </w:rPr>
            </w:pPr>
            <w:r>
              <w:rPr>
                <w:color w:val="auto"/>
                <w:kern w:val="0"/>
                <w:sz w:val="24"/>
                <w:szCs w:val="20"/>
                <w:highlight w:val="none"/>
              </w:rPr>
              <w:t>N——室外声源个数；</w:t>
            </w:r>
          </w:p>
          <w:p w14:paraId="25CB6367">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color w:val="auto"/>
                <w:kern w:val="0"/>
                <w:sz w:val="24"/>
                <w:szCs w:val="20"/>
                <w:highlight w:val="none"/>
              </w:rPr>
            </w:pPr>
            <w:r>
              <w:rPr>
                <w:color w:val="auto"/>
                <w:kern w:val="0"/>
                <w:sz w:val="24"/>
                <w:szCs w:val="20"/>
                <w:highlight w:val="none"/>
              </w:rPr>
              <w:t>t</w:t>
            </w:r>
            <w:r>
              <w:rPr>
                <w:color w:val="auto"/>
                <w:kern w:val="0"/>
                <w:sz w:val="24"/>
                <w:szCs w:val="20"/>
                <w:highlight w:val="none"/>
                <w:vertAlign w:val="subscript"/>
              </w:rPr>
              <w:t>i</w:t>
            </w:r>
            <w:r>
              <w:rPr>
                <w:color w:val="auto"/>
                <w:kern w:val="0"/>
                <w:sz w:val="24"/>
                <w:szCs w:val="20"/>
                <w:highlight w:val="none"/>
              </w:rPr>
              <w:t>——在T时间内i声源工作时间，s；</w:t>
            </w:r>
          </w:p>
          <w:p w14:paraId="06B11D0B">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color w:val="auto"/>
                <w:kern w:val="0"/>
                <w:sz w:val="24"/>
                <w:szCs w:val="20"/>
                <w:highlight w:val="none"/>
              </w:rPr>
            </w:pPr>
            <w:r>
              <w:rPr>
                <w:color w:val="auto"/>
                <w:kern w:val="0"/>
                <w:sz w:val="24"/>
                <w:szCs w:val="20"/>
                <w:highlight w:val="none"/>
              </w:rPr>
              <w:t>M——等效室外声源个数；</w:t>
            </w:r>
          </w:p>
          <w:p w14:paraId="53B3F26E">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color w:val="auto"/>
                <w:kern w:val="0"/>
                <w:sz w:val="24"/>
                <w:szCs w:val="20"/>
                <w:highlight w:val="none"/>
              </w:rPr>
            </w:pPr>
            <w:r>
              <w:rPr>
                <w:color w:val="auto"/>
                <w:kern w:val="0"/>
                <w:sz w:val="24"/>
                <w:szCs w:val="20"/>
                <w:highlight w:val="none"/>
              </w:rPr>
              <w:t>t</w:t>
            </w:r>
            <w:r>
              <w:rPr>
                <w:color w:val="auto"/>
                <w:kern w:val="0"/>
                <w:sz w:val="24"/>
                <w:szCs w:val="20"/>
                <w:highlight w:val="none"/>
                <w:vertAlign w:val="subscript"/>
              </w:rPr>
              <w:t>j</w:t>
            </w:r>
            <w:r>
              <w:rPr>
                <w:color w:val="auto"/>
                <w:kern w:val="0"/>
                <w:sz w:val="24"/>
                <w:szCs w:val="20"/>
                <w:highlight w:val="none"/>
              </w:rPr>
              <w:t>——在T时间内j声源工作时间，s。</w:t>
            </w:r>
          </w:p>
          <w:p w14:paraId="3968521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szCs w:val="20"/>
                <w:highlight w:val="none"/>
              </w:rPr>
            </w:pPr>
            <w:r>
              <w:rPr>
                <w:rFonts w:hint="eastAsia"/>
                <w:color w:val="auto"/>
                <w:kern w:val="0"/>
                <w:sz w:val="24"/>
                <w:szCs w:val="20"/>
                <w:highlight w:val="none"/>
              </w:rPr>
              <w:t>2）预测结果分析</w:t>
            </w:r>
          </w:p>
          <w:p w14:paraId="7221CD9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szCs w:val="20"/>
                <w:highlight w:val="none"/>
              </w:rPr>
            </w:pPr>
            <w:r>
              <w:rPr>
                <w:rFonts w:hint="eastAsia"/>
                <w:color w:val="auto"/>
                <w:kern w:val="0"/>
                <w:sz w:val="24"/>
                <w:szCs w:val="20"/>
                <w:highlight w:val="none"/>
              </w:rPr>
              <w:t>项目周边50m范围内无声环境保护目标，本次预测重点分析厂界噪声贡献值达标情况，设置各厂界线外1米，高1.5m处为预测范围，根据厂界布置情况，共计21条厂界线，100个厂界预测点。</w:t>
            </w:r>
          </w:p>
          <w:p w14:paraId="369939C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szCs w:val="20"/>
                <w:highlight w:val="none"/>
              </w:rPr>
            </w:pPr>
            <w:r>
              <w:rPr>
                <w:rFonts w:hint="eastAsia"/>
                <w:color w:val="auto"/>
                <w:kern w:val="0"/>
                <w:sz w:val="24"/>
                <w:szCs w:val="20"/>
                <w:highlight w:val="none"/>
              </w:rPr>
              <w:t>通过预测模型计算，预测范围内各厂界预测贡献值昼间见表4-</w:t>
            </w:r>
            <w:r>
              <w:rPr>
                <w:rFonts w:hint="eastAsia"/>
                <w:color w:val="auto"/>
                <w:kern w:val="0"/>
                <w:sz w:val="24"/>
                <w:szCs w:val="20"/>
                <w:highlight w:val="none"/>
                <w:lang w:val="en-US" w:eastAsia="zh-CN"/>
              </w:rPr>
              <w:t>25</w:t>
            </w:r>
            <w:r>
              <w:rPr>
                <w:rFonts w:hint="eastAsia"/>
                <w:color w:val="auto"/>
                <w:kern w:val="0"/>
                <w:sz w:val="24"/>
                <w:szCs w:val="20"/>
                <w:highlight w:val="none"/>
              </w:rPr>
              <w:t>，夜间见表4-</w:t>
            </w:r>
            <w:r>
              <w:rPr>
                <w:rFonts w:hint="eastAsia"/>
                <w:color w:val="auto"/>
                <w:kern w:val="0"/>
                <w:sz w:val="24"/>
                <w:szCs w:val="20"/>
                <w:highlight w:val="none"/>
                <w:lang w:val="en-US" w:eastAsia="zh-CN"/>
              </w:rPr>
              <w:t>26</w:t>
            </w:r>
            <w:r>
              <w:rPr>
                <w:rFonts w:hint="eastAsia"/>
                <w:color w:val="auto"/>
                <w:kern w:val="0"/>
                <w:sz w:val="24"/>
                <w:szCs w:val="20"/>
                <w:highlight w:val="none"/>
              </w:rPr>
              <w:t>。</w:t>
            </w:r>
          </w:p>
          <w:p w14:paraId="15D8EB2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szCs w:val="20"/>
                <w:highlight w:val="none"/>
              </w:rPr>
            </w:pPr>
            <w:r>
              <w:rPr>
                <w:rFonts w:hint="eastAsia"/>
                <w:color w:val="auto"/>
                <w:kern w:val="0"/>
                <w:sz w:val="24"/>
                <w:szCs w:val="20"/>
                <w:highlight w:val="none"/>
              </w:rPr>
              <w:t>各预测点贡献值分布见图4-</w:t>
            </w:r>
            <w:r>
              <w:rPr>
                <w:rFonts w:hint="eastAsia"/>
                <w:color w:val="auto"/>
                <w:kern w:val="0"/>
                <w:sz w:val="24"/>
                <w:szCs w:val="20"/>
                <w:highlight w:val="none"/>
                <w:lang w:val="en-US" w:eastAsia="zh-CN"/>
              </w:rPr>
              <w:t>3</w:t>
            </w:r>
            <w:r>
              <w:rPr>
                <w:rFonts w:hint="eastAsia"/>
                <w:color w:val="auto"/>
                <w:kern w:val="0"/>
                <w:sz w:val="24"/>
                <w:szCs w:val="20"/>
                <w:highlight w:val="none"/>
              </w:rPr>
              <w:t>，贡献值等声值线图见图4-</w:t>
            </w:r>
            <w:r>
              <w:rPr>
                <w:rFonts w:hint="eastAsia"/>
                <w:color w:val="auto"/>
                <w:kern w:val="0"/>
                <w:sz w:val="24"/>
                <w:szCs w:val="20"/>
                <w:highlight w:val="none"/>
                <w:lang w:val="en-US" w:eastAsia="zh-CN"/>
              </w:rPr>
              <w:t>4</w:t>
            </w:r>
            <w:r>
              <w:rPr>
                <w:rFonts w:hint="eastAsia"/>
                <w:color w:val="auto"/>
                <w:kern w:val="0"/>
                <w:sz w:val="24"/>
                <w:szCs w:val="20"/>
                <w:highlight w:val="none"/>
              </w:rPr>
              <w:t>。</w:t>
            </w:r>
          </w:p>
          <w:p w14:paraId="3DC21428">
            <w:pPr>
              <w:keepNext w:val="0"/>
              <w:keepLines w:val="0"/>
              <w:pageBreakBefore w:val="0"/>
              <w:widowControl w:val="0"/>
              <w:kinsoku/>
              <w:wordWrap/>
              <w:overflowPunct/>
              <w:topLinePunct w:val="0"/>
              <w:autoSpaceDE/>
              <w:autoSpaceDN/>
              <w:bidi w:val="0"/>
              <w:adjustRightInd w:val="0"/>
              <w:snapToGrid w:val="0"/>
              <w:spacing w:before="157" w:beforeLines="50" w:line="320" w:lineRule="exact"/>
              <w:jc w:val="center"/>
              <w:textAlignment w:val="auto"/>
              <w:rPr>
                <w:b/>
                <w:color w:val="auto"/>
                <w:szCs w:val="21"/>
                <w:highlight w:val="none"/>
              </w:rPr>
            </w:pPr>
            <w:r>
              <w:rPr>
                <w:b/>
                <w:color w:val="auto"/>
                <w:szCs w:val="21"/>
                <w:highlight w:val="none"/>
              </w:rPr>
              <w:t>表4-</w:t>
            </w:r>
            <w:r>
              <w:rPr>
                <w:rFonts w:hint="eastAsia"/>
                <w:b/>
                <w:color w:val="auto"/>
                <w:szCs w:val="21"/>
                <w:highlight w:val="none"/>
                <w:lang w:val="en-US" w:eastAsia="zh-CN"/>
              </w:rPr>
              <w:t xml:space="preserve">25 </w:t>
            </w:r>
            <w:r>
              <w:rPr>
                <w:b/>
                <w:color w:val="auto"/>
                <w:szCs w:val="21"/>
                <w:highlight w:val="none"/>
              </w:rPr>
              <w:t xml:space="preserve"> </w:t>
            </w:r>
            <w:r>
              <w:rPr>
                <w:rFonts w:hint="eastAsia"/>
                <w:b/>
                <w:color w:val="auto"/>
                <w:szCs w:val="21"/>
                <w:highlight w:val="none"/>
              </w:rPr>
              <w:t>改建后全厂</w:t>
            </w:r>
            <w:r>
              <w:rPr>
                <w:b/>
                <w:color w:val="auto"/>
                <w:szCs w:val="21"/>
                <w:highlight w:val="none"/>
              </w:rPr>
              <w:t>运营期厂界昼间噪声预测结果一览表 单位：dB（A）</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123"/>
              <w:gridCol w:w="1067"/>
              <w:gridCol w:w="1585"/>
              <w:gridCol w:w="1602"/>
              <w:gridCol w:w="1204"/>
              <w:gridCol w:w="1041"/>
              <w:gridCol w:w="1062"/>
            </w:tblGrid>
            <w:tr w14:paraId="5D96A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647" w:type="pct"/>
                  <w:vMerge w:val="restart"/>
                  <w:vAlign w:val="center"/>
                </w:tcPr>
                <w:p w14:paraId="598C05F7">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b/>
                      <w:bCs/>
                      <w:color w:val="auto"/>
                      <w:szCs w:val="21"/>
                      <w:highlight w:val="none"/>
                    </w:rPr>
                  </w:pPr>
                  <w:r>
                    <w:rPr>
                      <w:b/>
                      <w:bCs/>
                      <w:color w:val="auto"/>
                      <w:szCs w:val="21"/>
                      <w:highlight w:val="none"/>
                    </w:rPr>
                    <w:t>序号</w:t>
                  </w:r>
                </w:p>
              </w:tc>
              <w:tc>
                <w:tcPr>
                  <w:tcW w:w="614" w:type="pct"/>
                  <w:vMerge w:val="restart"/>
                  <w:vAlign w:val="center"/>
                </w:tcPr>
                <w:p w14:paraId="6BCDC0DA">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b/>
                      <w:bCs/>
                      <w:color w:val="auto"/>
                      <w:szCs w:val="21"/>
                      <w:highlight w:val="none"/>
                    </w:rPr>
                  </w:pPr>
                  <w:r>
                    <w:rPr>
                      <w:b/>
                      <w:bCs/>
                      <w:color w:val="auto"/>
                      <w:szCs w:val="21"/>
                      <w:highlight w:val="none"/>
                    </w:rPr>
                    <w:t>场界方位</w:t>
                  </w:r>
                </w:p>
              </w:tc>
              <w:tc>
                <w:tcPr>
                  <w:tcW w:w="912" w:type="pct"/>
                  <w:vMerge w:val="restart"/>
                  <w:vAlign w:val="center"/>
                </w:tcPr>
                <w:p w14:paraId="4F6C4928">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b/>
                      <w:bCs/>
                      <w:color w:val="auto"/>
                      <w:szCs w:val="21"/>
                      <w:highlight w:val="none"/>
                    </w:rPr>
                  </w:pPr>
                  <w:r>
                    <w:rPr>
                      <w:b/>
                      <w:bCs/>
                      <w:color w:val="auto"/>
                      <w:szCs w:val="21"/>
                      <w:highlight w:val="none"/>
                    </w:rPr>
                    <w:t>预测点x坐标</w:t>
                  </w:r>
                </w:p>
              </w:tc>
              <w:tc>
                <w:tcPr>
                  <w:tcW w:w="922" w:type="pct"/>
                  <w:vMerge w:val="restart"/>
                  <w:vAlign w:val="center"/>
                </w:tcPr>
                <w:p w14:paraId="083F54FB">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b/>
                      <w:bCs/>
                      <w:color w:val="auto"/>
                      <w:szCs w:val="21"/>
                      <w:highlight w:val="none"/>
                    </w:rPr>
                  </w:pPr>
                  <w:r>
                    <w:rPr>
                      <w:b/>
                      <w:bCs/>
                      <w:color w:val="auto"/>
                      <w:szCs w:val="21"/>
                      <w:highlight w:val="none"/>
                    </w:rPr>
                    <w:t>预测点y坐标</w:t>
                  </w:r>
                </w:p>
              </w:tc>
              <w:tc>
                <w:tcPr>
                  <w:tcW w:w="1903" w:type="pct"/>
                  <w:gridSpan w:val="3"/>
                  <w:vAlign w:val="center"/>
                </w:tcPr>
                <w:p w14:paraId="00ABE5AC">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b/>
                      <w:bCs/>
                      <w:color w:val="auto"/>
                      <w:szCs w:val="21"/>
                      <w:highlight w:val="none"/>
                    </w:rPr>
                  </w:pPr>
                  <w:r>
                    <w:rPr>
                      <w:b/>
                      <w:bCs/>
                      <w:color w:val="auto"/>
                      <w:szCs w:val="21"/>
                      <w:highlight w:val="none"/>
                    </w:rPr>
                    <w:t>昼间</w:t>
                  </w:r>
                </w:p>
              </w:tc>
            </w:tr>
            <w:tr w14:paraId="2D32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47" w:type="pct"/>
                  <w:vMerge w:val="continue"/>
                  <w:vAlign w:val="center"/>
                </w:tcPr>
                <w:p w14:paraId="78462FBE">
                  <w:pPr>
                    <w:keepNext w:val="0"/>
                    <w:keepLines w:val="0"/>
                    <w:pageBreakBefore w:val="0"/>
                    <w:widowControl/>
                    <w:kinsoku/>
                    <w:wordWrap/>
                    <w:overflowPunct/>
                    <w:topLinePunct w:val="0"/>
                    <w:bidi w:val="0"/>
                    <w:adjustRightInd/>
                    <w:snapToGrid/>
                    <w:spacing w:line="320" w:lineRule="exact"/>
                    <w:jc w:val="center"/>
                    <w:textAlignment w:val="auto"/>
                    <w:rPr>
                      <w:b/>
                      <w:bCs/>
                      <w:color w:val="auto"/>
                      <w:szCs w:val="21"/>
                      <w:highlight w:val="none"/>
                    </w:rPr>
                  </w:pPr>
                </w:p>
              </w:tc>
              <w:tc>
                <w:tcPr>
                  <w:tcW w:w="614" w:type="pct"/>
                  <w:vMerge w:val="continue"/>
                  <w:vAlign w:val="center"/>
                </w:tcPr>
                <w:p w14:paraId="37A29465">
                  <w:pPr>
                    <w:keepNext w:val="0"/>
                    <w:keepLines w:val="0"/>
                    <w:pageBreakBefore w:val="0"/>
                    <w:widowControl/>
                    <w:kinsoku/>
                    <w:wordWrap/>
                    <w:overflowPunct/>
                    <w:topLinePunct w:val="0"/>
                    <w:bidi w:val="0"/>
                    <w:adjustRightInd/>
                    <w:snapToGrid/>
                    <w:spacing w:line="320" w:lineRule="exact"/>
                    <w:jc w:val="center"/>
                    <w:textAlignment w:val="auto"/>
                    <w:rPr>
                      <w:b/>
                      <w:bCs/>
                      <w:color w:val="auto"/>
                      <w:szCs w:val="21"/>
                      <w:highlight w:val="none"/>
                    </w:rPr>
                  </w:pPr>
                </w:p>
              </w:tc>
              <w:tc>
                <w:tcPr>
                  <w:tcW w:w="912" w:type="pct"/>
                  <w:vMerge w:val="continue"/>
                  <w:vAlign w:val="center"/>
                </w:tcPr>
                <w:p w14:paraId="7323B0A5">
                  <w:pPr>
                    <w:keepNext w:val="0"/>
                    <w:keepLines w:val="0"/>
                    <w:pageBreakBefore w:val="0"/>
                    <w:widowControl/>
                    <w:kinsoku/>
                    <w:wordWrap/>
                    <w:overflowPunct/>
                    <w:topLinePunct w:val="0"/>
                    <w:bidi w:val="0"/>
                    <w:adjustRightInd/>
                    <w:snapToGrid/>
                    <w:spacing w:line="320" w:lineRule="exact"/>
                    <w:jc w:val="center"/>
                    <w:textAlignment w:val="auto"/>
                    <w:rPr>
                      <w:b/>
                      <w:bCs/>
                      <w:color w:val="auto"/>
                      <w:szCs w:val="21"/>
                      <w:highlight w:val="none"/>
                    </w:rPr>
                  </w:pPr>
                </w:p>
              </w:tc>
              <w:tc>
                <w:tcPr>
                  <w:tcW w:w="922" w:type="pct"/>
                  <w:vMerge w:val="continue"/>
                  <w:vAlign w:val="center"/>
                </w:tcPr>
                <w:p w14:paraId="3B3C8E7F">
                  <w:pPr>
                    <w:keepNext w:val="0"/>
                    <w:keepLines w:val="0"/>
                    <w:pageBreakBefore w:val="0"/>
                    <w:widowControl/>
                    <w:kinsoku/>
                    <w:wordWrap/>
                    <w:overflowPunct/>
                    <w:topLinePunct w:val="0"/>
                    <w:bidi w:val="0"/>
                    <w:adjustRightInd/>
                    <w:snapToGrid/>
                    <w:spacing w:line="320" w:lineRule="exact"/>
                    <w:jc w:val="center"/>
                    <w:textAlignment w:val="auto"/>
                    <w:rPr>
                      <w:b/>
                      <w:bCs/>
                      <w:color w:val="auto"/>
                      <w:szCs w:val="21"/>
                      <w:highlight w:val="none"/>
                    </w:rPr>
                  </w:pPr>
                </w:p>
              </w:tc>
              <w:tc>
                <w:tcPr>
                  <w:tcW w:w="693" w:type="pct"/>
                  <w:vAlign w:val="center"/>
                </w:tcPr>
                <w:p w14:paraId="1D336EFD">
                  <w:pPr>
                    <w:keepNext w:val="0"/>
                    <w:keepLines w:val="0"/>
                    <w:pageBreakBefore w:val="0"/>
                    <w:kinsoku/>
                    <w:wordWrap/>
                    <w:overflowPunct/>
                    <w:topLinePunct w:val="0"/>
                    <w:autoSpaceDE w:val="0"/>
                    <w:autoSpaceDN w:val="0"/>
                    <w:bidi w:val="0"/>
                    <w:adjustRightInd/>
                    <w:snapToGrid/>
                    <w:spacing w:line="320" w:lineRule="exact"/>
                    <w:jc w:val="center"/>
                    <w:textAlignment w:val="auto"/>
                    <w:rPr>
                      <w:b/>
                      <w:bCs/>
                      <w:color w:val="auto"/>
                      <w:szCs w:val="21"/>
                      <w:highlight w:val="none"/>
                    </w:rPr>
                  </w:pPr>
                  <w:r>
                    <w:rPr>
                      <w:b/>
                      <w:bCs/>
                      <w:color w:val="auto"/>
                      <w:szCs w:val="21"/>
                      <w:highlight w:val="none"/>
                    </w:rPr>
                    <w:t>贡献值</w:t>
                  </w:r>
                </w:p>
              </w:tc>
              <w:tc>
                <w:tcPr>
                  <w:tcW w:w="599" w:type="pct"/>
                  <w:vAlign w:val="center"/>
                </w:tcPr>
                <w:p w14:paraId="59359303">
                  <w:pPr>
                    <w:keepNext w:val="0"/>
                    <w:keepLines w:val="0"/>
                    <w:pageBreakBefore w:val="0"/>
                    <w:kinsoku/>
                    <w:wordWrap/>
                    <w:overflowPunct/>
                    <w:topLinePunct w:val="0"/>
                    <w:autoSpaceDE w:val="0"/>
                    <w:autoSpaceDN w:val="0"/>
                    <w:bidi w:val="0"/>
                    <w:adjustRightInd/>
                    <w:snapToGrid/>
                    <w:spacing w:line="320" w:lineRule="exact"/>
                    <w:jc w:val="center"/>
                    <w:textAlignment w:val="auto"/>
                    <w:rPr>
                      <w:b/>
                      <w:bCs/>
                      <w:color w:val="auto"/>
                      <w:szCs w:val="21"/>
                      <w:highlight w:val="none"/>
                    </w:rPr>
                  </w:pPr>
                  <w:r>
                    <w:rPr>
                      <w:b/>
                      <w:bCs/>
                      <w:color w:val="auto"/>
                      <w:szCs w:val="21"/>
                      <w:highlight w:val="none"/>
                    </w:rPr>
                    <w:t>标准值</w:t>
                  </w:r>
                </w:p>
              </w:tc>
              <w:tc>
                <w:tcPr>
                  <w:tcW w:w="610" w:type="pct"/>
                  <w:vAlign w:val="center"/>
                </w:tcPr>
                <w:p w14:paraId="7755AF48">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b/>
                      <w:bCs/>
                      <w:color w:val="auto"/>
                      <w:szCs w:val="21"/>
                      <w:highlight w:val="none"/>
                    </w:rPr>
                  </w:pPr>
                  <w:r>
                    <w:rPr>
                      <w:b/>
                      <w:bCs/>
                      <w:color w:val="auto"/>
                      <w:szCs w:val="21"/>
                      <w:highlight w:val="none"/>
                    </w:rPr>
                    <w:t>达标情况</w:t>
                  </w:r>
                </w:p>
              </w:tc>
            </w:tr>
            <w:tr w14:paraId="1AEB4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47" w:type="pct"/>
                  <w:vAlign w:val="center"/>
                </w:tcPr>
                <w:p w14:paraId="7D79E384">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color w:val="auto"/>
                      <w:szCs w:val="21"/>
                      <w:highlight w:val="none"/>
                    </w:rPr>
                  </w:pPr>
                  <w:r>
                    <w:rPr>
                      <w:color w:val="auto"/>
                      <w:szCs w:val="21"/>
                      <w:highlight w:val="none"/>
                    </w:rPr>
                    <w:t>1</w:t>
                  </w:r>
                </w:p>
              </w:tc>
              <w:tc>
                <w:tcPr>
                  <w:tcW w:w="614" w:type="pct"/>
                  <w:vAlign w:val="center"/>
                </w:tcPr>
                <w:p w14:paraId="481A42AD">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东</w:t>
                  </w:r>
                  <w:r>
                    <w:rPr>
                      <w:color w:val="auto"/>
                      <w:szCs w:val="21"/>
                      <w:highlight w:val="none"/>
                    </w:rPr>
                    <w:t>厂界</w:t>
                  </w:r>
                </w:p>
                <w:p w14:paraId="327CCD47">
                  <w:pPr>
                    <w:keepNext w:val="0"/>
                    <w:keepLines w:val="0"/>
                    <w:pageBreakBefore w:val="0"/>
                    <w:widowControl/>
                    <w:kinsoku/>
                    <w:wordWrap/>
                    <w:overflowPunct/>
                    <w:topLinePunct w:val="0"/>
                    <w:bidi w:val="0"/>
                    <w:adjustRightInd/>
                    <w:snapToGrid/>
                    <w:spacing w:line="320" w:lineRule="exact"/>
                    <w:jc w:val="center"/>
                    <w:textAlignment w:val="auto"/>
                    <w:rPr>
                      <w:color w:val="auto"/>
                      <w:szCs w:val="21"/>
                      <w:highlight w:val="none"/>
                    </w:rPr>
                  </w:pPr>
                  <w:r>
                    <w:rPr>
                      <w:color w:val="auto"/>
                      <w:szCs w:val="21"/>
                      <w:highlight w:val="none"/>
                    </w:rPr>
                    <w:t>最大值</w:t>
                  </w:r>
                </w:p>
              </w:tc>
              <w:tc>
                <w:tcPr>
                  <w:tcW w:w="1589" w:type="dxa"/>
                  <w:vAlign w:val="center"/>
                </w:tcPr>
                <w:p w14:paraId="78DBDBE1">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38</w:t>
                  </w:r>
                </w:p>
              </w:tc>
              <w:tc>
                <w:tcPr>
                  <w:tcW w:w="1607" w:type="dxa"/>
                  <w:vAlign w:val="center"/>
                </w:tcPr>
                <w:p w14:paraId="258F44B2">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61.4</w:t>
                  </w:r>
                </w:p>
              </w:tc>
              <w:tc>
                <w:tcPr>
                  <w:tcW w:w="1208" w:type="dxa"/>
                  <w:vAlign w:val="center"/>
                </w:tcPr>
                <w:p w14:paraId="044B212E">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44.51</w:t>
                  </w:r>
                </w:p>
              </w:tc>
              <w:tc>
                <w:tcPr>
                  <w:tcW w:w="599" w:type="pct"/>
                  <w:vAlign w:val="center"/>
                </w:tcPr>
                <w:p w14:paraId="5144A43F">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65</w:t>
                  </w:r>
                </w:p>
              </w:tc>
              <w:tc>
                <w:tcPr>
                  <w:tcW w:w="610" w:type="pct"/>
                  <w:vAlign w:val="center"/>
                </w:tcPr>
                <w:p w14:paraId="515DEA1D">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color w:val="auto"/>
                      <w:szCs w:val="21"/>
                      <w:highlight w:val="none"/>
                    </w:rPr>
                    <w:t>达标</w:t>
                  </w:r>
                </w:p>
              </w:tc>
            </w:tr>
            <w:tr w14:paraId="517B0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47" w:type="pct"/>
                  <w:vAlign w:val="center"/>
                </w:tcPr>
                <w:p w14:paraId="4E8C9E4B">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color w:val="auto"/>
                      <w:szCs w:val="21"/>
                      <w:highlight w:val="none"/>
                    </w:rPr>
                  </w:pPr>
                  <w:r>
                    <w:rPr>
                      <w:color w:val="auto"/>
                      <w:szCs w:val="21"/>
                      <w:highlight w:val="none"/>
                    </w:rPr>
                    <w:t>2</w:t>
                  </w:r>
                </w:p>
              </w:tc>
              <w:tc>
                <w:tcPr>
                  <w:tcW w:w="614" w:type="pct"/>
                  <w:vAlign w:val="center"/>
                </w:tcPr>
                <w:p w14:paraId="03A1840F">
                  <w:pPr>
                    <w:keepNext w:val="0"/>
                    <w:keepLines w:val="0"/>
                    <w:pageBreakBefore w:val="0"/>
                    <w:widowControl/>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南</w:t>
                  </w:r>
                  <w:r>
                    <w:rPr>
                      <w:color w:val="auto"/>
                      <w:szCs w:val="21"/>
                      <w:highlight w:val="none"/>
                    </w:rPr>
                    <w:t>厂界</w:t>
                  </w:r>
                </w:p>
                <w:p w14:paraId="6653DAA2">
                  <w:pPr>
                    <w:keepNext w:val="0"/>
                    <w:keepLines w:val="0"/>
                    <w:pageBreakBefore w:val="0"/>
                    <w:widowControl/>
                    <w:kinsoku/>
                    <w:wordWrap/>
                    <w:overflowPunct/>
                    <w:topLinePunct w:val="0"/>
                    <w:bidi w:val="0"/>
                    <w:adjustRightInd/>
                    <w:snapToGrid/>
                    <w:spacing w:line="320" w:lineRule="exact"/>
                    <w:jc w:val="center"/>
                    <w:textAlignment w:val="auto"/>
                    <w:rPr>
                      <w:color w:val="auto"/>
                      <w:szCs w:val="21"/>
                      <w:highlight w:val="none"/>
                    </w:rPr>
                  </w:pPr>
                  <w:r>
                    <w:rPr>
                      <w:color w:val="auto"/>
                      <w:szCs w:val="21"/>
                      <w:highlight w:val="none"/>
                    </w:rPr>
                    <w:t>最大值</w:t>
                  </w:r>
                </w:p>
              </w:tc>
              <w:tc>
                <w:tcPr>
                  <w:tcW w:w="1589" w:type="dxa"/>
                  <w:vAlign w:val="center"/>
                </w:tcPr>
                <w:p w14:paraId="39F778FB">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-104.57</w:t>
                  </w:r>
                </w:p>
              </w:tc>
              <w:tc>
                <w:tcPr>
                  <w:tcW w:w="1607" w:type="dxa"/>
                  <w:vAlign w:val="center"/>
                </w:tcPr>
                <w:p w14:paraId="65E8FFE3">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-114.74</w:t>
                  </w:r>
                </w:p>
              </w:tc>
              <w:tc>
                <w:tcPr>
                  <w:tcW w:w="1208" w:type="dxa"/>
                  <w:vAlign w:val="center"/>
                </w:tcPr>
                <w:p w14:paraId="36AD84FA">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33.89</w:t>
                  </w:r>
                </w:p>
              </w:tc>
              <w:tc>
                <w:tcPr>
                  <w:tcW w:w="599" w:type="pct"/>
                  <w:vAlign w:val="center"/>
                </w:tcPr>
                <w:p w14:paraId="39D338AC">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65</w:t>
                  </w:r>
                </w:p>
              </w:tc>
              <w:tc>
                <w:tcPr>
                  <w:tcW w:w="610" w:type="pct"/>
                  <w:vAlign w:val="center"/>
                </w:tcPr>
                <w:p w14:paraId="7731EDC1">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color w:val="auto"/>
                      <w:szCs w:val="21"/>
                      <w:highlight w:val="none"/>
                    </w:rPr>
                    <w:t>达标</w:t>
                  </w:r>
                </w:p>
              </w:tc>
            </w:tr>
            <w:tr w14:paraId="3E9C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47" w:type="pct"/>
                  <w:vAlign w:val="center"/>
                </w:tcPr>
                <w:p w14:paraId="788A7A88">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color w:val="auto"/>
                      <w:szCs w:val="21"/>
                      <w:highlight w:val="none"/>
                    </w:rPr>
                  </w:pPr>
                  <w:r>
                    <w:rPr>
                      <w:color w:val="auto"/>
                      <w:szCs w:val="21"/>
                      <w:highlight w:val="none"/>
                    </w:rPr>
                    <w:t>3</w:t>
                  </w:r>
                </w:p>
              </w:tc>
              <w:tc>
                <w:tcPr>
                  <w:tcW w:w="614" w:type="pct"/>
                  <w:vAlign w:val="center"/>
                </w:tcPr>
                <w:p w14:paraId="738BA080">
                  <w:pPr>
                    <w:keepNext w:val="0"/>
                    <w:keepLines w:val="0"/>
                    <w:pageBreakBefore w:val="0"/>
                    <w:widowControl/>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西</w:t>
                  </w:r>
                  <w:r>
                    <w:rPr>
                      <w:color w:val="auto"/>
                      <w:szCs w:val="21"/>
                      <w:highlight w:val="none"/>
                    </w:rPr>
                    <w:t>厂界</w:t>
                  </w:r>
                </w:p>
                <w:p w14:paraId="4E993A52">
                  <w:pPr>
                    <w:keepNext w:val="0"/>
                    <w:keepLines w:val="0"/>
                    <w:pageBreakBefore w:val="0"/>
                    <w:widowControl/>
                    <w:kinsoku/>
                    <w:wordWrap/>
                    <w:overflowPunct/>
                    <w:topLinePunct w:val="0"/>
                    <w:bidi w:val="0"/>
                    <w:adjustRightInd/>
                    <w:snapToGrid/>
                    <w:spacing w:line="320" w:lineRule="exact"/>
                    <w:jc w:val="center"/>
                    <w:textAlignment w:val="auto"/>
                    <w:rPr>
                      <w:color w:val="auto"/>
                      <w:szCs w:val="21"/>
                      <w:highlight w:val="none"/>
                    </w:rPr>
                  </w:pPr>
                  <w:r>
                    <w:rPr>
                      <w:color w:val="auto"/>
                      <w:szCs w:val="21"/>
                      <w:highlight w:val="none"/>
                    </w:rPr>
                    <w:t>最大值</w:t>
                  </w:r>
                </w:p>
              </w:tc>
              <w:tc>
                <w:tcPr>
                  <w:tcW w:w="1589" w:type="dxa"/>
                  <w:vAlign w:val="center"/>
                </w:tcPr>
                <w:p w14:paraId="675F4450">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73.19</w:t>
                  </w:r>
                </w:p>
              </w:tc>
              <w:tc>
                <w:tcPr>
                  <w:tcW w:w="1607" w:type="dxa"/>
                  <w:vAlign w:val="center"/>
                </w:tcPr>
                <w:p w14:paraId="4CCC99D0">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15.89</w:t>
                  </w:r>
                </w:p>
              </w:tc>
              <w:tc>
                <w:tcPr>
                  <w:tcW w:w="1208" w:type="dxa"/>
                  <w:vAlign w:val="center"/>
                </w:tcPr>
                <w:p w14:paraId="603597DA">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41.06</w:t>
                  </w:r>
                </w:p>
              </w:tc>
              <w:tc>
                <w:tcPr>
                  <w:tcW w:w="599" w:type="pct"/>
                  <w:vAlign w:val="center"/>
                </w:tcPr>
                <w:p w14:paraId="030F777E">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65</w:t>
                  </w:r>
                </w:p>
              </w:tc>
              <w:tc>
                <w:tcPr>
                  <w:tcW w:w="610" w:type="pct"/>
                  <w:vAlign w:val="center"/>
                </w:tcPr>
                <w:p w14:paraId="0367C277">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color w:val="auto"/>
                      <w:szCs w:val="21"/>
                      <w:highlight w:val="none"/>
                    </w:rPr>
                    <w:t>达标</w:t>
                  </w:r>
                </w:p>
              </w:tc>
            </w:tr>
            <w:tr w14:paraId="2E329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47" w:type="pct"/>
                  <w:vAlign w:val="center"/>
                </w:tcPr>
                <w:p w14:paraId="043A4A3D">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color w:val="auto"/>
                      <w:szCs w:val="21"/>
                      <w:highlight w:val="none"/>
                    </w:rPr>
                  </w:pPr>
                  <w:r>
                    <w:rPr>
                      <w:color w:val="auto"/>
                      <w:szCs w:val="21"/>
                      <w:highlight w:val="none"/>
                    </w:rPr>
                    <w:t>4</w:t>
                  </w:r>
                </w:p>
              </w:tc>
              <w:tc>
                <w:tcPr>
                  <w:tcW w:w="614" w:type="pct"/>
                  <w:vAlign w:val="center"/>
                </w:tcPr>
                <w:p w14:paraId="4B3EC3D3">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北</w:t>
                  </w:r>
                  <w:r>
                    <w:rPr>
                      <w:color w:val="auto"/>
                      <w:szCs w:val="21"/>
                      <w:highlight w:val="none"/>
                    </w:rPr>
                    <w:t>厂界</w:t>
                  </w:r>
                </w:p>
                <w:p w14:paraId="41EB624C">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color w:val="auto"/>
                      <w:szCs w:val="21"/>
                      <w:highlight w:val="none"/>
                    </w:rPr>
                    <w:t>最大值</w:t>
                  </w:r>
                </w:p>
              </w:tc>
              <w:tc>
                <w:tcPr>
                  <w:tcW w:w="1589" w:type="dxa"/>
                  <w:vAlign w:val="center"/>
                </w:tcPr>
                <w:p w14:paraId="7E26E5FB">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148.19</w:t>
                  </w:r>
                </w:p>
              </w:tc>
              <w:tc>
                <w:tcPr>
                  <w:tcW w:w="1607" w:type="dxa"/>
                  <w:vAlign w:val="center"/>
                </w:tcPr>
                <w:p w14:paraId="3551CF5C">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136.99</w:t>
                  </w:r>
                </w:p>
              </w:tc>
              <w:tc>
                <w:tcPr>
                  <w:tcW w:w="1208" w:type="dxa"/>
                  <w:vAlign w:val="center"/>
                </w:tcPr>
                <w:p w14:paraId="1E8CDBF5">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40.8</w:t>
                  </w:r>
                </w:p>
              </w:tc>
              <w:tc>
                <w:tcPr>
                  <w:tcW w:w="599" w:type="pct"/>
                  <w:vAlign w:val="center"/>
                </w:tcPr>
                <w:p w14:paraId="1CDF102F">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65</w:t>
                  </w:r>
                </w:p>
              </w:tc>
              <w:tc>
                <w:tcPr>
                  <w:tcW w:w="610" w:type="pct"/>
                  <w:vAlign w:val="center"/>
                </w:tcPr>
                <w:p w14:paraId="347CAE2C">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color w:val="auto"/>
                      <w:szCs w:val="21"/>
                      <w:highlight w:val="none"/>
                    </w:rPr>
                    <w:t>达标</w:t>
                  </w:r>
                </w:p>
              </w:tc>
            </w:tr>
          </w:tbl>
          <w:p w14:paraId="172665E5">
            <w:pPr>
              <w:spacing w:before="120" w:beforeLines="50"/>
              <w:rPr>
                <w:color w:val="auto"/>
                <w:kern w:val="0"/>
                <w:sz w:val="24"/>
                <w:szCs w:val="20"/>
                <w:highlight w:val="none"/>
              </w:rPr>
            </w:pPr>
            <w:r>
              <w:rPr>
                <w:rFonts w:hint="eastAsia"/>
                <w:color w:val="auto"/>
                <w:kern w:val="0"/>
                <w:sz w:val="24"/>
                <w:szCs w:val="20"/>
                <w:highlight w:val="none"/>
              </w:rPr>
              <w:drawing>
                <wp:inline distT="0" distB="0" distL="114300" distR="114300">
                  <wp:extent cx="5535295" cy="3251835"/>
                  <wp:effectExtent l="0" t="0" r="12065" b="9525"/>
                  <wp:docPr id="55" name="图片 55" descr="4ef432a8-4ef2-463c-8873-9b77f30583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4ef432a8-4ef2-463c-8873-9b77f30583f9"/>
                          <pic:cNvPicPr>
                            <a:picLocks noChangeAspect="1"/>
                          </pic:cNvPicPr>
                        </pic:nvPicPr>
                        <pic:blipFill>
                          <a:blip r:embed="rId20"/>
                          <a:stretch>
                            <a:fillRect/>
                          </a:stretch>
                        </pic:blipFill>
                        <pic:spPr>
                          <a:xfrm>
                            <a:off x="0" y="0"/>
                            <a:ext cx="5535295" cy="3251835"/>
                          </a:xfrm>
                          <a:prstGeom prst="rect">
                            <a:avLst/>
                          </a:prstGeom>
                        </pic:spPr>
                      </pic:pic>
                    </a:graphicData>
                  </a:graphic>
                </wp:inline>
              </w:drawing>
            </w:r>
          </w:p>
          <w:p w14:paraId="207F7278">
            <w:pPr>
              <w:jc w:val="center"/>
              <w:rPr>
                <w:rFonts w:eastAsiaTheme="majorEastAsia"/>
                <w:b/>
                <w:bCs/>
                <w:color w:val="auto"/>
                <w:kern w:val="0"/>
                <w:szCs w:val="16"/>
                <w:highlight w:val="none"/>
              </w:rPr>
            </w:pPr>
            <w:r>
              <w:rPr>
                <w:rFonts w:hint="eastAsia" w:eastAsiaTheme="majorEastAsia"/>
                <w:b/>
                <w:bCs/>
                <w:color w:val="auto"/>
                <w:kern w:val="0"/>
                <w:szCs w:val="16"/>
                <w:highlight w:val="none"/>
              </w:rPr>
              <w:t>图4-</w:t>
            </w:r>
            <w:r>
              <w:rPr>
                <w:rFonts w:hint="eastAsia" w:eastAsiaTheme="majorEastAsia"/>
                <w:b/>
                <w:bCs/>
                <w:color w:val="auto"/>
                <w:kern w:val="0"/>
                <w:szCs w:val="16"/>
                <w:highlight w:val="none"/>
                <w:lang w:val="en-US" w:eastAsia="zh-CN"/>
              </w:rPr>
              <w:t>3</w:t>
            </w:r>
            <w:r>
              <w:rPr>
                <w:rFonts w:hint="eastAsia" w:eastAsiaTheme="majorEastAsia"/>
                <w:b/>
                <w:bCs/>
                <w:color w:val="auto"/>
                <w:kern w:val="0"/>
                <w:szCs w:val="16"/>
                <w:highlight w:val="none"/>
              </w:rPr>
              <w:t xml:space="preserve">  贡献值等声值线图（昼间）</w:t>
            </w:r>
          </w:p>
          <w:p w14:paraId="6524207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color w:val="auto"/>
                <w:szCs w:val="21"/>
                <w:highlight w:val="none"/>
              </w:rPr>
            </w:pPr>
            <w:r>
              <w:rPr>
                <w:b/>
                <w:color w:val="auto"/>
                <w:szCs w:val="21"/>
                <w:highlight w:val="none"/>
              </w:rPr>
              <w:t>表4-</w:t>
            </w:r>
            <w:r>
              <w:rPr>
                <w:rFonts w:hint="eastAsia"/>
                <w:b/>
                <w:color w:val="auto"/>
                <w:szCs w:val="21"/>
                <w:highlight w:val="none"/>
                <w:lang w:val="en-US" w:eastAsia="zh-CN"/>
              </w:rPr>
              <w:t xml:space="preserve">26  </w:t>
            </w:r>
            <w:r>
              <w:rPr>
                <w:rFonts w:hint="eastAsia"/>
                <w:b/>
                <w:color w:val="auto"/>
                <w:szCs w:val="21"/>
                <w:highlight w:val="none"/>
              </w:rPr>
              <w:t>改建后全厂</w:t>
            </w:r>
            <w:r>
              <w:rPr>
                <w:b/>
                <w:color w:val="auto"/>
                <w:szCs w:val="21"/>
                <w:highlight w:val="none"/>
              </w:rPr>
              <w:t xml:space="preserve">运营期厂界夜间噪声预测结果一览表 </w:t>
            </w:r>
            <w:r>
              <w:rPr>
                <w:rFonts w:hint="eastAsia"/>
                <w:b/>
                <w:color w:val="auto"/>
                <w:szCs w:val="21"/>
                <w:highlight w:val="none"/>
                <w:lang w:val="en-US" w:eastAsia="zh-CN"/>
              </w:rPr>
              <w:t xml:space="preserve"> </w:t>
            </w:r>
            <w:r>
              <w:rPr>
                <w:b/>
                <w:color w:val="auto"/>
                <w:szCs w:val="21"/>
                <w:highlight w:val="none"/>
              </w:rPr>
              <w:t>单位：dB（A）</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123"/>
              <w:gridCol w:w="1067"/>
              <w:gridCol w:w="1585"/>
              <w:gridCol w:w="1602"/>
              <w:gridCol w:w="1204"/>
              <w:gridCol w:w="1041"/>
              <w:gridCol w:w="1062"/>
            </w:tblGrid>
            <w:tr w14:paraId="53D21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47" w:type="pct"/>
                  <w:vMerge w:val="restart"/>
                  <w:vAlign w:val="center"/>
                </w:tcPr>
                <w:p w14:paraId="35FD61EC">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b/>
                      <w:bCs/>
                      <w:color w:val="auto"/>
                      <w:szCs w:val="21"/>
                      <w:highlight w:val="none"/>
                    </w:rPr>
                  </w:pPr>
                  <w:r>
                    <w:rPr>
                      <w:b/>
                      <w:bCs/>
                      <w:color w:val="auto"/>
                      <w:szCs w:val="21"/>
                      <w:highlight w:val="none"/>
                    </w:rPr>
                    <w:t>序号</w:t>
                  </w:r>
                </w:p>
              </w:tc>
              <w:tc>
                <w:tcPr>
                  <w:tcW w:w="614" w:type="pct"/>
                  <w:vMerge w:val="restart"/>
                  <w:vAlign w:val="center"/>
                </w:tcPr>
                <w:p w14:paraId="54A27087">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b/>
                      <w:bCs/>
                      <w:color w:val="auto"/>
                      <w:szCs w:val="21"/>
                      <w:highlight w:val="none"/>
                    </w:rPr>
                  </w:pPr>
                  <w:r>
                    <w:rPr>
                      <w:b/>
                      <w:bCs/>
                      <w:color w:val="auto"/>
                      <w:szCs w:val="21"/>
                      <w:highlight w:val="none"/>
                    </w:rPr>
                    <w:t>场界方位</w:t>
                  </w:r>
                </w:p>
              </w:tc>
              <w:tc>
                <w:tcPr>
                  <w:tcW w:w="912" w:type="pct"/>
                  <w:vMerge w:val="restart"/>
                  <w:vAlign w:val="center"/>
                </w:tcPr>
                <w:p w14:paraId="76C3C40E">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b/>
                      <w:bCs/>
                      <w:color w:val="auto"/>
                      <w:szCs w:val="21"/>
                      <w:highlight w:val="none"/>
                    </w:rPr>
                  </w:pPr>
                  <w:r>
                    <w:rPr>
                      <w:b/>
                      <w:bCs/>
                      <w:color w:val="auto"/>
                      <w:szCs w:val="21"/>
                      <w:highlight w:val="none"/>
                    </w:rPr>
                    <w:t>预测点x坐标</w:t>
                  </w:r>
                </w:p>
              </w:tc>
              <w:tc>
                <w:tcPr>
                  <w:tcW w:w="922" w:type="pct"/>
                  <w:vMerge w:val="restart"/>
                  <w:vAlign w:val="center"/>
                </w:tcPr>
                <w:p w14:paraId="4F454532">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b/>
                      <w:bCs/>
                      <w:color w:val="auto"/>
                      <w:szCs w:val="21"/>
                      <w:highlight w:val="none"/>
                    </w:rPr>
                  </w:pPr>
                  <w:r>
                    <w:rPr>
                      <w:b/>
                      <w:bCs/>
                      <w:color w:val="auto"/>
                      <w:szCs w:val="21"/>
                      <w:highlight w:val="none"/>
                    </w:rPr>
                    <w:t>预测点y坐标</w:t>
                  </w:r>
                </w:p>
              </w:tc>
              <w:tc>
                <w:tcPr>
                  <w:tcW w:w="1903" w:type="pct"/>
                  <w:gridSpan w:val="3"/>
                  <w:vAlign w:val="center"/>
                </w:tcPr>
                <w:p w14:paraId="2F7C6F99">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b/>
                      <w:bCs/>
                      <w:color w:val="auto"/>
                      <w:szCs w:val="21"/>
                      <w:highlight w:val="none"/>
                    </w:rPr>
                  </w:pPr>
                  <w:r>
                    <w:rPr>
                      <w:b/>
                      <w:bCs/>
                      <w:color w:val="auto"/>
                      <w:szCs w:val="21"/>
                      <w:highlight w:val="none"/>
                    </w:rPr>
                    <w:t>夜间</w:t>
                  </w:r>
                </w:p>
              </w:tc>
            </w:tr>
            <w:tr w14:paraId="13281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47" w:type="pct"/>
                  <w:vMerge w:val="continue"/>
                  <w:vAlign w:val="center"/>
                </w:tcPr>
                <w:p w14:paraId="3CFC220A">
                  <w:pPr>
                    <w:keepNext w:val="0"/>
                    <w:keepLines w:val="0"/>
                    <w:pageBreakBefore w:val="0"/>
                    <w:widowControl/>
                    <w:kinsoku/>
                    <w:wordWrap/>
                    <w:overflowPunct/>
                    <w:topLinePunct w:val="0"/>
                    <w:bidi w:val="0"/>
                    <w:adjustRightInd/>
                    <w:snapToGrid/>
                    <w:spacing w:line="320" w:lineRule="exact"/>
                    <w:jc w:val="center"/>
                    <w:textAlignment w:val="auto"/>
                    <w:rPr>
                      <w:b/>
                      <w:bCs/>
                      <w:color w:val="auto"/>
                      <w:szCs w:val="21"/>
                      <w:highlight w:val="none"/>
                    </w:rPr>
                  </w:pPr>
                </w:p>
              </w:tc>
              <w:tc>
                <w:tcPr>
                  <w:tcW w:w="614" w:type="pct"/>
                  <w:vMerge w:val="continue"/>
                  <w:vAlign w:val="center"/>
                </w:tcPr>
                <w:p w14:paraId="2FB2A277">
                  <w:pPr>
                    <w:keepNext w:val="0"/>
                    <w:keepLines w:val="0"/>
                    <w:pageBreakBefore w:val="0"/>
                    <w:widowControl/>
                    <w:kinsoku/>
                    <w:wordWrap/>
                    <w:overflowPunct/>
                    <w:topLinePunct w:val="0"/>
                    <w:bidi w:val="0"/>
                    <w:adjustRightInd/>
                    <w:snapToGrid/>
                    <w:spacing w:line="320" w:lineRule="exact"/>
                    <w:jc w:val="center"/>
                    <w:textAlignment w:val="auto"/>
                    <w:rPr>
                      <w:b/>
                      <w:bCs/>
                      <w:color w:val="auto"/>
                      <w:szCs w:val="21"/>
                      <w:highlight w:val="none"/>
                    </w:rPr>
                  </w:pPr>
                </w:p>
              </w:tc>
              <w:tc>
                <w:tcPr>
                  <w:tcW w:w="912" w:type="pct"/>
                  <w:vMerge w:val="continue"/>
                  <w:vAlign w:val="center"/>
                </w:tcPr>
                <w:p w14:paraId="730F77FC">
                  <w:pPr>
                    <w:keepNext w:val="0"/>
                    <w:keepLines w:val="0"/>
                    <w:pageBreakBefore w:val="0"/>
                    <w:widowControl/>
                    <w:kinsoku/>
                    <w:wordWrap/>
                    <w:overflowPunct/>
                    <w:topLinePunct w:val="0"/>
                    <w:bidi w:val="0"/>
                    <w:adjustRightInd/>
                    <w:snapToGrid/>
                    <w:spacing w:line="320" w:lineRule="exact"/>
                    <w:jc w:val="center"/>
                    <w:textAlignment w:val="auto"/>
                    <w:rPr>
                      <w:b/>
                      <w:bCs/>
                      <w:color w:val="auto"/>
                      <w:szCs w:val="21"/>
                      <w:highlight w:val="none"/>
                    </w:rPr>
                  </w:pPr>
                </w:p>
              </w:tc>
              <w:tc>
                <w:tcPr>
                  <w:tcW w:w="922" w:type="pct"/>
                  <w:vMerge w:val="continue"/>
                  <w:vAlign w:val="center"/>
                </w:tcPr>
                <w:p w14:paraId="337AE6B3">
                  <w:pPr>
                    <w:keepNext w:val="0"/>
                    <w:keepLines w:val="0"/>
                    <w:pageBreakBefore w:val="0"/>
                    <w:widowControl/>
                    <w:kinsoku/>
                    <w:wordWrap/>
                    <w:overflowPunct/>
                    <w:topLinePunct w:val="0"/>
                    <w:bidi w:val="0"/>
                    <w:adjustRightInd/>
                    <w:snapToGrid/>
                    <w:spacing w:line="320" w:lineRule="exact"/>
                    <w:jc w:val="center"/>
                    <w:textAlignment w:val="auto"/>
                    <w:rPr>
                      <w:b/>
                      <w:bCs/>
                      <w:color w:val="auto"/>
                      <w:szCs w:val="21"/>
                      <w:highlight w:val="none"/>
                    </w:rPr>
                  </w:pPr>
                </w:p>
              </w:tc>
              <w:tc>
                <w:tcPr>
                  <w:tcW w:w="693" w:type="pct"/>
                  <w:vAlign w:val="center"/>
                </w:tcPr>
                <w:p w14:paraId="0CF12717">
                  <w:pPr>
                    <w:keepNext w:val="0"/>
                    <w:keepLines w:val="0"/>
                    <w:pageBreakBefore w:val="0"/>
                    <w:kinsoku/>
                    <w:wordWrap/>
                    <w:overflowPunct/>
                    <w:topLinePunct w:val="0"/>
                    <w:autoSpaceDE w:val="0"/>
                    <w:autoSpaceDN w:val="0"/>
                    <w:bidi w:val="0"/>
                    <w:adjustRightInd/>
                    <w:snapToGrid/>
                    <w:spacing w:line="320" w:lineRule="exact"/>
                    <w:jc w:val="center"/>
                    <w:textAlignment w:val="auto"/>
                    <w:rPr>
                      <w:b/>
                      <w:bCs/>
                      <w:color w:val="auto"/>
                      <w:szCs w:val="21"/>
                      <w:highlight w:val="none"/>
                    </w:rPr>
                  </w:pPr>
                  <w:r>
                    <w:rPr>
                      <w:b/>
                      <w:bCs/>
                      <w:color w:val="auto"/>
                      <w:szCs w:val="21"/>
                      <w:highlight w:val="none"/>
                    </w:rPr>
                    <w:t>贡献值</w:t>
                  </w:r>
                </w:p>
              </w:tc>
              <w:tc>
                <w:tcPr>
                  <w:tcW w:w="599" w:type="pct"/>
                  <w:vAlign w:val="center"/>
                </w:tcPr>
                <w:p w14:paraId="1A754A77">
                  <w:pPr>
                    <w:keepNext w:val="0"/>
                    <w:keepLines w:val="0"/>
                    <w:pageBreakBefore w:val="0"/>
                    <w:kinsoku/>
                    <w:wordWrap/>
                    <w:overflowPunct/>
                    <w:topLinePunct w:val="0"/>
                    <w:autoSpaceDE w:val="0"/>
                    <w:autoSpaceDN w:val="0"/>
                    <w:bidi w:val="0"/>
                    <w:adjustRightInd/>
                    <w:snapToGrid/>
                    <w:spacing w:line="320" w:lineRule="exact"/>
                    <w:jc w:val="center"/>
                    <w:textAlignment w:val="auto"/>
                    <w:rPr>
                      <w:b/>
                      <w:bCs/>
                      <w:color w:val="auto"/>
                      <w:szCs w:val="21"/>
                      <w:highlight w:val="none"/>
                    </w:rPr>
                  </w:pPr>
                  <w:r>
                    <w:rPr>
                      <w:b/>
                      <w:bCs/>
                      <w:color w:val="auto"/>
                      <w:szCs w:val="21"/>
                      <w:highlight w:val="none"/>
                    </w:rPr>
                    <w:t>标准值</w:t>
                  </w:r>
                </w:p>
              </w:tc>
              <w:tc>
                <w:tcPr>
                  <w:tcW w:w="610" w:type="pct"/>
                  <w:vAlign w:val="center"/>
                </w:tcPr>
                <w:p w14:paraId="20B6780C">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b/>
                      <w:bCs/>
                      <w:color w:val="auto"/>
                      <w:szCs w:val="21"/>
                      <w:highlight w:val="none"/>
                    </w:rPr>
                  </w:pPr>
                  <w:r>
                    <w:rPr>
                      <w:b/>
                      <w:bCs/>
                      <w:color w:val="auto"/>
                      <w:szCs w:val="21"/>
                      <w:highlight w:val="none"/>
                    </w:rPr>
                    <w:t>达标情况</w:t>
                  </w:r>
                </w:p>
              </w:tc>
            </w:tr>
            <w:tr w14:paraId="7237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47" w:type="pct"/>
                  <w:vAlign w:val="center"/>
                </w:tcPr>
                <w:p w14:paraId="04D69687">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color w:val="auto"/>
                      <w:szCs w:val="21"/>
                      <w:highlight w:val="none"/>
                    </w:rPr>
                  </w:pPr>
                  <w:r>
                    <w:rPr>
                      <w:color w:val="auto"/>
                      <w:szCs w:val="21"/>
                      <w:highlight w:val="none"/>
                    </w:rPr>
                    <w:t>1</w:t>
                  </w:r>
                </w:p>
              </w:tc>
              <w:tc>
                <w:tcPr>
                  <w:tcW w:w="614" w:type="pct"/>
                  <w:vAlign w:val="center"/>
                </w:tcPr>
                <w:p w14:paraId="37597D3B">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东</w:t>
                  </w:r>
                  <w:r>
                    <w:rPr>
                      <w:color w:val="auto"/>
                      <w:szCs w:val="21"/>
                      <w:highlight w:val="none"/>
                    </w:rPr>
                    <w:t>厂界</w:t>
                  </w:r>
                </w:p>
                <w:p w14:paraId="7F25FF25">
                  <w:pPr>
                    <w:keepNext w:val="0"/>
                    <w:keepLines w:val="0"/>
                    <w:pageBreakBefore w:val="0"/>
                    <w:widowControl/>
                    <w:kinsoku/>
                    <w:wordWrap/>
                    <w:overflowPunct/>
                    <w:topLinePunct w:val="0"/>
                    <w:bidi w:val="0"/>
                    <w:adjustRightInd/>
                    <w:snapToGrid/>
                    <w:spacing w:line="320" w:lineRule="exact"/>
                    <w:jc w:val="center"/>
                    <w:textAlignment w:val="auto"/>
                    <w:rPr>
                      <w:color w:val="auto"/>
                      <w:szCs w:val="21"/>
                      <w:highlight w:val="none"/>
                    </w:rPr>
                  </w:pPr>
                  <w:r>
                    <w:rPr>
                      <w:color w:val="auto"/>
                      <w:szCs w:val="21"/>
                      <w:highlight w:val="none"/>
                    </w:rPr>
                    <w:t>最大值</w:t>
                  </w:r>
                </w:p>
              </w:tc>
              <w:tc>
                <w:tcPr>
                  <w:tcW w:w="1589" w:type="dxa"/>
                  <w:vAlign w:val="center"/>
                </w:tcPr>
                <w:p w14:paraId="6FBA2FEA">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38</w:t>
                  </w:r>
                </w:p>
              </w:tc>
              <w:tc>
                <w:tcPr>
                  <w:tcW w:w="1607" w:type="dxa"/>
                  <w:vAlign w:val="center"/>
                </w:tcPr>
                <w:p w14:paraId="54CD1F6A">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61.4</w:t>
                  </w:r>
                </w:p>
              </w:tc>
              <w:tc>
                <w:tcPr>
                  <w:tcW w:w="1208" w:type="dxa"/>
                  <w:vAlign w:val="center"/>
                </w:tcPr>
                <w:p w14:paraId="5C3B05A4">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39.77</w:t>
                  </w:r>
                </w:p>
              </w:tc>
              <w:tc>
                <w:tcPr>
                  <w:tcW w:w="599" w:type="pct"/>
                  <w:vAlign w:val="center"/>
                </w:tcPr>
                <w:p w14:paraId="5F544024">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55</w:t>
                  </w:r>
                </w:p>
              </w:tc>
              <w:tc>
                <w:tcPr>
                  <w:tcW w:w="610" w:type="pct"/>
                  <w:vAlign w:val="center"/>
                </w:tcPr>
                <w:p w14:paraId="3E2D7D92">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color w:val="auto"/>
                      <w:szCs w:val="21"/>
                      <w:highlight w:val="none"/>
                    </w:rPr>
                    <w:t>达标</w:t>
                  </w:r>
                </w:p>
              </w:tc>
            </w:tr>
            <w:tr w14:paraId="7F8D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47" w:type="pct"/>
                  <w:vAlign w:val="center"/>
                </w:tcPr>
                <w:p w14:paraId="45A2405B">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color w:val="auto"/>
                      <w:szCs w:val="21"/>
                      <w:highlight w:val="none"/>
                    </w:rPr>
                  </w:pPr>
                  <w:r>
                    <w:rPr>
                      <w:color w:val="auto"/>
                      <w:szCs w:val="21"/>
                      <w:highlight w:val="none"/>
                    </w:rPr>
                    <w:t>2</w:t>
                  </w:r>
                </w:p>
              </w:tc>
              <w:tc>
                <w:tcPr>
                  <w:tcW w:w="614" w:type="pct"/>
                  <w:vAlign w:val="center"/>
                </w:tcPr>
                <w:p w14:paraId="7C8BAA9D">
                  <w:pPr>
                    <w:keepNext w:val="0"/>
                    <w:keepLines w:val="0"/>
                    <w:pageBreakBefore w:val="0"/>
                    <w:widowControl/>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南</w:t>
                  </w:r>
                  <w:r>
                    <w:rPr>
                      <w:color w:val="auto"/>
                      <w:szCs w:val="21"/>
                      <w:highlight w:val="none"/>
                    </w:rPr>
                    <w:t>厂界</w:t>
                  </w:r>
                </w:p>
                <w:p w14:paraId="151D34C9">
                  <w:pPr>
                    <w:keepNext w:val="0"/>
                    <w:keepLines w:val="0"/>
                    <w:pageBreakBefore w:val="0"/>
                    <w:widowControl/>
                    <w:kinsoku/>
                    <w:wordWrap/>
                    <w:overflowPunct/>
                    <w:topLinePunct w:val="0"/>
                    <w:bidi w:val="0"/>
                    <w:adjustRightInd/>
                    <w:snapToGrid/>
                    <w:spacing w:line="320" w:lineRule="exact"/>
                    <w:jc w:val="center"/>
                    <w:textAlignment w:val="auto"/>
                    <w:rPr>
                      <w:color w:val="auto"/>
                      <w:szCs w:val="21"/>
                      <w:highlight w:val="none"/>
                    </w:rPr>
                  </w:pPr>
                  <w:r>
                    <w:rPr>
                      <w:color w:val="auto"/>
                      <w:szCs w:val="21"/>
                      <w:highlight w:val="none"/>
                    </w:rPr>
                    <w:t>最大值</w:t>
                  </w:r>
                </w:p>
              </w:tc>
              <w:tc>
                <w:tcPr>
                  <w:tcW w:w="1589" w:type="dxa"/>
                  <w:vAlign w:val="center"/>
                </w:tcPr>
                <w:p w14:paraId="1C7EBE4A">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-104.57</w:t>
                  </w:r>
                </w:p>
              </w:tc>
              <w:tc>
                <w:tcPr>
                  <w:tcW w:w="1607" w:type="dxa"/>
                  <w:vAlign w:val="center"/>
                </w:tcPr>
                <w:p w14:paraId="4556EA5C">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-114.74</w:t>
                  </w:r>
                </w:p>
              </w:tc>
              <w:tc>
                <w:tcPr>
                  <w:tcW w:w="1208" w:type="dxa"/>
                  <w:vAlign w:val="center"/>
                </w:tcPr>
                <w:p w14:paraId="32699E38">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33.47</w:t>
                  </w:r>
                </w:p>
              </w:tc>
              <w:tc>
                <w:tcPr>
                  <w:tcW w:w="599" w:type="pct"/>
                  <w:vAlign w:val="center"/>
                </w:tcPr>
                <w:p w14:paraId="18E7992C">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55</w:t>
                  </w:r>
                </w:p>
              </w:tc>
              <w:tc>
                <w:tcPr>
                  <w:tcW w:w="610" w:type="pct"/>
                  <w:vAlign w:val="center"/>
                </w:tcPr>
                <w:p w14:paraId="07EBE3C3">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color w:val="auto"/>
                      <w:szCs w:val="21"/>
                      <w:highlight w:val="none"/>
                    </w:rPr>
                    <w:t>达标</w:t>
                  </w:r>
                </w:p>
              </w:tc>
            </w:tr>
            <w:tr w14:paraId="257A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47" w:type="pct"/>
                  <w:vAlign w:val="center"/>
                </w:tcPr>
                <w:p w14:paraId="6CE31AB6">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color w:val="auto"/>
                      <w:szCs w:val="21"/>
                      <w:highlight w:val="none"/>
                    </w:rPr>
                  </w:pPr>
                  <w:r>
                    <w:rPr>
                      <w:color w:val="auto"/>
                      <w:szCs w:val="21"/>
                      <w:highlight w:val="none"/>
                    </w:rPr>
                    <w:t>3</w:t>
                  </w:r>
                </w:p>
              </w:tc>
              <w:tc>
                <w:tcPr>
                  <w:tcW w:w="614" w:type="pct"/>
                  <w:vAlign w:val="center"/>
                </w:tcPr>
                <w:p w14:paraId="5F8496E6">
                  <w:pPr>
                    <w:keepNext w:val="0"/>
                    <w:keepLines w:val="0"/>
                    <w:pageBreakBefore w:val="0"/>
                    <w:widowControl/>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西</w:t>
                  </w:r>
                  <w:r>
                    <w:rPr>
                      <w:color w:val="auto"/>
                      <w:szCs w:val="21"/>
                      <w:highlight w:val="none"/>
                    </w:rPr>
                    <w:t>厂界</w:t>
                  </w:r>
                </w:p>
                <w:p w14:paraId="7C9DED36">
                  <w:pPr>
                    <w:keepNext w:val="0"/>
                    <w:keepLines w:val="0"/>
                    <w:pageBreakBefore w:val="0"/>
                    <w:widowControl/>
                    <w:kinsoku/>
                    <w:wordWrap/>
                    <w:overflowPunct/>
                    <w:topLinePunct w:val="0"/>
                    <w:bidi w:val="0"/>
                    <w:adjustRightInd/>
                    <w:snapToGrid/>
                    <w:spacing w:line="320" w:lineRule="exact"/>
                    <w:jc w:val="center"/>
                    <w:textAlignment w:val="auto"/>
                    <w:rPr>
                      <w:color w:val="auto"/>
                      <w:szCs w:val="21"/>
                      <w:highlight w:val="none"/>
                    </w:rPr>
                  </w:pPr>
                  <w:r>
                    <w:rPr>
                      <w:color w:val="auto"/>
                      <w:szCs w:val="21"/>
                      <w:highlight w:val="none"/>
                    </w:rPr>
                    <w:t>最大值</w:t>
                  </w:r>
                </w:p>
              </w:tc>
              <w:tc>
                <w:tcPr>
                  <w:tcW w:w="1589" w:type="dxa"/>
                  <w:vAlign w:val="center"/>
                </w:tcPr>
                <w:p w14:paraId="51A233E4">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73.19</w:t>
                  </w:r>
                </w:p>
              </w:tc>
              <w:tc>
                <w:tcPr>
                  <w:tcW w:w="1607" w:type="dxa"/>
                  <w:vAlign w:val="center"/>
                </w:tcPr>
                <w:p w14:paraId="56AD94A8">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15.89</w:t>
                  </w:r>
                </w:p>
              </w:tc>
              <w:tc>
                <w:tcPr>
                  <w:tcW w:w="1208" w:type="dxa"/>
                  <w:vAlign w:val="center"/>
                </w:tcPr>
                <w:p w14:paraId="5C2CE146">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37.78</w:t>
                  </w:r>
                </w:p>
              </w:tc>
              <w:tc>
                <w:tcPr>
                  <w:tcW w:w="599" w:type="pct"/>
                  <w:vAlign w:val="center"/>
                </w:tcPr>
                <w:p w14:paraId="40CB1804">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55</w:t>
                  </w:r>
                </w:p>
              </w:tc>
              <w:tc>
                <w:tcPr>
                  <w:tcW w:w="610" w:type="pct"/>
                  <w:vAlign w:val="center"/>
                </w:tcPr>
                <w:p w14:paraId="4A652646">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color w:val="auto"/>
                      <w:szCs w:val="21"/>
                      <w:highlight w:val="none"/>
                    </w:rPr>
                    <w:t>达标</w:t>
                  </w:r>
                </w:p>
              </w:tc>
            </w:tr>
            <w:tr w14:paraId="7DF2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47" w:type="pct"/>
                  <w:vAlign w:val="center"/>
                </w:tcPr>
                <w:p w14:paraId="57C13316">
                  <w:pPr>
                    <w:keepNext w:val="0"/>
                    <w:keepLines w:val="0"/>
                    <w:pageBreakBefore w:val="0"/>
                    <w:widowControl/>
                    <w:kinsoku/>
                    <w:wordWrap/>
                    <w:overflowPunct/>
                    <w:topLinePunct w:val="0"/>
                    <w:autoSpaceDE w:val="0"/>
                    <w:autoSpaceDN w:val="0"/>
                    <w:bidi w:val="0"/>
                    <w:adjustRightInd/>
                    <w:snapToGrid/>
                    <w:spacing w:line="320" w:lineRule="exact"/>
                    <w:jc w:val="center"/>
                    <w:textAlignment w:val="auto"/>
                    <w:rPr>
                      <w:color w:val="auto"/>
                      <w:szCs w:val="21"/>
                      <w:highlight w:val="none"/>
                    </w:rPr>
                  </w:pPr>
                  <w:r>
                    <w:rPr>
                      <w:color w:val="auto"/>
                      <w:szCs w:val="21"/>
                      <w:highlight w:val="none"/>
                    </w:rPr>
                    <w:t>4</w:t>
                  </w:r>
                </w:p>
              </w:tc>
              <w:tc>
                <w:tcPr>
                  <w:tcW w:w="614" w:type="pct"/>
                  <w:vAlign w:val="center"/>
                </w:tcPr>
                <w:p w14:paraId="29D1AE7B">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北</w:t>
                  </w:r>
                  <w:r>
                    <w:rPr>
                      <w:color w:val="auto"/>
                      <w:szCs w:val="21"/>
                      <w:highlight w:val="none"/>
                    </w:rPr>
                    <w:t>厂界</w:t>
                  </w:r>
                </w:p>
                <w:p w14:paraId="6C1F7634">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color w:val="auto"/>
                      <w:szCs w:val="21"/>
                      <w:highlight w:val="none"/>
                    </w:rPr>
                    <w:t>最大值</w:t>
                  </w:r>
                </w:p>
              </w:tc>
              <w:tc>
                <w:tcPr>
                  <w:tcW w:w="1589" w:type="dxa"/>
                  <w:vAlign w:val="center"/>
                </w:tcPr>
                <w:p w14:paraId="0E069AB6">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148.19</w:t>
                  </w:r>
                </w:p>
              </w:tc>
              <w:tc>
                <w:tcPr>
                  <w:tcW w:w="1607" w:type="dxa"/>
                  <w:vAlign w:val="center"/>
                </w:tcPr>
                <w:p w14:paraId="2E69E84C">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136.99</w:t>
                  </w:r>
                </w:p>
              </w:tc>
              <w:tc>
                <w:tcPr>
                  <w:tcW w:w="1208" w:type="dxa"/>
                  <w:vAlign w:val="center"/>
                </w:tcPr>
                <w:p w14:paraId="30017D95">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39.77</w:t>
                  </w:r>
                </w:p>
              </w:tc>
              <w:tc>
                <w:tcPr>
                  <w:tcW w:w="599" w:type="pct"/>
                  <w:vAlign w:val="center"/>
                </w:tcPr>
                <w:p w14:paraId="443B8C07">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rFonts w:hint="eastAsia"/>
                      <w:color w:val="auto"/>
                      <w:szCs w:val="21"/>
                      <w:highlight w:val="none"/>
                    </w:rPr>
                    <w:t>55</w:t>
                  </w:r>
                </w:p>
              </w:tc>
              <w:tc>
                <w:tcPr>
                  <w:tcW w:w="610" w:type="pct"/>
                  <w:vAlign w:val="center"/>
                </w:tcPr>
                <w:p w14:paraId="3B77CCA6">
                  <w:pPr>
                    <w:keepNext w:val="0"/>
                    <w:keepLines w:val="0"/>
                    <w:pageBreakBefore w:val="0"/>
                    <w:kinsoku/>
                    <w:wordWrap/>
                    <w:overflowPunct/>
                    <w:topLinePunct w:val="0"/>
                    <w:bidi w:val="0"/>
                    <w:adjustRightInd/>
                    <w:snapToGrid/>
                    <w:spacing w:line="320" w:lineRule="exact"/>
                    <w:jc w:val="center"/>
                    <w:textAlignment w:val="auto"/>
                    <w:rPr>
                      <w:color w:val="auto"/>
                      <w:szCs w:val="21"/>
                      <w:highlight w:val="none"/>
                    </w:rPr>
                  </w:pPr>
                  <w:r>
                    <w:rPr>
                      <w:color w:val="auto"/>
                      <w:szCs w:val="21"/>
                      <w:highlight w:val="none"/>
                    </w:rPr>
                    <w:t>达标</w:t>
                  </w:r>
                </w:p>
              </w:tc>
            </w:tr>
          </w:tbl>
          <w:p w14:paraId="15A87001">
            <w:pPr>
              <w:jc w:val="center"/>
              <w:rPr>
                <w:rFonts w:hint="eastAsia" w:ascii="黑体" w:hAnsi="黑体" w:eastAsia="黑体" w:cs="黑体"/>
                <w:color w:val="auto"/>
                <w:kern w:val="0"/>
                <w:szCs w:val="16"/>
                <w:highlight w:val="none"/>
              </w:rPr>
            </w:pPr>
            <w:r>
              <w:rPr>
                <w:rFonts w:ascii="黑体" w:hAnsi="黑体" w:eastAsia="黑体" w:cs="黑体"/>
                <w:color w:val="auto"/>
                <w:kern w:val="0"/>
                <w:szCs w:val="16"/>
                <w:highlight w:val="none"/>
              </w:rPr>
              <w:drawing>
                <wp:inline distT="0" distB="0" distL="114300" distR="114300">
                  <wp:extent cx="5530850" cy="3020695"/>
                  <wp:effectExtent l="0" t="0" r="1270" b="12065"/>
                  <wp:docPr id="60" name="图片 60" descr="5566cfca-5a1c-4388-b560-a727eb9c9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5566cfca-5a1c-4388-b560-a727eb9c9833"/>
                          <pic:cNvPicPr>
                            <a:picLocks noChangeAspect="1"/>
                          </pic:cNvPicPr>
                        </pic:nvPicPr>
                        <pic:blipFill>
                          <a:blip r:embed="rId21"/>
                          <a:stretch>
                            <a:fillRect/>
                          </a:stretch>
                        </pic:blipFill>
                        <pic:spPr>
                          <a:xfrm>
                            <a:off x="0" y="0"/>
                            <a:ext cx="5530850" cy="3020695"/>
                          </a:xfrm>
                          <a:prstGeom prst="rect">
                            <a:avLst/>
                          </a:prstGeom>
                        </pic:spPr>
                      </pic:pic>
                    </a:graphicData>
                  </a:graphic>
                </wp:inline>
              </w:drawing>
            </w:r>
          </w:p>
          <w:p w14:paraId="79DD83B1">
            <w:pPr>
              <w:jc w:val="center"/>
              <w:rPr>
                <w:rFonts w:eastAsiaTheme="majorEastAsia"/>
                <w:b/>
                <w:bCs/>
                <w:color w:val="auto"/>
                <w:kern w:val="0"/>
                <w:szCs w:val="16"/>
                <w:highlight w:val="none"/>
              </w:rPr>
            </w:pPr>
            <w:r>
              <w:rPr>
                <w:rFonts w:eastAsiaTheme="majorEastAsia"/>
                <w:b/>
                <w:bCs/>
                <w:color w:val="auto"/>
                <w:kern w:val="0"/>
                <w:szCs w:val="16"/>
                <w:highlight w:val="none"/>
              </w:rPr>
              <w:t>图4-</w:t>
            </w:r>
            <w:r>
              <w:rPr>
                <w:rFonts w:hint="eastAsia" w:eastAsiaTheme="majorEastAsia"/>
                <w:b/>
                <w:bCs/>
                <w:color w:val="auto"/>
                <w:kern w:val="0"/>
                <w:szCs w:val="16"/>
                <w:highlight w:val="none"/>
                <w:lang w:val="en-US" w:eastAsia="zh-CN"/>
              </w:rPr>
              <w:t>4</w:t>
            </w:r>
            <w:r>
              <w:rPr>
                <w:rFonts w:eastAsiaTheme="majorEastAsia"/>
                <w:b/>
                <w:bCs/>
                <w:color w:val="auto"/>
                <w:kern w:val="0"/>
                <w:szCs w:val="16"/>
                <w:highlight w:val="none"/>
              </w:rPr>
              <w:t xml:space="preserve">  贡献值等声值线图（夜间）</w:t>
            </w:r>
          </w:p>
          <w:p w14:paraId="4212196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szCs w:val="20"/>
                <w:highlight w:val="none"/>
              </w:rPr>
            </w:pPr>
            <w:r>
              <w:rPr>
                <w:rFonts w:hint="eastAsia"/>
                <w:color w:val="auto"/>
                <w:kern w:val="0"/>
                <w:sz w:val="24"/>
                <w:szCs w:val="20"/>
                <w:highlight w:val="none"/>
              </w:rPr>
              <w:t>根据预测结果，</w:t>
            </w:r>
            <w:r>
              <w:rPr>
                <w:rFonts w:hint="eastAsia"/>
                <w:color w:val="auto"/>
                <w:kern w:val="0"/>
                <w:sz w:val="24"/>
                <w:szCs w:val="20"/>
                <w:highlight w:val="none"/>
                <w:lang w:val="en-US" w:eastAsia="zh-CN"/>
              </w:rPr>
              <w:t>本项目建设完成后全厂</w:t>
            </w:r>
            <w:r>
              <w:rPr>
                <w:rFonts w:hint="eastAsia"/>
                <w:color w:val="auto"/>
                <w:kern w:val="0"/>
                <w:sz w:val="24"/>
                <w:szCs w:val="20"/>
                <w:highlight w:val="none"/>
              </w:rPr>
              <w:t>各厂界预测点昼间噪声贡献值范围为33.47~44.5dB（A），</w:t>
            </w:r>
            <w:r>
              <w:rPr>
                <w:rFonts w:hint="eastAsia"/>
                <w:color w:val="auto"/>
                <w:kern w:val="0"/>
                <w:sz w:val="24"/>
                <w:szCs w:val="20"/>
                <w:highlight w:val="none"/>
                <w:lang w:val="en-US" w:eastAsia="zh-CN"/>
              </w:rPr>
              <w:t>夜间</w:t>
            </w:r>
            <w:r>
              <w:rPr>
                <w:rFonts w:hint="eastAsia"/>
                <w:color w:val="auto"/>
                <w:kern w:val="0"/>
                <w:sz w:val="24"/>
                <w:szCs w:val="20"/>
                <w:highlight w:val="none"/>
              </w:rPr>
              <w:t>噪声贡献值范围为33.4~</w:t>
            </w:r>
            <w:r>
              <w:rPr>
                <w:rFonts w:hint="eastAsia"/>
                <w:color w:val="auto"/>
                <w:kern w:val="0"/>
                <w:sz w:val="24"/>
                <w:szCs w:val="20"/>
                <w:highlight w:val="none"/>
                <w:lang w:val="en-US" w:eastAsia="zh-CN"/>
              </w:rPr>
              <w:t>39.7</w:t>
            </w:r>
            <w:r>
              <w:rPr>
                <w:rFonts w:hint="eastAsia"/>
                <w:color w:val="auto"/>
                <w:kern w:val="0"/>
                <w:sz w:val="24"/>
                <w:szCs w:val="20"/>
                <w:highlight w:val="none"/>
              </w:rPr>
              <w:t>dB（A）</w:t>
            </w:r>
            <w:r>
              <w:rPr>
                <w:rFonts w:hint="eastAsia"/>
                <w:color w:val="auto"/>
                <w:kern w:val="0"/>
                <w:sz w:val="24"/>
                <w:szCs w:val="20"/>
                <w:highlight w:val="none"/>
                <w:lang w:eastAsia="zh-CN"/>
              </w:rPr>
              <w:t>，</w:t>
            </w:r>
            <w:r>
              <w:rPr>
                <w:rFonts w:hint="eastAsia"/>
                <w:color w:val="auto"/>
                <w:kern w:val="0"/>
                <w:sz w:val="24"/>
                <w:szCs w:val="20"/>
                <w:highlight w:val="none"/>
              </w:rPr>
              <w:t>项目厂界昼</w:t>
            </w:r>
            <w:r>
              <w:rPr>
                <w:rFonts w:hint="eastAsia"/>
                <w:color w:val="auto"/>
                <w:kern w:val="0"/>
                <w:sz w:val="24"/>
                <w:szCs w:val="20"/>
                <w:highlight w:val="none"/>
                <w:lang w:val="en-US" w:eastAsia="zh-CN"/>
              </w:rPr>
              <w:t>夜</w:t>
            </w:r>
            <w:r>
              <w:rPr>
                <w:rFonts w:hint="eastAsia"/>
                <w:color w:val="auto"/>
                <w:kern w:val="0"/>
                <w:sz w:val="24"/>
                <w:szCs w:val="20"/>
                <w:highlight w:val="none"/>
              </w:rPr>
              <w:t>间噪声贡献值满足《工业企业厂界环境噪声排放标准》（GB12348-2008）</w:t>
            </w:r>
            <w:r>
              <w:rPr>
                <w:rFonts w:hint="eastAsia"/>
                <w:color w:val="auto"/>
                <w:kern w:val="0"/>
                <w:sz w:val="24"/>
                <w:szCs w:val="20"/>
                <w:highlight w:val="none"/>
                <w:lang w:val="en-US" w:eastAsia="zh-CN"/>
              </w:rPr>
              <w:t>2</w:t>
            </w:r>
            <w:r>
              <w:rPr>
                <w:rFonts w:hint="eastAsia"/>
                <w:color w:val="auto"/>
                <w:kern w:val="0"/>
                <w:sz w:val="24"/>
                <w:szCs w:val="20"/>
                <w:highlight w:val="none"/>
              </w:rPr>
              <w:t>类标准，即昼间噪声≤6</w:t>
            </w:r>
            <w:r>
              <w:rPr>
                <w:rFonts w:hint="eastAsia"/>
                <w:color w:val="auto"/>
                <w:kern w:val="0"/>
                <w:sz w:val="24"/>
                <w:szCs w:val="20"/>
                <w:highlight w:val="none"/>
                <w:lang w:val="en-US" w:eastAsia="zh-CN"/>
              </w:rPr>
              <w:t>0</w:t>
            </w:r>
            <w:r>
              <w:rPr>
                <w:rFonts w:hint="eastAsia"/>
                <w:color w:val="auto"/>
                <w:kern w:val="0"/>
                <w:sz w:val="24"/>
                <w:szCs w:val="20"/>
                <w:highlight w:val="none"/>
              </w:rPr>
              <w:t>dB（A），夜间≤5</w:t>
            </w:r>
            <w:r>
              <w:rPr>
                <w:rFonts w:hint="eastAsia"/>
                <w:color w:val="auto"/>
                <w:kern w:val="0"/>
                <w:sz w:val="24"/>
                <w:szCs w:val="20"/>
                <w:highlight w:val="none"/>
                <w:lang w:val="en-US" w:eastAsia="zh-CN"/>
              </w:rPr>
              <w:t>0</w:t>
            </w:r>
            <w:r>
              <w:rPr>
                <w:rFonts w:hint="eastAsia"/>
                <w:color w:val="auto"/>
                <w:kern w:val="0"/>
                <w:sz w:val="24"/>
                <w:szCs w:val="20"/>
                <w:highlight w:val="none"/>
              </w:rPr>
              <w:t>dB（A）。项目运营期噪声可达标排放。</w:t>
            </w:r>
            <w:r>
              <w:rPr>
                <w:rFonts w:hint="eastAsia"/>
                <w:color w:val="auto"/>
                <w:kern w:val="0"/>
                <w:sz w:val="24"/>
                <w:szCs w:val="20"/>
                <w:highlight w:val="none"/>
                <w:lang w:val="en-US" w:eastAsia="zh-CN"/>
              </w:rPr>
              <w:t>且</w:t>
            </w:r>
            <w:r>
              <w:rPr>
                <w:rFonts w:hint="eastAsia"/>
                <w:color w:val="auto"/>
                <w:kern w:val="0"/>
                <w:sz w:val="24"/>
                <w:szCs w:val="20"/>
                <w:highlight w:val="none"/>
              </w:rPr>
              <w:t>项目周边50m范围内无声环境保护目标，项目运营期对区域声环境影响较小。</w:t>
            </w:r>
          </w:p>
          <w:p w14:paraId="4B6496A6">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b/>
                <w:bCs/>
                <w:color w:val="auto"/>
                <w:kern w:val="0"/>
                <w:sz w:val="24"/>
                <w:szCs w:val="20"/>
                <w:highlight w:val="none"/>
              </w:rPr>
            </w:pPr>
            <w:r>
              <w:rPr>
                <w:rFonts w:hint="eastAsia"/>
                <w:b/>
                <w:bCs/>
                <w:color w:val="auto"/>
                <w:kern w:val="0"/>
                <w:sz w:val="24"/>
                <w:szCs w:val="20"/>
                <w:highlight w:val="none"/>
                <w:lang w:eastAsia="zh-CN"/>
              </w:rPr>
              <w:t>（</w:t>
            </w:r>
            <w:r>
              <w:rPr>
                <w:rFonts w:hint="eastAsia"/>
                <w:b/>
                <w:bCs/>
                <w:color w:val="auto"/>
                <w:kern w:val="0"/>
                <w:sz w:val="24"/>
                <w:szCs w:val="20"/>
                <w:highlight w:val="none"/>
                <w:lang w:val="en-US" w:eastAsia="zh-CN"/>
              </w:rPr>
              <w:t>3</w:t>
            </w:r>
            <w:r>
              <w:rPr>
                <w:rFonts w:hint="eastAsia"/>
                <w:b/>
                <w:bCs/>
                <w:color w:val="auto"/>
                <w:kern w:val="0"/>
                <w:sz w:val="24"/>
                <w:szCs w:val="20"/>
                <w:highlight w:val="none"/>
                <w:lang w:eastAsia="zh-CN"/>
              </w:rPr>
              <w:t>）</w:t>
            </w:r>
            <w:r>
              <w:rPr>
                <w:b/>
                <w:bCs/>
                <w:color w:val="auto"/>
                <w:kern w:val="0"/>
                <w:sz w:val="24"/>
                <w:szCs w:val="20"/>
                <w:highlight w:val="none"/>
              </w:rPr>
              <w:t>噪声防治措施</w:t>
            </w:r>
          </w:p>
          <w:p w14:paraId="2D4BF85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szCs w:val="20"/>
                <w:highlight w:val="none"/>
              </w:rPr>
            </w:pPr>
            <w:r>
              <w:rPr>
                <w:rFonts w:hint="eastAsia"/>
                <w:color w:val="auto"/>
                <w:kern w:val="0"/>
                <w:sz w:val="24"/>
                <w:szCs w:val="20"/>
                <w:highlight w:val="none"/>
              </w:rPr>
              <w:t>本项目机械设备运转产生的噪声经减振、墙体隔声、距离衰减后，经预测本项目厂区设备噪声厂界均可达到GB12348-2008《工业企业厂界环境噪声排放标准》</w:t>
            </w:r>
            <w:r>
              <w:rPr>
                <w:rFonts w:hint="eastAsia"/>
                <w:color w:val="auto"/>
                <w:kern w:val="0"/>
                <w:sz w:val="24"/>
                <w:szCs w:val="20"/>
                <w:highlight w:val="none"/>
                <w:lang w:val="en-US" w:eastAsia="zh-CN"/>
              </w:rPr>
              <w:t>2</w:t>
            </w:r>
            <w:r>
              <w:rPr>
                <w:rFonts w:hint="eastAsia"/>
                <w:color w:val="auto"/>
                <w:kern w:val="0"/>
                <w:sz w:val="24"/>
                <w:szCs w:val="20"/>
                <w:highlight w:val="none"/>
              </w:rPr>
              <w:t>类标准，项目厂界外50m</w:t>
            </w:r>
            <w:r>
              <w:rPr>
                <w:rFonts w:hint="eastAsia"/>
                <w:color w:val="auto"/>
                <w:kern w:val="0"/>
                <w:sz w:val="24"/>
                <w:szCs w:val="20"/>
                <w:highlight w:val="none"/>
                <w:lang w:val="en-US" w:eastAsia="zh-CN"/>
              </w:rPr>
              <w:t>范围内</w:t>
            </w:r>
            <w:r>
              <w:rPr>
                <w:rFonts w:hint="eastAsia"/>
                <w:color w:val="auto"/>
                <w:kern w:val="0"/>
                <w:sz w:val="24"/>
                <w:szCs w:val="20"/>
                <w:highlight w:val="none"/>
              </w:rPr>
              <w:t>主要为工业企业和道路，无居民区，项目运营期产生的噪声对周围环境影响较小。</w:t>
            </w:r>
          </w:p>
          <w:p w14:paraId="29F16E6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szCs w:val="20"/>
                <w:highlight w:val="none"/>
              </w:rPr>
            </w:pPr>
            <w:r>
              <w:rPr>
                <w:rFonts w:hint="eastAsia"/>
                <w:color w:val="auto"/>
                <w:kern w:val="0"/>
                <w:sz w:val="24"/>
                <w:szCs w:val="20"/>
                <w:highlight w:val="none"/>
              </w:rPr>
              <w:t>为了减小噪声对区域声环境的不利影响，本环评要求采取如下噪声防治措施：</w:t>
            </w:r>
          </w:p>
          <w:p w14:paraId="3276EF4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szCs w:val="20"/>
                <w:highlight w:val="none"/>
              </w:rPr>
            </w:pPr>
            <w:r>
              <w:rPr>
                <w:rFonts w:hint="eastAsia"/>
                <w:color w:val="auto"/>
                <w:kern w:val="0"/>
                <w:sz w:val="24"/>
                <w:szCs w:val="20"/>
                <w:highlight w:val="none"/>
              </w:rPr>
              <w:t>①加强生产设备的日常维护与保养，保证机器的正常运转，建立设备定期维护、保养的管理制度，以防止设备故障形成的非正常生产噪声；</w:t>
            </w:r>
          </w:p>
          <w:p w14:paraId="1FEFECA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szCs w:val="20"/>
                <w:highlight w:val="none"/>
              </w:rPr>
            </w:pPr>
            <w:r>
              <w:rPr>
                <w:rFonts w:hint="eastAsia"/>
                <w:color w:val="auto"/>
                <w:kern w:val="0"/>
                <w:sz w:val="24"/>
                <w:szCs w:val="20"/>
                <w:highlight w:val="none"/>
              </w:rPr>
              <w:t>②对于空气动力性噪声的机械设备，出风口加装消声器，并将高噪声布置在生产车间内，并安装减震垫；</w:t>
            </w:r>
          </w:p>
          <w:p w14:paraId="45D1E98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szCs w:val="20"/>
                <w:highlight w:val="none"/>
              </w:rPr>
            </w:pPr>
            <w:r>
              <w:rPr>
                <w:rFonts w:hint="eastAsia"/>
                <w:color w:val="auto"/>
                <w:kern w:val="0"/>
                <w:sz w:val="24"/>
                <w:szCs w:val="20"/>
                <w:highlight w:val="none"/>
              </w:rPr>
              <w:t>③加强职工环保意识教育，提倡文明生产，防止人为噪声。</w:t>
            </w:r>
          </w:p>
          <w:p w14:paraId="6ADCD5B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kern w:val="0"/>
                <w:sz w:val="24"/>
                <w:szCs w:val="20"/>
                <w:highlight w:val="none"/>
              </w:rPr>
            </w:pPr>
            <w:r>
              <w:rPr>
                <w:rFonts w:hint="eastAsia"/>
                <w:color w:val="auto"/>
                <w:kern w:val="0"/>
                <w:sz w:val="24"/>
                <w:szCs w:val="20"/>
                <w:highlight w:val="none"/>
              </w:rPr>
              <w:t>④优化厂区布局，并在厂界四周尽量种植高大乔木，以起到隔声降噪的作用。</w:t>
            </w:r>
          </w:p>
          <w:p w14:paraId="1684818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szCs w:val="20"/>
                <w:highlight w:val="none"/>
              </w:rPr>
            </w:pPr>
            <w:r>
              <w:rPr>
                <w:rFonts w:hint="eastAsia"/>
                <w:color w:val="auto"/>
                <w:kern w:val="0"/>
                <w:sz w:val="24"/>
                <w:szCs w:val="20"/>
                <w:highlight w:val="none"/>
              </w:rPr>
              <w:t>在严格采取上述对策防治措施后，项目厂界噪声可达GB12348-2008《工业企业厂界环境噪声排放标准》</w:t>
            </w:r>
            <w:r>
              <w:rPr>
                <w:rFonts w:hint="eastAsia"/>
                <w:color w:val="auto"/>
                <w:kern w:val="0"/>
                <w:sz w:val="24"/>
                <w:szCs w:val="20"/>
                <w:highlight w:val="none"/>
                <w:lang w:val="en-US" w:eastAsia="zh-CN"/>
              </w:rPr>
              <w:t>2</w:t>
            </w:r>
            <w:r>
              <w:rPr>
                <w:rFonts w:hint="eastAsia"/>
                <w:color w:val="auto"/>
                <w:kern w:val="0"/>
                <w:sz w:val="24"/>
                <w:szCs w:val="20"/>
                <w:highlight w:val="none"/>
              </w:rPr>
              <w:t>类标准，噪声对区域声环境影响不大。</w:t>
            </w:r>
          </w:p>
          <w:p w14:paraId="7469BB2E">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b/>
                <w:bCs/>
                <w:color w:val="auto"/>
                <w:kern w:val="0"/>
                <w:sz w:val="24"/>
                <w:szCs w:val="20"/>
                <w:highlight w:val="none"/>
              </w:rPr>
            </w:pPr>
            <w:r>
              <w:rPr>
                <w:rFonts w:hint="eastAsia"/>
                <w:b/>
                <w:bCs/>
                <w:color w:val="auto"/>
                <w:kern w:val="0"/>
                <w:sz w:val="24"/>
                <w:szCs w:val="20"/>
                <w:highlight w:val="none"/>
                <w:lang w:eastAsia="zh-CN"/>
              </w:rPr>
              <w:t>（</w:t>
            </w:r>
            <w:r>
              <w:rPr>
                <w:rFonts w:hint="eastAsia"/>
                <w:b/>
                <w:bCs/>
                <w:color w:val="auto"/>
                <w:kern w:val="0"/>
                <w:sz w:val="24"/>
                <w:szCs w:val="20"/>
                <w:highlight w:val="none"/>
                <w:lang w:val="en-US" w:eastAsia="zh-CN"/>
              </w:rPr>
              <w:t>4</w:t>
            </w:r>
            <w:r>
              <w:rPr>
                <w:rFonts w:hint="eastAsia"/>
                <w:b/>
                <w:bCs/>
                <w:color w:val="auto"/>
                <w:kern w:val="0"/>
                <w:sz w:val="24"/>
                <w:szCs w:val="20"/>
                <w:highlight w:val="none"/>
                <w:lang w:eastAsia="zh-CN"/>
              </w:rPr>
              <w:t>）</w:t>
            </w:r>
            <w:r>
              <w:rPr>
                <w:b/>
                <w:bCs/>
                <w:color w:val="auto"/>
                <w:kern w:val="0"/>
                <w:sz w:val="24"/>
                <w:szCs w:val="20"/>
                <w:highlight w:val="none"/>
              </w:rPr>
              <w:t>噪声环境影响分析</w:t>
            </w:r>
          </w:p>
          <w:p w14:paraId="173EDB2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kern w:val="0"/>
                <w:sz w:val="24"/>
                <w:szCs w:val="20"/>
                <w:highlight w:val="none"/>
              </w:rPr>
            </w:pPr>
            <w:r>
              <w:rPr>
                <w:color w:val="auto"/>
                <w:kern w:val="0"/>
                <w:sz w:val="24"/>
                <w:szCs w:val="20"/>
                <w:highlight w:val="none"/>
              </w:rPr>
              <w:t>项目</w:t>
            </w:r>
            <w:r>
              <w:rPr>
                <w:rFonts w:hint="eastAsia"/>
                <w:color w:val="auto"/>
                <w:kern w:val="0"/>
                <w:sz w:val="24"/>
                <w:szCs w:val="20"/>
                <w:highlight w:val="none"/>
              </w:rPr>
              <w:t>已</w:t>
            </w:r>
            <w:r>
              <w:rPr>
                <w:color w:val="auto"/>
                <w:kern w:val="0"/>
                <w:sz w:val="24"/>
                <w:szCs w:val="20"/>
                <w:highlight w:val="none"/>
              </w:rPr>
              <w:t>采取的噪声防治措施主要是</w:t>
            </w:r>
            <w:r>
              <w:rPr>
                <w:rFonts w:hint="eastAsia"/>
                <w:color w:val="auto"/>
                <w:kern w:val="0"/>
                <w:sz w:val="24"/>
                <w:szCs w:val="20"/>
                <w:highlight w:val="none"/>
              </w:rPr>
              <w:t>声源</w:t>
            </w:r>
            <w:r>
              <w:rPr>
                <w:color w:val="auto"/>
                <w:kern w:val="0"/>
                <w:sz w:val="24"/>
                <w:szCs w:val="20"/>
                <w:highlight w:val="none"/>
              </w:rPr>
              <w:t>控制措施及噪声隔声措施，在做好措施后，可有效降低噪声值。本次评价厂界噪声排放执行《工业企业厂界环境噪声排放标准》（GB12348-2008）中</w:t>
            </w:r>
            <w:r>
              <w:rPr>
                <w:rFonts w:hint="eastAsia"/>
                <w:color w:val="auto"/>
                <w:kern w:val="0"/>
                <w:sz w:val="24"/>
                <w:szCs w:val="20"/>
                <w:highlight w:val="none"/>
                <w:lang w:val="en-US" w:eastAsia="zh-CN"/>
              </w:rPr>
              <w:t>2</w:t>
            </w:r>
            <w:r>
              <w:rPr>
                <w:color w:val="auto"/>
                <w:kern w:val="0"/>
                <w:sz w:val="24"/>
                <w:szCs w:val="20"/>
                <w:highlight w:val="none"/>
              </w:rPr>
              <w:t>类标准，在采取了本次评价提出噪声防治措施后，项目厂界噪声</w:t>
            </w:r>
            <w:r>
              <w:rPr>
                <w:rFonts w:hint="eastAsia"/>
                <w:color w:val="auto"/>
                <w:kern w:val="0"/>
                <w:sz w:val="24"/>
                <w:szCs w:val="20"/>
                <w:highlight w:val="none"/>
              </w:rPr>
              <w:t>可达标</w:t>
            </w:r>
            <w:r>
              <w:rPr>
                <w:color w:val="auto"/>
                <w:kern w:val="0"/>
                <w:sz w:val="24"/>
                <w:szCs w:val="20"/>
                <w:highlight w:val="none"/>
              </w:rPr>
              <w:t>排放</w:t>
            </w:r>
            <w:r>
              <w:rPr>
                <w:rFonts w:hint="eastAsia"/>
                <w:color w:val="auto"/>
                <w:kern w:val="0"/>
                <w:sz w:val="24"/>
                <w:szCs w:val="20"/>
                <w:highlight w:val="none"/>
              </w:rPr>
              <w:t>。</w:t>
            </w:r>
          </w:p>
          <w:p w14:paraId="616B5D22">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b/>
                <w:color w:val="auto"/>
                <w:kern w:val="0"/>
                <w:sz w:val="24"/>
                <w:szCs w:val="20"/>
                <w:highlight w:val="none"/>
              </w:rPr>
            </w:pPr>
            <w:r>
              <w:rPr>
                <w:rFonts w:hint="eastAsia"/>
                <w:b/>
                <w:color w:val="auto"/>
                <w:kern w:val="0"/>
                <w:sz w:val="24"/>
                <w:szCs w:val="20"/>
                <w:highlight w:val="none"/>
                <w:lang w:eastAsia="zh-CN"/>
              </w:rPr>
              <w:t>（</w:t>
            </w:r>
            <w:r>
              <w:rPr>
                <w:rFonts w:hint="eastAsia"/>
                <w:b/>
                <w:color w:val="auto"/>
                <w:kern w:val="0"/>
                <w:sz w:val="24"/>
                <w:szCs w:val="20"/>
                <w:highlight w:val="none"/>
                <w:lang w:val="en-US" w:eastAsia="zh-CN"/>
              </w:rPr>
              <w:t>5</w:t>
            </w:r>
            <w:r>
              <w:rPr>
                <w:rFonts w:hint="eastAsia"/>
                <w:b/>
                <w:color w:val="auto"/>
                <w:kern w:val="0"/>
                <w:sz w:val="24"/>
                <w:szCs w:val="20"/>
                <w:highlight w:val="none"/>
                <w:lang w:eastAsia="zh-CN"/>
              </w:rPr>
              <w:t>）</w:t>
            </w:r>
            <w:r>
              <w:rPr>
                <w:b/>
                <w:color w:val="auto"/>
                <w:kern w:val="0"/>
                <w:sz w:val="24"/>
                <w:szCs w:val="20"/>
                <w:highlight w:val="none"/>
              </w:rPr>
              <w:t>监测计划</w:t>
            </w:r>
          </w:p>
          <w:p w14:paraId="6EE0D0F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bCs/>
                <w:color w:val="auto"/>
                <w:kern w:val="0"/>
                <w:sz w:val="24"/>
                <w:highlight w:val="none"/>
              </w:rPr>
            </w:pPr>
            <w:r>
              <w:rPr>
                <w:rFonts w:hint="eastAsia"/>
                <w:bCs/>
                <w:color w:val="auto"/>
                <w:kern w:val="0"/>
                <w:sz w:val="24"/>
                <w:highlight w:val="none"/>
              </w:rPr>
              <w:t>环评根据《排污单位自行监测技术指南 磷肥、钾肥、复混肥料、有机肥料和微生物肥料》（HJ1088—2020）制定噪声自行监测计划。</w:t>
            </w:r>
          </w:p>
          <w:p w14:paraId="41BE92D7">
            <w:pPr>
              <w:adjustRightInd w:val="0"/>
              <w:snapToGrid w:val="0"/>
              <w:jc w:val="center"/>
              <w:rPr>
                <w:b/>
                <w:color w:val="auto"/>
                <w:szCs w:val="21"/>
                <w:highlight w:val="none"/>
              </w:rPr>
            </w:pPr>
            <w:r>
              <w:rPr>
                <w:b/>
                <w:color w:val="auto"/>
                <w:szCs w:val="21"/>
                <w:highlight w:val="none"/>
              </w:rPr>
              <w:t>4-</w:t>
            </w:r>
            <w:r>
              <w:rPr>
                <w:rFonts w:hint="eastAsia"/>
                <w:b/>
                <w:color w:val="auto"/>
                <w:szCs w:val="21"/>
                <w:highlight w:val="none"/>
                <w:lang w:val="en-US" w:eastAsia="zh-CN"/>
              </w:rPr>
              <w:t>2</w:t>
            </w:r>
            <w:r>
              <w:rPr>
                <w:rFonts w:hint="eastAsia"/>
                <w:b/>
                <w:color w:val="auto"/>
                <w:szCs w:val="21"/>
                <w:highlight w:val="none"/>
              </w:rPr>
              <w:t xml:space="preserve">7  </w:t>
            </w:r>
            <w:r>
              <w:rPr>
                <w:b/>
                <w:color w:val="auto"/>
                <w:szCs w:val="21"/>
                <w:highlight w:val="none"/>
              </w:rPr>
              <w:t>噪声监测计划表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6"/>
              <w:gridCol w:w="2873"/>
              <w:gridCol w:w="1104"/>
              <w:gridCol w:w="1480"/>
              <w:gridCol w:w="2091"/>
            </w:tblGrid>
            <w:tr w14:paraId="53896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4" w:type="pct"/>
                  <w:vMerge w:val="restart"/>
                  <w:vAlign w:val="center"/>
                </w:tcPr>
                <w:p w14:paraId="471411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Cs w:val="21"/>
                      <w:highlight w:val="none"/>
                    </w:rPr>
                  </w:pPr>
                  <w:r>
                    <w:rPr>
                      <w:b/>
                      <w:bCs/>
                      <w:color w:val="auto"/>
                      <w:kern w:val="0"/>
                      <w:szCs w:val="21"/>
                      <w:highlight w:val="none"/>
                    </w:rPr>
                    <w:t>监测因子</w:t>
                  </w:r>
                </w:p>
              </w:tc>
              <w:tc>
                <w:tcPr>
                  <w:tcW w:w="1654" w:type="pct"/>
                  <w:vMerge w:val="restart"/>
                  <w:vAlign w:val="center"/>
                </w:tcPr>
                <w:p w14:paraId="67F436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Cs w:val="21"/>
                      <w:highlight w:val="none"/>
                    </w:rPr>
                  </w:pPr>
                  <w:r>
                    <w:rPr>
                      <w:b/>
                      <w:bCs/>
                      <w:color w:val="auto"/>
                      <w:kern w:val="0"/>
                      <w:szCs w:val="21"/>
                      <w:highlight w:val="none"/>
                    </w:rPr>
                    <w:t>监测点位</w:t>
                  </w:r>
                </w:p>
              </w:tc>
              <w:tc>
                <w:tcPr>
                  <w:tcW w:w="635" w:type="pct"/>
                  <w:vMerge w:val="restart"/>
                  <w:vAlign w:val="center"/>
                </w:tcPr>
                <w:p w14:paraId="1ED912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Cs w:val="21"/>
                      <w:highlight w:val="none"/>
                    </w:rPr>
                  </w:pPr>
                  <w:r>
                    <w:rPr>
                      <w:b/>
                      <w:bCs/>
                      <w:color w:val="auto"/>
                      <w:kern w:val="0"/>
                      <w:szCs w:val="21"/>
                      <w:highlight w:val="none"/>
                    </w:rPr>
                    <w:t>监测频率</w:t>
                  </w:r>
                </w:p>
              </w:tc>
              <w:tc>
                <w:tcPr>
                  <w:tcW w:w="2056" w:type="pct"/>
                  <w:gridSpan w:val="2"/>
                  <w:vAlign w:val="center"/>
                </w:tcPr>
                <w:p w14:paraId="08B99B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Cs w:val="21"/>
                      <w:highlight w:val="none"/>
                    </w:rPr>
                  </w:pPr>
                  <w:r>
                    <w:rPr>
                      <w:b/>
                      <w:bCs/>
                      <w:color w:val="auto"/>
                      <w:kern w:val="0"/>
                      <w:szCs w:val="21"/>
                      <w:highlight w:val="none"/>
                    </w:rPr>
                    <w:t>《工业企业厂界环境噪声排放标准》</w:t>
                  </w:r>
                </w:p>
              </w:tc>
            </w:tr>
            <w:tr w14:paraId="6AF8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4" w:type="pct"/>
                  <w:vMerge w:val="continue"/>
                  <w:vAlign w:val="center"/>
                </w:tcPr>
                <w:p w14:paraId="58DB7A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Cs w:val="21"/>
                      <w:highlight w:val="none"/>
                    </w:rPr>
                  </w:pPr>
                </w:p>
              </w:tc>
              <w:tc>
                <w:tcPr>
                  <w:tcW w:w="1654" w:type="pct"/>
                  <w:vMerge w:val="continue"/>
                  <w:vAlign w:val="center"/>
                </w:tcPr>
                <w:p w14:paraId="7708CD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Cs w:val="21"/>
                      <w:highlight w:val="none"/>
                    </w:rPr>
                  </w:pPr>
                </w:p>
              </w:tc>
              <w:tc>
                <w:tcPr>
                  <w:tcW w:w="635" w:type="pct"/>
                  <w:vMerge w:val="continue"/>
                  <w:vAlign w:val="center"/>
                </w:tcPr>
                <w:p w14:paraId="27C2EE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Cs w:val="21"/>
                      <w:highlight w:val="none"/>
                    </w:rPr>
                  </w:pPr>
                </w:p>
              </w:tc>
              <w:tc>
                <w:tcPr>
                  <w:tcW w:w="852" w:type="pct"/>
                  <w:vAlign w:val="center"/>
                </w:tcPr>
                <w:p w14:paraId="7C52A7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Cs w:val="21"/>
                      <w:highlight w:val="none"/>
                    </w:rPr>
                  </w:pPr>
                  <w:r>
                    <w:rPr>
                      <w:b/>
                      <w:bCs/>
                      <w:color w:val="auto"/>
                      <w:kern w:val="0"/>
                      <w:szCs w:val="21"/>
                      <w:highlight w:val="none"/>
                    </w:rPr>
                    <w:t>执行标准</w:t>
                  </w:r>
                </w:p>
              </w:tc>
              <w:tc>
                <w:tcPr>
                  <w:tcW w:w="1203" w:type="pct"/>
                  <w:vAlign w:val="center"/>
                </w:tcPr>
                <w:p w14:paraId="09F72F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Cs w:val="21"/>
                      <w:highlight w:val="none"/>
                    </w:rPr>
                  </w:pPr>
                  <w:r>
                    <w:rPr>
                      <w:b/>
                      <w:bCs/>
                      <w:color w:val="auto"/>
                      <w:kern w:val="0"/>
                      <w:szCs w:val="21"/>
                      <w:highlight w:val="none"/>
                    </w:rPr>
                    <w:t>限值</w:t>
                  </w:r>
                </w:p>
              </w:tc>
            </w:tr>
            <w:tr w14:paraId="01726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4" w:type="pct"/>
                  <w:vMerge w:val="restart"/>
                  <w:vAlign w:val="center"/>
                </w:tcPr>
                <w:p w14:paraId="5328BD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color w:val="auto"/>
                      <w:kern w:val="0"/>
                      <w:szCs w:val="21"/>
                      <w:highlight w:val="none"/>
                    </w:rPr>
                    <w:t>噪声</w:t>
                  </w:r>
                </w:p>
              </w:tc>
              <w:tc>
                <w:tcPr>
                  <w:tcW w:w="1654" w:type="pct"/>
                  <w:vAlign w:val="center"/>
                </w:tcPr>
                <w:p w14:paraId="5D0206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rFonts w:hint="eastAsia"/>
                      <w:color w:val="auto"/>
                      <w:kern w:val="0"/>
                      <w:szCs w:val="21"/>
                      <w:highlight w:val="none"/>
                      <w:lang w:val="en-US" w:eastAsia="zh-CN"/>
                    </w:rPr>
                    <w:t>现由项目</w:t>
                  </w:r>
                  <w:r>
                    <w:rPr>
                      <w:rFonts w:hint="eastAsia"/>
                      <w:color w:val="auto"/>
                      <w:kern w:val="0"/>
                      <w:szCs w:val="21"/>
                      <w:highlight w:val="none"/>
                    </w:rPr>
                    <w:t>厂界东、南、西、北侧外1m处</w:t>
                  </w:r>
                </w:p>
              </w:tc>
              <w:tc>
                <w:tcPr>
                  <w:tcW w:w="635" w:type="pct"/>
                  <w:vMerge w:val="restart"/>
                  <w:vAlign w:val="center"/>
                </w:tcPr>
                <w:p w14:paraId="31B280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rFonts w:hint="eastAsia"/>
                      <w:color w:val="auto"/>
                      <w:kern w:val="0"/>
                      <w:szCs w:val="21"/>
                      <w:highlight w:val="none"/>
                    </w:rPr>
                    <w:t>1次/季度</w:t>
                  </w:r>
                </w:p>
              </w:tc>
              <w:tc>
                <w:tcPr>
                  <w:tcW w:w="852" w:type="pct"/>
                  <w:vMerge w:val="restart"/>
                  <w:vAlign w:val="center"/>
                </w:tcPr>
                <w:p w14:paraId="2808C2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rFonts w:hint="eastAsia"/>
                      <w:color w:val="auto"/>
                      <w:kern w:val="0"/>
                      <w:szCs w:val="21"/>
                      <w:highlight w:val="none"/>
                      <w:lang w:val="en-US" w:eastAsia="zh-CN"/>
                    </w:rPr>
                    <w:t>2</w:t>
                  </w:r>
                  <w:r>
                    <w:rPr>
                      <w:color w:val="auto"/>
                      <w:kern w:val="0"/>
                      <w:szCs w:val="21"/>
                      <w:highlight w:val="none"/>
                    </w:rPr>
                    <w:t>类标准</w:t>
                  </w:r>
                </w:p>
              </w:tc>
              <w:tc>
                <w:tcPr>
                  <w:tcW w:w="1203" w:type="pct"/>
                  <w:vMerge w:val="restart"/>
                  <w:vAlign w:val="center"/>
                </w:tcPr>
                <w:p w14:paraId="731B01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color w:val="auto"/>
                      <w:kern w:val="0"/>
                      <w:szCs w:val="21"/>
                      <w:highlight w:val="none"/>
                    </w:rPr>
                    <w:t>昼间≤6</w:t>
                  </w:r>
                  <w:r>
                    <w:rPr>
                      <w:rFonts w:hint="eastAsia"/>
                      <w:color w:val="auto"/>
                      <w:kern w:val="0"/>
                      <w:szCs w:val="21"/>
                      <w:highlight w:val="none"/>
                      <w:lang w:val="en-US" w:eastAsia="zh-CN"/>
                    </w:rPr>
                    <w:t>0</w:t>
                  </w:r>
                  <w:r>
                    <w:rPr>
                      <w:color w:val="auto"/>
                      <w:kern w:val="0"/>
                      <w:szCs w:val="21"/>
                      <w:highlight w:val="none"/>
                    </w:rPr>
                    <w:t>dB（A）</w:t>
                  </w:r>
                </w:p>
                <w:p w14:paraId="6E099A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rFonts w:hint="eastAsia"/>
                      <w:color w:val="auto"/>
                      <w:kern w:val="0"/>
                      <w:szCs w:val="21"/>
                      <w:highlight w:val="none"/>
                    </w:rPr>
                    <w:t>夜间</w:t>
                  </w:r>
                  <w:r>
                    <w:rPr>
                      <w:color w:val="auto"/>
                      <w:kern w:val="0"/>
                      <w:szCs w:val="21"/>
                      <w:highlight w:val="none"/>
                    </w:rPr>
                    <w:t>≤</w:t>
                  </w:r>
                  <w:r>
                    <w:rPr>
                      <w:rFonts w:hint="eastAsia"/>
                      <w:color w:val="auto"/>
                      <w:kern w:val="0"/>
                      <w:szCs w:val="21"/>
                      <w:highlight w:val="none"/>
                    </w:rPr>
                    <w:t>5</w:t>
                  </w:r>
                  <w:r>
                    <w:rPr>
                      <w:rFonts w:hint="eastAsia"/>
                      <w:color w:val="auto"/>
                      <w:kern w:val="0"/>
                      <w:szCs w:val="21"/>
                      <w:highlight w:val="none"/>
                      <w:lang w:val="en-US" w:eastAsia="zh-CN"/>
                    </w:rPr>
                    <w:t>0</w:t>
                  </w:r>
                  <w:r>
                    <w:rPr>
                      <w:color w:val="auto"/>
                      <w:kern w:val="0"/>
                      <w:szCs w:val="21"/>
                      <w:highlight w:val="none"/>
                    </w:rPr>
                    <w:t>dB（A）</w:t>
                  </w:r>
                </w:p>
              </w:tc>
            </w:tr>
            <w:tr w14:paraId="4E03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4" w:type="pct"/>
                  <w:vMerge w:val="continue"/>
                  <w:vAlign w:val="center"/>
                </w:tcPr>
                <w:p w14:paraId="7314F7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p>
              </w:tc>
              <w:tc>
                <w:tcPr>
                  <w:tcW w:w="1654" w:type="pct"/>
                  <w:vAlign w:val="center"/>
                </w:tcPr>
                <w:p w14:paraId="073591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color w:val="auto"/>
                      <w:kern w:val="0"/>
                      <w:szCs w:val="21"/>
                      <w:highlight w:val="none"/>
                      <w:lang w:val="en-US" w:eastAsia="zh-CN"/>
                    </w:rPr>
                  </w:pPr>
                  <w:r>
                    <w:rPr>
                      <w:rFonts w:hint="eastAsia"/>
                      <w:color w:val="auto"/>
                      <w:kern w:val="0"/>
                      <w:szCs w:val="21"/>
                      <w:highlight w:val="none"/>
                      <w:lang w:val="en-US" w:eastAsia="zh-CN"/>
                    </w:rPr>
                    <w:t>固体复合微生物肥生产区</w:t>
                  </w:r>
                  <w:r>
                    <w:rPr>
                      <w:rFonts w:hint="eastAsia"/>
                      <w:color w:val="auto"/>
                      <w:kern w:val="0"/>
                      <w:szCs w:val="21"/>
                      <w:highlight w:val="none"/>
                    </w:rPr>
                    <w:t>厂界东、南、西、北侧外1m处</w:t>
                  </w:r>
                </w:p>
              </w:tc>
              <w:tc>
                <w:tcPr>
                  <w:tcW w:w="635" w:type="pct"/>
                  <w:vMerge w:val="continue"/>
                  <w:vAlign w:val="center"/>
                </w:tcPr>
                <w:p w14:paraId="0E14BB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kern w:val="0"/>
                      <w:szCs w:val="21"/>
                      <w:highlight w:val="none"/>
                    </w:rPr>
                  </w:pPr>
                </w:p>
              </w:tc>
              <w:tc>
                <w:tcPr>
                  <w:tcW w:w="852" w:type="pct"/>
                  <w:vMerge w:val="continue"/>
                  <w:vAlign w:val="center"/>
                </w:tcPr>
                <w:p w14:paraId="1F5FB9F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kern w:val="0"/>
                      <w:szCs w:val="21"/>
                      <w:highlight w:val="none"/>
                    </w:rPr>
                  </w:pPr>
                </w:p>
              </w:tc>
              <w:tc>
                <w:tcPr>
                  <w:tcW w:w="1203" w:type="pct"/>
                  <w:vMerge w:val="continue"/>
                  <w:vAlign w:val="center"/>
                </w:tcPr>
                <w:p w14:paraId="744E8A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kern w:val="0"/>
                      <w:szCs w:val="21"/>
                      <w:highlight w:val="none"/>
                    </w:rPr>
                  </w:pPr>
                </w:p>
              </w:tc>
            </w:tr>
          </w:tbl>
          <w:p w14:paraId="1CEC0688">
            <w:pPr>
              <w:keepNext w:val="0"/>
              <w:keepLines w:val="0"/>
              <w:pageBreakBefore w:val="0"/>
              <w:kinsoku/>
              <w:wordWrap/>
              <w:overflowPunct/>
              <w:topLinePunct w:val="0"/>
              <w:autoSpaceDE/>
              <w:autoSpaceDN/>
              <w:bidi w:val="0"/>
              <w:adjustRightInd/>
              <w:snapToGrid/>
              <w:spacing w:line="440" w:lineRule="exact"/>
              <w:textAlignment w:val="auto"/>
              <w:rPr>
                <w:color w:val="auto"/>
                <w:kern w:val="0"/>
                <w:sz w:val="24"/>
                <w:highlight w:val="none"/>
              </w:rPr>
            </w:pPr>
            <w:r>
              <w:rPr>
                <w:rFonts w:hint="eastAsia"/>
                <w:b/>
                <w:bCs/>
                <w:color w:val="auto"/>
                <w:kern w:val="0"/>
                <w:sz w:val="24"/>
                <w:highlight w:val="none"/>
                <w:lang w:val="en-US" w:eastAsia="zh-CN"/>
              </w:rPr>
              <w:t>4</w:t>
            </w:r>
            <w:r>
              <w:rPr>
                <w:rFonts w:hint="eastAsia"/>
                <w:b/>
                <w:bCs/>
                <w:color w:val="auto"/>
                <w:kern w:val="0"/>
                <w:sz w:val="24"/>
                <w:highlight w:val="none"/>
              </w:rPr>
              <w:t>、固体废物</w:t>
            </w:r>
          </w:p>
          <w:p w14:paraId="25C34E33">
            <w:pPr>
              <w:pStyle w:val="73"/>
              <w:keepNext w:val="0"/>
              <w:keepLines w:val="0"/>
              <w:pageBreakBefore w:val="0"/>
              <w:kinsoku/>
              <w:wordWrap/>
              <w:overflowPunct/>
              <w:topLinePunct w:val="0"/>
              <w:autoSpaceDE/>
              <w:autoSpaceDN/>
              <w:bidi w:val="0"/>
              <w:adjustRightInd/>
              <w:snapToGrid/>
              <w:spacing w:line="440" w:lineRule="exact"/>
              <w:ind w:firstLine="482" w:firstLineChars="200"/>
              <w:jc w:val="both"/>
              <w:textAlignment w:val="auto"/>
              <w:rPr>
                <w:b/>
                <w:color w:val="auto"/>
                <w:spacing w:val="0"/>
                <w:kern w:val="0"/>
                <w:sz w:val="24"/>
                <w:highlight w:val="none"/>
                <w:lang w:val="en-US"/>
              </w:rPr>
            </w:pPr>
            <w:r>
              <w:rPr>
                <w:rFonts w:hint="eastAsia"/>
                <w:b/>
                <w:color w:val="auto"/>
                <w:spacing w:val="0"/>
                <w:kern w:val="0"/>
                <w:sz w:val="24"/>
                <w:highlight w:val="none"/>
                <w:lang w:val="en-US" w:eastAsia="zh-CN"/>
              </w:rPr>
              <w:t>（1）本项目</w:t>
            </w:r>
            <w:r>
              <w:rPr>
                <w:rFonts w:hint="eastAsia"/>
                <w:b/>
                <w:color w:val="auto"/>
                <w:spacing w:val="0"/>
                <w:kern w:val="0"/>
                <w:sz w:val="24"/>
                <w:highlight w:val="none"/>
                <w:lang w:val="en-US"/>
              </w:rPr>
              <w:t>固废产生情况</w:t>
            </w:r>
          </w:p>
          <w:p w14:paraId="509BC1BF">
            <w:pPr>
              <w:pStyle w:val="73"/>
              <w:keepNext w:val="0"/>
              <w:keepLines w:val="0"/>
              <w:pageBreakBefore w:val="0"/>
              <w:kinsoku/>
              <w:wordWrap/>
              <w:overflowPunct/>
              <w:topLinePunct w:val="0"/>
              <w:autoSpaceDE/>
              <w:autoSpaceDN/>
              <w:bidi w:val="0"/>
              <w:adjustRightInd/>
              <w:snapToGrid/>
              <w:spacing w:line="440" w:lineRule="exact"/>
              <w:ind w:firstLine="480" w:firstLineChars="200"/>
              <w:jc w:val="both"/>
              <w:textAlignment w:val="auto"/>
              <w:rPr>
                <w:bCs/>
                <w:color w:val="auto"/>
                <w:spacing w:val="0"/>
                <w:kern w:val="0"/>
                <w:sz w:val="24"/>
                <w:szCs w:val="24"/>
                <w:highlight w:val="none"/>
                <w:lang w:val="en-US"/>
              </w:rPr>
            </w:pPr>
            <w:r>
              <w:rPr>
                <w:bCs/>
                <w:color w:val="auto"/>
                <w:spacing w:val="0"/>
                <w:kern w:val="0"/>
                <w:sz w:val="24"/>
                <w:szCs w:val="24"/>
                <w:highlight w:val="none"/>
                <w:lang w:val="en-US"/>
              </w:rPr>
              <w:t>本项目</w:t>
            </w:r>
            <w:r>
              <w:rPr>
                <w:rFonts w:hint="eastAsia"/>
                <w:bCs/>
                <w:color w:val="auto"/>
                <w:spacing w:val="0"/>
                <w:kern w:val="0"/>
                <w:sz w:val="24"/>
                <w:szCs w:val="24"/>
                <w:highlight w:val="none"/>
                <w:lang w:val="en-US" w:eastAsia="zh-CN"/>
              </w:rPr>
              <w:t>不新增工作人员，不新增生活固废，其</w:t>
            </w:r>
            <w:r>
              <w:rPr>
                <w:bCs/>
                <w:color w:val="auto"/>
                <w:spacing w:val="0"/>
                <w:kern w:val="0"/>
                <w:sz w:val="24"/>
                <w:szCs w:val="24"/>
                <w:highlight w:val="none"/>
                <w:lang w:val="en-US"/>
              </w:rPr>
              <w:t>产生固体废物主要为一般固体废物、危险废物。</w:t>
            </w:r>
          </w:p>
          <w:p w14:paraId="3517AAB9">
            <w:pPr>
              <w:keepNext w:val="0"/>
              <w:keepLines w:val="0"/>
              <w:pageBreakBefore w:val="0"/>
              <w:widowControl/>
              <w:kinsoku/>
              <w:wordWrap/>
              <w:overflowPunct/>
              <w:topLinePunct w:val="0"/>
              <w:autoSpaceDE/>
              <w:autoSpaceDN/>
              <w:bidi w:val="0"/>
              <w:adjustRightInd/>
              <w:snapToGrid/>
              <w:spacing w:line="440" w:lineRule="exact"/>
              <w:ind w:firstLine="482" w:firstLineChars="200"/>
              <w:textAlignment w:val="auto"/>
              <w:rPr>
                <w:rFonts w:hint="default" w:eastAsia="宋体"/>
                <w:b/>
                <w:bCs/>
                <w:color w:val="auto"/>
                <w:kern w:val="0"/>
                <w:sz w:val="24"/>
                <w:szCs w:val="24"/>
                <w:highlight w:val="none"/>
                <w:lang w:val="en-US" w:eastAsia="zh-CN" w:bidi="ar"/>
              </w:rPr>
            </w:pPr>
            <w:r>
              <w:rPr>
                <w:rFonts w:hint="eastAsia"/>
                <w:b/>
                <w:bCs/>
                <w:color w:val="auto"/>
                <w:kern w:val="0"/>
                <w:sz w:val="24"/>
                <w:szCs w:val="24"/>
                <w:highlight w:val="none"/>
                <w:lang w:val="en-US" w:eastAsia="zh-CN" w:bidi="ar"/>
              </w:rPr>
              <w:t>1）一般固废</w:t>
            </w:r>
          </w:p>
          <w:p w14:paraId="0BA76CC2">
            <w:pPr>
              <w:pStyle w:val="73"/>
              <w:keepNext w:val="0"/>
              <w:keepLines w:val="0"/>
              <w:pageBreakBefore w:val="0"/>
              <w:kinsoku/>
              <w:wordWrap/>
              <w:overflowPunct/>
              <w:topLinePunct w:val="0"/>
              <w:autoSpaceDE/>
              <w:autoSpaceDN/>
              <w:bidi w:val="0"/>
              <w:adjustRightInd/>
              <w:snapToGrid/>
              <w:spacing w:line="440" w:lineRule="exact"/>
              <w:ind w:firstLine="482" w:firstLineChars="200"/>
              <w:jc w:val="both"/>
              <w:textAlignment w:val="auto"/>
              <w:rPr>
                <w:b/>
                <w:bCs/>
                <w:color w:val="auto"/>
                <w:spacing w:val="0"/>
                <w:kern w:val="0"/>
                <w:sz w:val="24"/>
                <w:szCs w:val="24"/>
                <w:highlight w:val="none"/>
                <w:lang w:val="en-US"/>
              </w:rPr>
            </w:pPr>
            <w:r>
              <w:rPr>
                <w:rFonts w:hint="eastAsia"/>
                <w:b/>
                <w:bCs/>
                <w:color w:val="auto"/>
                <w:spacing w:val="0"/>
                <w:kern w:val="0"/>
                <w:sz w:val="24"/>
                <w:szCs w:val="24"/>
                <w:highlight w:val="none"/>
                <w:lang w:val="en-US"/>
              </w:rPr>
              <w:t>①废包装物</w:t>
            </w:r>
          </w:p>
          <w:p w14:paraId="2F442CCE">
            <w:pPr>
              <w:pStyle w:val="73"/>
              <w:keepNext w:val="0"/>
              <w:keepLines w:val="0"/>
              <w:pageBreakBefore w:val="0"/>
              <w:kinsoku/>
              <w:wordWrap/>
              <w:overflowPunct/>
              <w:topLinePunct w:val="0"/>
              <w:autoSpaceDE/>
              <w:autoSpaceDN/>
              <w:bidi w:val="0"/>
              <w:adjustRightInd/>
              <w:snapToGrid/>
              <w:spacing w:line="440" w:lineRule="exact"/>
              <w:ind w:firstLine="480" w:firstLineChars="200"/>
              <w:jc w:val="both"/>
              <w:textAlignment w:val="auto"/>
              <w:rPr>
                <w:rFonts w:hint="eastAsia"/>
                <w:color w:val="auto"/>
                <w:spacing w:val="0"/>
                <w:kern w:val="0"/>
                <w:sz w:val="24"/>
                <w:szCs w:val="24"/>
                <w:highlight w:val="none"/>
                <w:lang w:val="en-US" w:eastAsia="zh-CN"/>
              </w:rPr>
            </w:pPr>
            <w:r>
              <w:rPr>
                <w:rFonts w:hint="eastAsia"/>
                <w:color w:val="auto"/>
                <w:spacing w:val="0"/>
                <w:kern w:val="0"/>
                <w:sz w:val="24"/>
                <w:szCs w:val="24"/>
                <w:highlight w:val="none"/>
                <w:lang w:val="en-US"/>
              </w:rPr>
              <w:t>本项目</w:t>
            </w:r>
            <w:r>
              <w:rPr>
                <w:rFonts w:hint="eastAsia"/>
                <w:color w:val="auto"/>
                <w:spacing w:val="0"/>
                <w:kern w:val="0"/>
                <w:sz w:val="24"/>
                <w:szCs w:val="24"/>
                <w:highlight w:val="none"/>
                <w:lang w:val="en-US" w:eastAsia="zh-CN"/>
              </w:rPr>
              <w:t>投料拆袋、产品包装等工序会产生废包装物，其主要为废塑料袋。</w:t>
            </w:r>
          </w:p>
          <w:p w14:paraId="343B6423">
            <w:pPr>
              <w:pStyle w:val="73"/>
              <w:keepNext w:val="0"/>
              <w:keepLines w:val="0"/>
              <w:pageBreakBefore w:val="0"/>
              <w:kinsoku/>
              <w:wordWrap/>
              <w:overflowPunct/>
              <w:topLinePunct w:val="0"/>
              <w:autoSpaceDE/>
              <w:autoSpaceDN/>
              <w:bidi w:val="0"/>
              <w:adjustRightInd/>
              <w:snapToGrid/>
              <w:spacing w:line="440" w:lineRule="exact"/>
              <w:ind w:firstLine="480" w:firstLineChars="200"/>
              <w:jc w:val="both"/>
              <w:textAlignment w:val="auto"/>
              <w:rPr>
                <w:rFonts w:hint="eastAsia"/>
                <w:color w:val="auto"/>
                <w:spacing w:val="0"/>
                <w:kern w:val="0"/>
                <w:sz w:val="24"/>
                <w:szCs w:val="24"/>
                <w:highlight w:val="none"/>
                <w:lang w:val="en-US"/>
              </w:rPr>
            </w:pPr>
            <w:r>
              <w:rPr>
                <w:rFonts w:hint="eastAsia"/>
                <w:color w:val="auto"/>
                <w:spacing w:val="0"/>
                <w:kern w:val="0"/>
                <w:sz w:val="24"/>
                <w:szCs w:val="24"/>
                <w:highlight w:val="none"/>
                <w:lang w:val="en-US"/>
              </w:rPr>
              <w:t>根据业主提供的资料，废包装袋单个约为0.2kg，根据原料消耗量，项目包装袋</w:t>
            </w:r>
            <w:r>
              <w:rPr>
                <w:rFonts w:hint="eastAsia"/>
                <w:color w:val="auto"/>
                <w:spacing w:val="0"/>
                <w:kern w:val="0"/>
                <w:sz w:val="24"/>
                <w:szCs w:val="24"/>
                <w:highlight w:val="none"/>
                <w:lang w:val="en-US" w:eastAsia="zh-CN"/>
              </w:rPr>
              <w:t>使用</w:t>
            </w:r>
            <w:r>
              <w:rPr>
                <w:rFonts w:hint="eastAsia"/>
                <w:color w:val="auto"/>
                <w:spacing w:val="0"/>
                <w:kern w:val="0"/>
                <w:sz w:val="24"/>
                <w:szCs w:val="24"/>
                <w:highlight w:val="none"/>
                <w:lang w:val="en-US"/>
              </w:rPr>
              <w:t>量约为</w:t>
            </w:r>
            <w:r>
              <w:rPr>
                <w:rFonts w:hint="eastAsia"/>
                <w:color w:val="auto"/>
                <w:spacing w:val="0"/>
                <w:kern w:val="0"/>
                <w:sz w:val="24"/>
                <w:szCs w:val="24"/>
                <w:highlight w:val="none"/>
                <w:lang w:val="en-US" w:eastAsia="zh-CN"/>
              </w:rPr>
              <w:t>118万</w:t>
            </w:r>
            <w:r>
              <w:rPr>
                <w:rFonts w:hint="eastAsia"/>
                <w:color w:val="auto"/>
                <w:spacing w:val="0"/>
                <w:kern w:val="0"/>
                <w:sz w:val="24"/>
                <w:szCs w:val="24"/>
                <w:highlight w:val="none"/>
                <w:lang w:val="en-US"/>
              </w:rPr>
              <w:t>个/a，</w:t>
            </w:r>
            <w:r>
              <w:rPr>
                <w:rFonts w:hint="eastAsia"/>
                <w:color w:val="auto"/>
                <w:spacing w:val="0"/>
                <w:kern w:val="0"/>
                <w:sz w:val="24"/>
                <w:szCs w:val="24"/>
                <w:highlight w:val="none"/>
                <w:lang w:val="en-US" w:eastAsia="zh-CN"/>
              </w:rPr>
              <w:t>产生量按1%计，</w:t>
            </w:r>
            <w:r>
              <w:rPr>
                <w:rFonts w:hint="eastAsia"/>
                <w:color w:val="auto"/>
                <w:spacing w:val="0"/>
                <w:kern w:val="0"/>
                <w:sz w:val="24"/>
                <w:szCs w:val="24"/>
                <w:highlight w:val="none"/>
                <w:lang w:val="en-US"/>
              </w:rPr>
              <w:t>则废包装袋产生量为</w:t>
            </w:r>
            <w:r>
              <w:rPr>
                <w:rFonts w:hint="eastAsia"/>
                <w:color w:val="auto"/>
                <w:spacing w:val="0"/>
                <w:kern w:val="0"/>
                <w:sz w:val="24"/>
                <w:szCs w:val="24"/>
                <w:highlight w:val="none"/>
                <w:lang w:val="en-US" w:eastAsia="zh-CN"/>
              </w:rPr>
              <w:t>2.36</w:t>
            </w:r>
            <w:r>
              <w:rPr>
                <w:rFonts w:hint="eastAsia"/>
                <w:color w:val="auto"/>
                <w:spacing w:val="0"/>
                <w:kern w:val="0"/>
                <w:sz w:val="24"/>
                <w:szCs w:val="24"/>
                <w:highlight w:val="none"/>
                <w:lang w:val="en-US"/>
              </w:rPr>
              <w:t>t/a。</w:t>
            </w:r>
          </w:p>
          <w:p w14:paraId="4652C1A6">
            <w:pPr>
              <w:pStyle w:val="73"/>
              <w:keepNext w:val="0"/>
              <w:keepLines w:val="0"/>
              <w:pageBreakBefore w:val="0"/>
              <w:kinsoku/>
              <w:wordWrap/>
              <w:overflowPunct/>
              <w:topLinePunct w:val="0"/>
              <w:autoSpaceDE/>
              <w:autoSpaceDN/>
              <w:bidi w:val="0"/>
              <w:adjustRightInd/>
              <w:snapToGrid/>
              <w:spacing w:line="440" w:lineRule="exact"/>
              <w:ind w:firstLine="480" w:firstLineChars="200"/>
              <w:jc w:val="both"/>
              <w:textAlignment w:val="auto"/>
              <w:rPr>
                <w:color w:val="auto"/>
                <w:spacing w:val="0"/>
                <w:kern w:val="0"/>
                <w:sz w:val="24"/>
                <w:szCs w:val="24"/>
                <w:highlight w:val="none"/>
                <w:lang w:val="en-US"/>
              </w:rPr>
            </w:pPr>
            <w:r>
              <w:rPr>
                <w:rFonts w:hint="eastAsia"/>
                <w:color w:val="auto"/>
                <w:spacing w:val="0"/>
                <w:sz w:val="24"/>
                <w:szCs w:val="24"/>
                <w:highlight w:val="none"/>
                <w:lang w:eastAsia="zh-CN"/>
              </w:rPr>
              <w:t>根据《固体废物分类与代码目录》，其废物种类为SW17可再生类废物，废物代码为900-00</w:t>
            </w:r>
            <w:r>
              <w:rPr>
                <w:rFonts w:hint="eastAsia"/>
                <w:color w:val="auto"/>
                <w:spacing w:val="0"/>
                <w:sz w:val="24"/>
                <w:szCs w:val="24"/>
                <w:highlight w:val="none"/>
                <w:lang w:val="en-US" w:eastAsia="zh-CN"/>
              </w:rPr>
              <w:t>3</w:t>
            </w:r>
            <w:r>
              <w:rPr>
                <w:rFonts w:hint="eastAsia"/>
                <w:color w:val="auto"/>
                <w:spacing w:val="0"/>
                <w:sz w:val="24"/>
                <w:szCs w:val="24"/>
                <w:highlight w:val="none"/>
                <w:lang w:eastAsia="zh-CN"/>
              </w:rPr>
              <w:t>-S17。收集</w:t>
            </w:r>
            <w:r>
              <w:rPr>
                <w:rFonts w:hint="eastAsia"/>
                <w:color w:val="auto"/>
                <w:spacing w:val="0"/>
                <w:sz w:val="24"/>
                <w:szCs w:val="24"/>
                <w:highlight w:val="none"/>
                <w:lang w:val="en-US" w:eastAsia="zh-CN"/>
              </w:rPr>
              <w:t>于一般固废暂存区</w:t>
            </w:r>
            <w:r>
              <w:rPr>
                <w:rFonts w:hint="eastAsia"/>
                <w:color w:val="auto"/>
                <w:spacing w:val="0"/>
                <w:sz w:val="24"/>
                <w:szCs w:val="24"/>
                <w:highlight w:val="none"/>
                <w:lang w:eastAsia="zh-CN"/>
              </w:rPr>
              <w:t>外售废旧物资回收公司综合利用。</w:t>
            </w:r>
          </w:p>
          <w:p w14:paraId="7E88BF7B">
            <w:pPr>
              <w:pStyle w:val="73"/>
              <w:keepNext w:val="0"/>
              <w:keepLines w:val="0"/>
              <w:pageBreakBefore w:val="0"/>
              <w:kinsoku/>
              <w:wordWrap/>
              <w:overflowPunct/>
              <w:topLinePunct w:val="0"/>
              <w:autoSpaceDE/>
              <w:autoSpaceDN/>
              <w:bidi w:val="0"/>
              <w:adjustRightInd/>
              <w:snapToGrid/>
              <w:spacing w:line="440" w:lineRule="exact"/>
              <w:ind w:firstLine="498" w:firstLineChars="200"/>
              <w:jc w:val="both"/>
              <w:textAlignment w:val="auto"/>
              <w:rPr>
                <w:b/>
                <w:bCs/>
                <w:color w:val="auto"/>
                <w:spacing w:val="0"/>
                <w:kern w:val="0"/>
                <w:sz w:val="24"/>
                <w:szCs w:val="24"/>
                <w:highlight w:val="none"/>
                <w:lang w:val="en-US"/>
              </w:rPr>
            </w:pPr>
            <w:r>
              <w:rPr>
                <w:rFonts w:hint="eastAsia"/>
                <w:b/>
                <w:bCs/>
                <w:color w:val="auto"/>
                <w:kern w:val="0"/>
                <w:sz w:val="24"/>
                <w:szCs w:val="24"/>
                <w:highlight w:val="none"/>
                <w:lang w:bidi="ar"/>
              </w:rPr>
              <w:t>②</w:t>
            </w:r>
            <w:r>
              <w:rPr>
                <w:rFonts w:hint="eastAsia"/>
                <w:b/>
                <w:bCs/>
                <w:color w:val="auto"/>
                <w:spacing w:val="0"/>
                <w:kern w:val="0"/>
                <w:sz w:val="24"/>
                <w:szCs w:val="24"/>
                <w:highlight w:val="none"/>
                <w:lang w:val="en-US"/>
              </w:rPr>
              <w:t>不合格产品</w:t>
            </w:r>
          </w:p>
          <w:p w14:paraId="55D86B0D">
            <w:pPr>
              <w:pStyle w:val="73"/>
              <w:keepNext w:val="0"/>
              <w:keepLines w:val="0"/>
              <w:pageBreakBefore w:val="0"/>
              <w:kinsoku/>
              <w:wordWrap/>
              <w:overflowPunct/>
              <w:topLinePunct w:val="0"/>
              <w:autoSpaceDE/>
              <w:autoSpaceDN/>
              <w:bidi w:val="0"/>
              <w:adjustRightInd/>
              <w:snapToGrid/>
              <w:spacing w:line="440" w:lineRule="exact"/>
              <w:ind w:firstLine="480" w:firstLineChars="200"/>
              <w:jc w:val="both"/>
              <w:textAlignment w:val="auto"/>
              <w:rPr>
                <w:rFonts w:hint="eastAsia"/>
                <w:color w:val="auto"/>
                <w:spacing w:val="0"/>
                <w:kern w:val="0"/>
                <w:sz w:val="24"/>
                <w:szCs w:val="24"/>
                <w:highlight w:val="none"/>
                <w:lang w:val="en-US" w:eastAsia="zh-CN"/>
              </w:rPr>
            </w:pPr>
            <w:r>
              <w:rPr>
                <w:rFonts w:hint="eastAsia"/>
                <w:color w:val="auto"/>
                <w:spacing w:val="0"/>
                <w:kern w:val="0"/>
                <w:sz w:val="24"/>
                <w:szCs w:val="24"/>
                <w:highlight w:val="none"/>
                <w:lang w:val="en-US"/>
              </w:rPr>
              <w:t>本项目</w:t>
            </w:r>
            <w:r>
              <w:rPr>
                <w:rFonts w:hint="eastAsia"/>
                <w:color w:val="auto"/>
                <w:spacing w:val="0"/>
                <w:kern w:val="0"/>
                <w:sz w:val="24"/>
                <w:szCs w:val="24"/>
                <w:highlight w:val="none"/>
                <w:lang w:val="en-US" w:eastAsia="zh-CN"/>
              </w:rPr>
              <w:t>复合微生物肥</w:t>
            </w:r>
            <w:r>
              <w:rPr>
                <w:rFonts w:hint="eastAsia"/>
                <w:color w:val="auto"/>
                <w:spacing w:val="0"/>
                <w:kern w:val="0"/>
                <w:sz w:val="24"/>
                <w:szCs w:val="24"/>
                <w:highlight w:val="none"/>
                <w:lang w:val="en-US"/>
              </w:rPr>
              <w:t>产品采用抽检</w:t>
            </w:r>
            <w:r>
              <w:rPr>
                <w:rFonts w:hint="eastAsia"/>
                <w:color w:val="auto"/>
                <w:spacing w:val="0"/>
                <w:kern w:val="0"/>
                <w:sz w:val="24"/>
                <w:szCs w:val="24"/>
                <w:highlight w:val="none"/>
                <w:lang w:val="en-US" w:eastAsia="zh-CN"/>
              </w:rPr>
              <w:t>分析</w:t>
            </w:r>
            <w:r>
              <w:rPr>
                <w:rFonts w:hint="eastAsia"/>
                <w:color w:val="auto"/>
                <w:spacing w:val="0"/>
                <w:kern w:val="0"/>
                <w:sz w:val="24"/>
                <w:szCs w:val="24"/>
                <w:highlight w:val="none"/>
                <w:lang w:val="en-US"/>
              </w:rPr>
              <w:t>，</w:t>
            </w:r>
            <w:r>
              <w:rPr>
                <w:rFonts w:hint="eastAsia"/>
                <w:color w:val="auto"/>
                <w:spacing w:val="0"/>
                <w:kern w:val="0"/>
                <w:sz w:val="24"/>
                <w:szCs w:val="24"/>
                <w:highlight w:val="none"/>
                <w:lang w:val="en-US" w:eastAsia="zh-CN"/>
              </w:rPr>
              <w:t>不合格产品返回生产线作为原料使用。</w:t>
            </w:r>
          </w:p>
          <w:p w14:paraId="433D365B">
            <w:pPr>
              <w:pStyle w:val="73"/>
              <w:keepNext w:val="0"/>
              <w:keepLines w:val="0"/>
              <w:pageBreakBefore w:val="0"/>
              <w:kinsoku/>
              <w:wordWrap/>
              <w:overflowPunct/>
              <w:topLinePunct w:val="0"/>
              <w:autoSpaceDE/>
              <w:autoSpaceDN/>
              <w:bidi w:val="0"/>
              <w:adjustRightInd/>
              <w:snapToGrid/>
              <w:spacing w:line="440" w:lineRule="exact"/>
              <w:ind w:firstLine="480" w:firstLineChars="200"/>
              <w:jc w:val="both"/>
              <w:textAlignment w:val="auto"/>
              <w:rPr>
                <w:color w:val="auto"/>
                <w:spacing w:val="0"/>
                <w:kern w:val="0"/>
                <w:sz w:val="24"/>
                <w:szCs w:val="24"/>
                <w:highlight w:val="none"/>
                <w:lang w:val="en-US"/>
              </w:rPr>
            </w:pPr>
            <w:r>
              <w:rPr>
                <w:rFonts w:hint="eastAsia"/>
                <w:color w:val="auto"/>
                <w:spacing w:val="0"/>
                <w:kern w:val="0"/>
                <w:sz w:val="24"/>
                <w:szCs w:val="24"/>
                <w:highlight w:val="none"/>
                <w:lang w:val="en-US" w:eastAsia="zh-CN"/>
              </w:rPr>
              <w:t>根据物料平衡分析</w:t>
            </w:r>
            <w:r>
              <w:rPr>
                <w:rFonts w:hint="eastAsia"/>
                <w:color w:val="auto"/>
                <w:spacing w:val="0"/>
                <w:kern w:val="0"/>
                <w:sz w:val="24"/>
                <w:szCs w:val="24"/>
                <w:highlight w:val="none"/>
                <w:lang w:val="en-US"/>
              </w:rPr>
              <w:t>，则不合格品产生量为</w:t>
            </w:r>
            <w:r>
              <w:rPr>
                <w:rFonts w:hint="eastAsia"/>
                <w:color w:val="auto"/>
                <w:spacing w:val="0"/>
                <w:kern w:val="0"/>
                <w:sz w:val="24"/>
                <w:szCs w:val="24"/>
                <w:highlight w:val="none"/>
                <w:lang w:val="en-US" w:eastAsia="zh-CN"/>
              </w:rPr>
              <w:t>440.998</w:t>
            </w:r>
            <w:r>
              <w:rPr>
                <w:rFonts w:hint="eastAsia"/>
                <w:color w:val="auto"/>
                <w:spacing w:val="0"/>
                <w:kern w:val="0"/>
                <w:sz w:val="24"/>
                <w:szCs w:val="24"/>
                <w:highlight w:val="none"/>
                <w:lang w:val="en-US"/>
              </w:rPr>
              <w:t>t/a，</w:t>
            </w:r>
            <w:r>
              <w:rPr>
                <w:rFonts w:hint="eastAsia"/>
                <w:color w:val="auto"/>
                <w:spacing w:val="0"/>
                <w:sz w:val="24"/>
                <w:szCs w:val="24"/>
                <w:highlight w:val="none"/>
                <w:lang w:eastAsia="zh-CN"/>
              </w:rPr>
              <w:t>根据《固体废物分类与代码目录》，其废物种类为SW59其他工业固体废物，废物代码为900-0</w:t>
            </w:r>
            <w:r>
              <w:rPr>
                <w:rFonts w:hint="eastAsia"/>
                <w:color w:val="auto"/>
                <w:spacing w:val="0"/>
                <w:sz w:val="24"/>
                <w:szCs w:val="24"/>
                <w:highlight w:val="none"/>
                <w:lang w:val="en-US" w:eastAsia="zh-CN"/>
              </w:rPr>
              <w:t>99</w:t>
            </w:r>
            <w:r>
              <w:rPr>
                <w:rFonts w:hint="eastAsia"/>
                <w:color w:val="auto"/>
                <w:spacing w:val="0"/>
                <w:sz w:val="24"/>
                <w:szCs w:val="24"/>
                <w:highlight w:val="none"/>
                <w:lang w:eastAsia="zh-CN"/>
              </w:rPr>
              <w:t>-S</w:t>
            </w:r>
            <w:r>
              <w:rPr>
                <w:rFonts w:hint="eastAsia"/>
                <w:color w:val="auto"/>
                <w:spacing w:val="0"/>
                <w:sz w:val="24"/>
                <w:szCs w:val="24"/>
                <w:highlight w:val="none"/>
                <w:lang w:val="en-US" w:eastAsia="zh-CN"/>
              </w:rPr>
              <w:t>59</w:t>
            </w:r>
            <w:r>
              <w:rPr>
                <w:rFonts w:hint="eastAsia"/>
                <w:color w:val="auto"/>
                <w:spacing w:val="0"/>
                <w:sz w:val="24"/>
                <w:szCs w:val="24"/>
                <w:highlight w:val="none"/>
                <w:lang w:eastAsia="zh-CN"/>
              </w:rPr>
              <w:t>。</w:t>
            </w:r>
            <w:r>
              <w:rPr>
                <w:rFonts w:hint="eastAsia"/>
                <w:color w:val="auto"/>
                <w:spacing w:val="0"/>
                <w:kern w:val="0"/>
                <w:sz w:val="24"/>
                <w:szCs w:val="24"/>
                <w:highlight w:val="none"/>
                <w:lang w:val="en-US"/>
              </w:rPr>
              <w:t>收集后返回</w:t>
            </w:r>
            <w:r>
              <w:rPr>
                <w:rFonts w:hint="eastAsia"/>
                <w:color w:val="auto"/>
                <w:spacing w:val="0"/>
                <w:kern w:val="0"/>
                <w:sz w:val="24"/>
                <w:szCs w:val="24"/>
                <w:highlight w:val="none"/>
                <w:lang w:val="en-US" w:eastAsia="zh-CN"/>
              </w:rPr>
              <w:t>作为生产原料使用</w:t>
            </w:r>
            <w:r>
              <w:rPr>
                <w:rFonts w:hint="eastAsia"/>
                <w:color w:val="auto"/>
                <w:spacing w:val="0"/>
                <w:kern w:val="0"/>
                <w:sz w:val="24"/>
                <w:szCs w:val="24"/>
                <w:highlight w:val="none"/>
                <w:lang w:val="en-US"/>
              </w:rPr>
              <w:t>。</w:t>
            </w:r>
          </w:p>
          <w:p w14:paraId="3CCED871">
            <w:pPr>
              <w:pStyle w:val="73"/>
              <w:keepNext w:val="0"/>
              <w:keepLines w:val="0"/>
              <w:pageBreakBefore w:val="0"/>
              <w:kinsoku/>
              <w:wordWrap/>
              <w:overflowPunct/>
              <w:topLinePunct w:val="0"/>
              <w:autoSpaceDE/>
              <w:autoSpaceDN/>
              <w:bidi w:val="0"/>
              <w:adjustRightInd/>
              <w:snapToGrid/>
              <w:spacing w:line="440" w:lineRule="exact"/>
              <w:ind w:firstLine="482" w:firstLineChars="200"/>
              <w:jc w:val="both"/>
              <w:textAlignment w:val="auto"/>
              <w:rPr>
                <w:rFonts w:hint="eastAsia"/>
                <w:b/>
                <w:bCs/>
                <w:color w:val="auto"/>
                <w:spacing w:val="0"/>
                <w:kern w:val="0"/>
                <w:sz w:val="24"/>
                <w:szCs w:val="24"/>
                <w:highlight w:val="none"/>
                <w:lang w:val="en-US"/>
              </w:rPr>
            </w:pPr>
          </w:p>
          <w:p w14:paraId="3FDEE379">
            <w:pPr>
              <w:pStyle w:val="73"/>
              <w:keepNext w:val="0"/>
              <w:keepLines w:val="0"/>
              <w:pageBreakBefore w:val="0"/>
              <w:kinsoku/>
              <w:wordWrap/>
              <w:overflowPunct/>
              <w:topLinePunct w:val="0"/>
              <w:autoSpaceDE/>
              <w:autoSpaceDN/>
              <w:bidi w:val="0"/>
              <w:adjustRightInd/>
              <w:snapToGrid/>
              <w:spacing w:line="420" w:lineRule="exact"/>
              <w:ind w:firstLine="482" w:firstLineChars="200"/>
              <w:jc w:val="both"/>
              <w:textAlignment w:val="auto"/>
              <w:rPr>
                <w:b/>
                <w:bCs/>
                <w:color w:val="auto"/>
                <w:kern w:val="0"/>
                <w:sz w:val="24"/>
                <w:szCs w:val="24"/>
                <w:highlight w:val="none"/>
                <w:lang w:bidi="ar"/>
              </w:rPr>
            </w:pPr>
            <w:r>
              <w:rPr>
                <w:rFonts w:hint="eastAsia"/>
                <w:b/>
                <w:bCs/>
                <w:color w:val="auto"/>
                <w:spacing w:val="0"/>
                <w:kern w:val="0"/>
                <w:sz w:val="24"/>
                <w:szCs w:val="24"/>
                <w:highlight w:val="none"/>
                <w:lang w:val="en-US"/>
              </w:rPr>
              <w:t>③</w:t>
            </w:r>
            <w:r>
              <w:rPr>
                <w:rFonts w:hint="eastAsia"/>
                <w:b/>
                <w:bCs/>
                <w:color w:val="auto"/>
                <w:kern w:val="0"/>
                <w:sz w:val="24"/>
                <w:szCs w:val="24"/>
                <w:highlight w:val="none"/>
                <w:lang w:bidi="ar"/>
              </w:rPr>
              <w:t>布袋集尘及厂房降尘</w:t>
            </w:r>
          </w:p>
          <w:p w14:paraId="3AF9D570">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eastAsia"/>
                <w:color w:val="auto"/>
                <w:kern w:val="0"/>
                <w:sz w:val="24"/>
                <w:szCs w:val="24"/>
                <w:highlight w:val="none"/>
                <w:lang w:val="en-US" w:eastAsia="zh-CN" w:bidi="ar"/>
              </w:rPr>
            </w:pPr>
            <w:r>
              <w:rPr>
                <w:rFonts w:hint="eastAsia"/>
                <w:color w:val="auto"/>
                <w:kern w:val="0"/>
                <w:sz w:val="24"/>
                <w:szCs w:val="24"/>
                <w:highlight w:val="none"/>
                <w:lang w:bidi="ar"/>
              </w:rPr>
              <w:t>本项目建成后，</w:t>
            </w:r>
            <w:r>
              <w:rPr>
                <w:rFonts w:hint="eastAsia"/>
                <w:color w:val="auto"/>
                <w:kern w:val="0"/>
                <w:sz w:val="24"/>
                <w:szCs w:val="24"/>
                <w:highlight w:val="none"/>
                <w:lang w:val="en-US" w:eastAsia="zh-CN" w:bidi="ar"/>
              </w:rPr>
              <w:t>本项目厂房隔档和布袋收集将产生降尘，其中</w:t>
            </w:r>
            <w:r>
              <w:rPr>
                <w:rFonts w:hint="eastAsia"/>
                <w:color w:val="auto"/>
                <w:kern w:val="0"/>
                <w:sz w:val="24"/>
                <w:szCs w:val="24"/>
                <w:highlight w:val="none"/>
                <w:lang w:bidi="ar"/>
              </w:rPr>
              <w:t>布袋除尘器</w:t>
            </w:r>
            <w:r>
              <w:rPr>
                <w:rFonts w:hint="eastAsia"/>
                <w:color w:val="auto"/>
                <w:kern w:val="0"/>
                <w:sz w:val="24"/>
                <w:szCs w:val="24"/>
                <w:highlight w:val="none"/>
                <w:lang w:val="en-US" w:eastAsia="zh-CN" w:bidi="ar"/>
              </w:rPr>
              <w:t>粉尘收集量为24.951</w:t>
            </w:r>
            <w:r>
              <w:rPr>
                <w:rFonts w:hint="eastAsia"/>
                <w:color w:val="auto"/>
                <w:kern w:val="0"/>
                <w:sz w:val="24"/>
                <w:szCs w:val="24"/>
                <w:highlight w:val="none"/>
                <w:lang w:bidi="ar"/>
              </w:rPr>
              <w:t>t/a，</w:t>
            </w:r>
            <w:r>
              <w:rPr>
                <w:rFonts w:hint="eastAsia"/>
                <w:color w:val="auto"/>
                <w:kern w:val="0"/>
                <w:sz w:val="24"/>
                <w:szCs w:val="24"/>
                <w:highlight w:val="none"/>
                <w:lang w:val="en-US" w:eastAsia="zh-CN" w:bidi="ar"/>
              </w:rPr>
              <w:t>厂房沉降粉尘产生量为10.783t/a，合计35.734t/a，</w:t>
            </w:r>
            <w:r>
              <w:rPr>
                <w:rFonts w:hint="eastAsia"/>
                <w:color w:val="auto"/>
                <w:spacing w:val="0"/>
                <w:sz w:val="24"/>
                <w:szCs w:val="24"/>
                <w:highlight w:val="none"/>
                <w:lang w:eastAsia="zh-CN"/>
              </w:rPr>
              <w:t>根据《固体废物分类与代码目录》，其废物种类为SW59其他工业固体废物，废物代码为900-0</w:t>
            </w:r>
            <w:r>
              <w:rPr>
                <w:rFonts w:hint="eastAsia"/>
                <w:color w:val="auto"/>
                <w:spacing w:val="0"/>
                <w:sz w:val="24"/>
                <w:szCs w:val="24"/>
                <w:highlight w:val="none"/>
                <w:lang w:val="en-US" w:eastAsia="zh-CN"/>
              </w:rPr>
              <w:t>99</w:t>
            </w:r>
            <w:r>
              <w:rPr>
                <w:rFonts w:hint="eastAsia"/>
                <w:color w:val="auto"/>
                <w:spacing w:val="0"/>
                <w:sz w:val="24"/>
                <w:szCs w:val="24"/>
                <w:highlight w:val="none"/>
                <w:lang w:eastAsia="zh-CN"/>
              </w:rPr>
              <w:t>-S</w:t>
            </w:r>
            <w:r>
              <w:rPr>
                <w:rFonts w:hint="eastAsia"/>
                <w:color w:val="auto"/>
                <w:spacing w:val="0"/>
                <w:sz w:val="24"/>
                <w:szCs w:val="24"/>
                <w:highlight w:val="none"/>
                <w:lang w:val="en-US" w:eastAsia="zh-CN"/>
              </w:rPr>
              <w:t>59</w:t>
            </w:r>
            <w:r>
              <w:rPr>
                <w:rFonts w:hint="eastAsia"/>
                <w:color w:val="auto"/>
                <w:spacing w:val="0"/>
                <w:sz w:val="24"/>
                <w:szCs w:val="24"/>
                <w:highlight w:val="none"/>
                <w:lang w:eastAsia="zh-CN"/>
              </w:rPr>
              <w:t>。</w:t>
            </w:r>
            <w:r>
              <w:rPr>
                <w:rFonts w:hint="eastAsia"/>
                <w:color w:val="auto"/>
                <w:kern w:val="0"/>
                <w:sz w:val="24"/>
                <w:szCs w:val="24"/>
                <w:highlight w:val="none"/>
                <w:lang w:val="en-US" w:eastAsia="zh-CN" w:bidi="ar"/>
              </w:rPr>
              <w:t>其收集后回用于</w:t>
            </w:r>
            <w:r>
              <w:rPr>
                <w:rFonts w:hint="eastAsia"/>
                <w:color w:val="auto"/>
                <w:spacing w:val="0"/>
                <w:kern w:val="0"/>
                <w:sz w:val="24"/>
                <w:szCs w:val="24"/>
                <w:highlight w:val="none"/>
                <w:lang w:val="en-US"/>
              </w:rPr>
              <w:t>返回</w:t>
            </w:r>
            <w:r>
              <w:rPr>
                <w:rFonts w:hint="eastAsia"/>
                <w:color w:val="auto"/>
                <w:spacing w:val="0"/>
                <w:kern w:val="0"/>
                <w:sz w:val="24"/>
                <w:szCs w:val="24"/>
                <w:highlight w:val="none"/>
                <w:lang w:val="en-US" w:eastAsia="zh-CN"/>
              </w:rPr>
              <w:t>作为生产原料使用</w:t>
            </w:r>
            <w:r>
              <w:rPr>
                <w:rFonts w:hint="eastAsia"/>
                <w:color w:val="auto"/>
                <w:spacing w:val="0"/>
                <w:kern w:val="0"/>
                <w:sz w:val="24"/>
                <w:szCs w:val="24"/>
                <w:highlight w:val="none"/>
                <w:lang w:val="en-US"/>
              </w:rPr>
              <w:t>。</w:t>
            </w:r>
          </w:p>
          <w:p w14:paraId="397D1327">
            <w:pPr>
              <w:pStyle w:val="73"/>
              <w:keepNext w:val="0"/>
              <w:keepLines w:val="0"/>
              <w:pageBreakBefore w:val="0"/>
              <w:kinsoku/>
              <w:wordWrap/>
              <w:overflowPunct/>
              <w:topLinePunct w:val="0"/>
              <w:autoSpaceDE/>
              <w:autoSpaceDN/>
              <w:bidi w:val="0"/>
              <w:adjustRightInd/>
              <w:snapToGrid/>
              <w:spacing w:line="420" w:lineRule="exact"/>
              <w:ind w:firstLine="482" w:firstLineChars="200"/>
              <w:jc w:val="both"/>
              <w:textAlignment w:val="auto"/>
              <w:rPr>
                <w:rFonts w:hint="eastAsia"/>
                <w:b/>
                <w:bCs/>
                <w:color w:val="auto"/>
                <w:spacing w:val="0"/>
                <w:kern w:val="0"/>
                <w:sz w:val="24"/>
                <w:szCs w:val="24"/>
                <w:highlight w:val="none"/>
                <w:lang w:val="en-US"/>
              </w:rPr>
            </w:pPr>
            <w:r>
              <w:rPr>
                <w:rFonts w:hint="eastAsia"/>
                <w:b/>
                <w:bCs/>
                <w:color w:val="auto"/>
                <w:spacing w:val="0"/>
                <w:kern w:val="0"/>
                <w:sz w:val="24"/>
                <w:szCs w:val="24"/>
                <w:highlight w:val="none"/>
                <w:lang w:val="en-US"/>
              </w:rPr>
              <w:t>④废纳米膜</w:t>
            </w:r>
          </w:p>
          <w:p w14:paraId="7FCBF912">
            <w:pPr>
              <w:pStyle w:val="73"/>
              <w:keepNext w:val="0"/>
              <w:keepLines w:val="0"/>
              <w:pageBreakBefore w:val="0"/>
              <w:kinsoku/>
              <w:wordWrap/>
              <w:overflowPunct/>
              <w:topLinePunct w:val="0"/>
              <w:autoSpaceDE/>
              <w:autoSpaceDN/>
              <w:bidi w:val="0"/>
              <w:adjustRightInd/>
              <w:snapToGrid/>
              <w:spacing w:line="420" w:lineRule="exact"/>
              <w:ind w:firstLine="480" w:firstLineChars="200"/>
              <w:jc w:val="both"/>
              <w:textAlignment w:val="auto"/>
              <w:rPr>
                <w:rFonts w:hint="eastAsia"/>
                <w:b w:val="0"/>
                <w:bCs w:val="0"/>
                <w:color w:val="auto"/>
                <w:spacing w:val="0"/>
                <w:kern w:val="0"/>
                <w:sz w:val="24"/>
                <w:szCs w:val="24"/>
                <w:highlight w:val="none"/>
                <w:lang w:val="en-US"/>
              </w:rPr>
            </w:pPr>
            <w:r>
              <w:rPr>
                <w:rFonts w:hint="eastAsia"/>
                <w:b w:val="0"/>
                <w:bCs w:val="0"/>
                <w:color w:val="auto"/>
                <w:spacing w:val="0"/>
                <w:kern w:val="0"/>
                <w:sz w:val="24"/>
                <w:szCs w:val="24"/>
                <w:highlight w:val="none"/>
                <w:lang w:val="en-US"/>
              </w:rPr>
              <w:t>项目发酵采用的纳米膜材料</w:t>
            </w:r>
            <w:r>
              <w:rPr>
                <w:rFonts w:hint="eastAsia"/>
                <w:b w:val="0"/>
                <w:bCs w:val="0"/>
                <w:color w:val="auto"/>
                <w:spacing w:val="0"/>
                <w:kern w:val="0"/>
                <w:sz w:val="24"/>
                <w:szCs w:val="24"/>
                <w:highlight w:val="none"/>
                <w:lang w:val="en-US" w:eastAsia="zh-CN"/>
              </w:rPr>
              <w:t>覆盖或作为衬底，其使用的纳米膜</w:t>
            </w:r>
            <w:r>
              <w:rPr>
                <w:rFonts w:hint="eastAsia"/>
                <w:b w:val="0"/>
                <w:bCs w:val="0"/>
                <w:color w:val="auto"/>
                <w:spacing w:val="0"/>
                <w:kern w:val="0"/>
                <w:sz w:val="24"/>
                <w:szCs w:val="24"/>
                <w:highlight w:val="none"/>
                <w:lang w:val="en-US"/>
              </w:rPr>
              <w:t>为高分子材料，成分为聚四氟乙烯，属塑料制品，纳米膜使用寿命较长，平均约</w:t>
            </w:r>
            <w:r>
              <w:rPr>
                <w:rFonts w:hint="eastAsia"/>
                <w:b w:val="0"/>
                <w:bCs w:val="0"/>
                <w:color w:val="auto"/>
                <w:spacing w:val="0"/>
                <w:kern w:val="0"/>
                <w:sz w:val="24"/>
                <w:szCs w:val="24"/>
                <w:highlight w:val="none"/>
                <w:lang w:val="en-US" w:eastAsia="zh-CN"/>
              </w:rPr>
              <w:t>1</w:t>
            </w:r>
            <w:r>
              <w:rPr>
                <w:rFonts w:hint="eastAsia"/>
                <w:b w:val="0"/>
                <w:bCs w:val="0"/>
                <w:color w:val="auto"/>
                <w:spacing w:val="0"/>
                <w:kern w:val="0"/>
                <w:sz w:val="24"/>
                <w:szCs w:val="24"/>
                <w:highlight w:val="none"/>
                <w:lang w:val="en-US"/>
              </w:rPr>
              <w:t>年</w:t>
            </w:r>
            <w:r>
              <w:rPr>
                <w:rFonts w:hint="eastAsia"/>
                <w:b w:val="0"/>
                <w:bCs w:val="0"/>
                <w:color w:val="auto"/>
                <w:spacing w:val="0"/>
                <w:kern w:val="0"/>
                <w:sz w:val="24"/>
                <w:szCs w:val="24"/>
                <w:highlight w:val="none"/>
                <w:lang w:val="en-US" w:eastAsia="zh-CN"/>
              </w:rPr>
              <w:t>更换1次</w:t>
            </w:r>
            <w:r>
              <w:rPr>
                <w:rFonts w:hint="eastAsia"/>
                <w:b w:val="0"/>
                <w:bCs w:val="0"/>
                <w:color w:val="auto"/>
                <w:spacing w:val="0"/>
                <w:kern w:val="0"/>
                <w:sz w:val="24"/>
                <w:szCs w:val="24"/>
                <w:highlight w:val="none"/>
                <w:lang w:val="en-US"/>
              </w:rPr>
              <w:t>。每张膜重量约0.</w:t>
            </w:r>
            <w:r>
              <w:rPr>
                <w:rFonts w:hint="eastAsia"/>
                <w:b w:val="0"/>
                <w:bCs w:val="0"/>
                <w:color w:val="auto"/>
                <w:spacing w:val="0"/>
                <w:kern w:val="0"/>
                <w:sz w:val="24"/>
                <w:szCs w:val="24"/>
                <w:highlight w:val="none"/>
                <w:lang w:val="en-US" w:eastAsia="zh-CN"/>
              </w:rPr>
              <w:t>15</w:t>
            </w:r>
            <w:r>
              <w:rPr>
                <w:rFonts w:hint="eastAsia"/>
                <w:b w:val="0"/>
                <w:bCs w:val="0"/>
                <w:color w:val="auto"/>
                <w:spacing w:val="0"/>
                <w:kern w:val="0"/>
                <w:sz w:val="24"/>
                <w:szCs w:val="24"/>
                <w:highlight w:val="none"/>
                <w:lang w:val="en-US"/>
              </w:rPr>
              <w:t>t，共设</w:t>
            </w:r>
            <w:r>
              <w:rPr>
                <w:rFonts w:hint="eastAsia"/>
                <w:b w:val="0"/>
                <w:bCs w:val="0"/>
                <w:color w:val="auto"/>
                <w:spacing w:val="0"/>
                <w:kern w:val="0"/>
                <w:sz w:val="24"/>
                <w:szCs w:val="24"/>
                <w:highlight w:val="none"/>
                <w:lang w:val="en-US" w:eastAsia="zh-CN"/>
              </w:rPr>
              <w:t>10</w:t>
            </w:r>
            <w:r>
              <w:rPr>
                <w:rFonts w:hint="eastAsia"/>
                <w:b w:val="0"/>
                <w:bCs w:val="0"/>
                <w:color w:val="auto"/>
                <w:spacing w:val="0"/>
                <w:kern w:val="0"/>
                <w:sz w:val="24"/>
                <w:szCs w:val="24"/>
                <w:highlight w:val="none"/>
                <w:lang w:val="en-US"/>
              </w:rPr>
              <w:t>张膜，则每次更换产生的废纳米膜约</w:t>
            </w:r>
            <w:r>
              <w:rPr>
                <w:rFonts w:hint="eastAsia"/>
                <w:b w:val="0"/>
                <w:bCs w:val="0"/>
                <w:color w:val="auto"/>
                <w:spacing w:val="0"/>
                <w:kern w:val="0"/>
                <w:sz w:val="24"/>
                <w:szCs w:val="24"/>
                <w:highlight w:val="none"/>
                <w:lang w:val="en-US" w:eastAsia="zh-CN"/>
              </w:rPr>
              <w:t>1.5</w:t>
            </w:r>
            <w:r>
              <w:rPr>
                <w:rFonts w:hint="eastAsia"/>
                <w:b w:val="0"/>
                <w:bCs w:val="0"/>
                <w:color w:val="auto"/>
                <w:spacing w:val="0"/>
                <w:kern w:val="0"/>
                <w:sz w:val="24"/>
                <w:szCs w:val="24"/>
                <w:highlight w:val="none"/>
                <w:lang w:val="en-US"/>
              </w:rPr>
              <w:t>t/</w:t>
            </w:r>
            <w:r>
              <w:rPr>
                <w:rFonts w:hint="eastAsia"/>
                <w:b w:val="0"/>
                <w:bCs w:val="0"/>
                <w:color w:val="auto"/>
                <w:spacing w:val="0"/>
                <w:kern w:val="0"/>
                <w:sz w:val="24"/>
                <w:szCs w:val="24"/>
                <w:highlight w:val="none"/>
                <w:lang w:val="en-US" w:eastAsia="zh-CN"/>
              </w:rPr>
              <w:t>a</w:t>
            </w:r>
            <w:r>
              <w:rPr>
                <w:rFonts w:hint="eastAsia"/>
                <w:b w:val="0"/>
                <w:bCs w:val="0"/>
                <w:color w:val="auto"/>
                <w:spacing w:val="0"/>
                <w:kern w:val="0"/>
                <w:sz w:val="24"/>
                <w:szCs w:val="24"/>
                <w:highlight w:val="none"/>
                <w:lang w:val="en-US"/>
              </w:rPr>
              <w:t>。根据《固体废物分类与代码目录》，其废物种类为SW17可再生类废物，废物代码为900-003-S17。废纳米膜由生产厂家进行回收处置。</w:t>
            </w:r>
          </w:p>
          <w:p w14:paraId="13CEFED1">
            <w:pPr>
              <w:pStyle w:val="73"/>
              <w:keepNext w:val="0"/>
              <w:keepLines w:val="0"/>
              <w:pageBreakBefore w:val="0"/>
              <w:kinsoku/>
              <w:wordWrap/>
              <w:overflowPunct/>
              <w:topLinePunct w:val="0"/>
              <w:autoSpaceDE/>
              <w:autoSpaceDN/>
              <w:bidi w:val="0"/>
              <w:adjustRightInd/>
              <w:snapToGrid/>
              <w:spacing w:line="420" w:lineRule="exact"/>
              <w:ind w:firstLine="482" w:firstLineChars="200"/>
              <w:jc w:val="both"/>
              <w:textAlignment w:val="auto"/>
              <w:rPr>
                <w:rFonts w:hint="eastAsia"/>
                <w:b/>
                <w:bCs/>
                <w:color w:val="auto"/>
                <w:spacing w:val="0"/>
                <w:kern w:val="0"/>
                <w:sz w:val="24"/>
                <w:szCs w:val="24"/>
                <w:highlight w:val="none"/>
                <w:lang w:val="en-US" w:eastAsia="zh-CN"/>
              </w:rPr>
            </w:pPr>
            <w:r>
              <w:rPr>
                <w:rFonts w:hint="eastAsia"/>
                <w:b/>
                <w:bCs/>
                <w:color w:val="auto"/>
                <w:spacing w:val="0"/>
                <w:kern w:val="0"/>
                <w:sz w:val="24"/>
                <w:szCs w:val="24"/>
                <w:highlight w:val="none"/>
                <w:lang w:val="en-US" w:eastAsia="zh-CN"/>
              </w:rPr>
              <w:t>⑤废布袋</w:t>
            </w:r>
          </w:p>
          <w:p w14:paraId="287BE85B">
            <w:pPr>
              <w:pStyle w:val="73"/>
              <w:keepNext w:val="0"/>
              <w:keepLines w:val="0"/>
              <w:pageBreakBefore w:val="0"/>
              <w:kinsoku/>
              <w:wordWrap/>
              <w:overflowPunct/>
              <w:topLinePunct w:val="0"/>
              <w:autoSpaceDE/>
              <w:autoSpaceDN/>
              <w:bidi w:val="0"/>
              <w:adjustRightInd/>
              <w:snapToGrid/>
              <w:spacing w:line="420" w:lineRule="exact"/>
              <w:ind w:firstLine="480" w:firstLineChars="200"/>
              <w:jc w:val="both"/>
              <w:textAlignment w:val="auto"/>
              <w:rPr>
                <w:rFonts w:hint="eastAsia"/>
                <w:b w:val="0"/>
                <w:bCs w:val="0"/>
                <w:color w:val="auto"/>
                <w:spacing w:val="0"/>
                <w:kern w:val="0"/>
                <w:sz w:val="24"/>
                <w:szCs w:val="24"/>
                <w:highlight w:val="none"/>
                <w:lang w:val="en-US" w:eastAsia="zh-CN"/>
              </w:rPr>
            </w:pPr>
            <w:r>
              <w:rPr>
                <w:rFonts w:hint="eastAsia"/>
                <w:b w:val="0"/>
                <w:bCs w:val="0"/>
                <w:color w:val="auto"/>
                <w:spacing w:val="0"/>
                <w:kern w:val="0"/>
                <w:sz w:val="24"/>
                <w:szCs w:val="24"/>
                <w:highlight w:val="none"/>
                <w:lang w:val="en-US" w:eastAsia="zh-CN"/>
              </w:rPr>
              <w:t>本项目采用布袋除尘器处理颗粒物，布袋除尘器需要定时更换布袋，该过程会产生废布袋，废布袋拟每年更换一次，项目单个布袋重量约为1kg，总布袋数量约为10个，布袋损坏率约20%，则废布袋重量0.002t/a，属于《固体废物分类与代码目录》中“SW59其他工业固体废物/非特定行业/900-009-S59”，属于一般固废，分类收集后暂存于一般固废暂存间内，更换后由更换厂家回收处置。</w:t>
            </w:r>
          </w:p>
          <w:p w14:paraId="419DEA34">
            <w:pPr>
              <w:pStyle w:val="73"/>
              <w:keepNext w:val="0"/>
              <w:keepLines w:val="0"/>
              <w:pageBreakBefore w:val="0"/>
              <w:kinsoku/>
              <w:wordWrap/>
              <w:overflowPunct/>
              <w:topLinePunct w:val="0"/>
              <w:autoSpaceDE/>
              <w:autoSpaceDN/>
              <w:bidi w:val="0"/>
              <w:adjustRightInd/>
              <w:snapToGrid/>
              <w:spacing w:line="420" w:lineRule="exact"/>
              <w:ind w:firstLine="482" w:firstLineChars="200"/>
              <w:jc w:val="both"/>
              <w:textAlignment w:val="auto"/>
              <w:rPr>
                <w:rFonts w:hint="default" w:eastAsia="宋体"/>
                <w:b/>
                <w:bCs/>
                <w:color w:val="auto"/>
                <w:spacing w:val="0"/>
                <w:kern w:val="0"/>
                <w:sz w:val="24"/>
                <w:szCs w:val="24"/>
                <w:highlight w:val="none"/>
                <w:lang w:val="en-US" w:eastAsia="zh-CN"/>
              </w:rPr>
            </w:pPr>
            <w:r>
              <w:rPr>
                <w:rFonts w:hint="eastAsia"/>
                <w:b/>
                <w:bCs/>
                <w:color w:val="auto"/>
                <w:spacing w:val="0"/>
                <w:kern w:val="0"/>
                <w:sz w:val="24"/>
                <w:szCs w:val="24"/>
                <w:highlight w:val="none"/>
                <w:lang w:val="en-US" w:eastAsia="zh-CN"/>
              </w:rPr>
              <w:t>⑥实验室废培养基</w:t>
            </w:r>
          </w:p>
          <w:p w14:paraId="2D6B1CFF">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eastAsia"/>
                <w:b w:val="0"/>
                <w:bCs w:val="0"/>
                <w:color w:val="auto"/>
                <w:kern w:val="0"/>
                <w:sz w:val="24"/>
                <w:szCs w:val="24"/>
                <w:highlight w:val="none"/>
                <w:lang w:val="en-US" w:eastAsia="zh-CN" w:bidi="ar"/>
              </w:rPr>
            </w:pPr>
            <w:r>
              <w:rPr>
                <w:rFonts w:hint="eastAsia"/>
                <w:b w:val="0"/>
                <w:bCs w:val="0"/>
                <w:color w:val="auto"/>
                <w:kern w:val="0"/>
                <w:sz w:val="24"/>
                <w:szCs w:val="24"/>
                <w:highlight w:val="none"/>
                <w:lang w:val="en-US" w:eastAsia="zh-CN" w:bidi="ar"/>
              </w:rPr>
              <w:t>本项目拟设实验室，主要进行该实验室主要开展原辅料入厂抽检、生产过程中间控制、成品出厂全项质量检测及配方小试试验，检测指标主要为pH、外观、水分、菌落生长情况等，检测方法主要为仪器法、目测和物理法等，不涉及强酸、强碱、有机试剂及危险化学试剂的使用；其进行样品的微生物（主要为乳酸菌等）指标检验时，微生物实验中产生的各种含微生物培养基废液、沾有微生物的盛具和过期培养皿等，该部分废弃物每年产生的量约为0.3t/a。</w:t>
            </w:r>
          </w:p>
          <w:p w14:paraId="1264F0B0">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eastAsia"/>
                <w:color w:val="auto"/>
                <w:spacing w:val="0"/>
                <w:sz w:val="24"/>
                <w:szCs w:val="24"/>
                <w:highlight w:val="none"/>
                <w:lang w:val="en-US" w:eastAsia="zh-CN"/>
              </w:rPr>
            </w:pPr>
            <w:r>
              <w:rPr>
                <w:rFonts w:hint="eastAsia"/>
                <w:b w:val="0"/>
                <w:bCs w:val="0"/>
                <w:color w:val="auto"/>
                <w:kern w:val="0"/>
                <w:sz w:val="24"/>
                <w:szCs w:val="24"/>
                <w:highlight w:val="none"/>
                <w:lang w:val="en-US" w:eastAsia="zh-CN" w:bidi="ar"/>
              </w:rPr>
              <w:t>根据业主提供资料，项目实验室检测主要为乳酸菌等不属于病原微生物的指标，其实验产生的培养基不携带病原微生物，不具有引发感染性疾病传播的危险，根据</w:t>
            </w:r>
            <w:r>
              <w:rPr>
                <w:rFonts w:hint="eastAsia"/>
                <w:color w:val="auto"/>
                <w:spacing w:val="0"/>
                <w:sz w:val="24"/>
                <w:szCs w:val="24"/>
                <w:highlight w:val="none"/>
                <w:lang w:eastAsia="zh-CN"/>
              </w:rPr>
              <w:t>《国家危险废物名录》规定，生产活动中，化学和生物实验室产生的含氰、氟、重金属无机废液及无机废液处理产生的残渣、残液，含矿物油、有机溶剂、甲醛有机废液，废酸、废碱，具有危险特性的残留样品，以及沾染上述物质的一次性实验用品、包装物、过滤吸附介质等，属于危险废物，代码900-047-49。不列入《名录》且排除危险特性的物质，不按危险废物管理；</w:t>
            </w:r>
            <w:r>
              <w:rPr>
                <w:rFonts w:hint="eastAsia"/>
                <w:color w:val="auto"/>
                <w:spacing w:val="0"/>
                <w:sz w:val="24"/>
                <w:szCs w:val="24"/>
                <w:highlight w:val="none"/>
                <w:lang w:val="en-US" w:eastAsia="zh-CN"/>
              </w:rPr>
              <w:t>综上本项目实验室产生的废培养皿不属于危废废物。</w:t>
            </w:r>
          </w:p>
          <w:p w14:paraId="135D906B">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b w:val="0"/>
                <w:bCs w:val="0"/>
                <w:color w:val="auto"/>
                <w:kern w:val="0"/>
                <w:sz w:val="24"/>
                <w:szCs w:val="24"/>
                <w:highlight w:val="none"/>
                <w:lang w:val="en-US" w:eastAsia="zh-CN" w:bidi="ar"/>
              </w:rPr>
            </w:pPr>
            <w:r>
              <w:rPr>
                <w:rFonts w:hint="eastAsia"/>
                <w:color w:val="auto"/>
                <w:spacing w:val="0"/>
                <w:sz w:val="24"/>
                <w:szCs w:val="24"/>
                <w:highlight w:val="none"/>
                <w:lang w:val="en-US" w:eastAsia="zh-CN"/>
              </w:rPr>
              <w:t>本项目参照《水质粪大肠菌群的测定滤膜法》（HJ347.1-2018）、《水质粪大肠菌群的测定多管发酵法》（HJ347.2-2018）、《水质细菌总数的测定平皿计数法》（HJ1000-2018）、《水质总大肠菌群、粪大肠菌群和大肠埃希氏菌的测定酶底物法》（HJ1001-2018）等分析方法中“13废物处理使用后的废物及器皿须经121℃高压蒸汽灭菌30min或使用液体消毒剂(自制或市售)灭菌后，器皿方可清洗，废物作为一般废物处置。”，该部分灭活后可按一般固废处置，因此，本项目采取统一收集并用121℃高压蒸汽灭菌30min处理后，同生活垃圾一起处理</w:t>
            </w:r>
            <w:r>
              <w:rPr>
                <w:rFonts w:hint="eastAsia"/>
                <w:b w:val="0"/>
                <w:bCs w:val="0"/>
                <w:color w:val="auto"/>
                <w:kern w:val="0"/>
                <w:sz w:val="24"/>
                <w:szCs w:val="24"/>
                <w:highlight w:val="none"/>
                <w:lang w:val="en-US" w:eastAsia="zh-CN" w:bidi="ar"/>
              </w:rPr>
              <w:t>。</w:t>
            </w:r>
          </w:p>
          <w:p w14:paraId="12BF4AA4">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b w:val="0"/>
                <w:bCs w:val="0"/>
                <w:color w:val="auto"/>
                <w:kern w:val="0"/>
                <w:sz w:val="24"/>
                <w:szCs w:val="24"/>
                <w:highlight w:val="none"/>
                <w:lang w:val="en-US" w:eastAsia="zh-CN" w:bidi="ar"/>
              </w:rPr>
            </w:pPr>
            <w:r>
              <w:rPr>
                <w:rFonts w:hint="eastAsia"/>
                <w:b w:val="0"/>
                <w:bCs w:val="0"/>
                <w:color w:val="auto"/>
                <w:kern w:val="0"/>
                <w:sz w:val="24"/>
                <w:szCs w:val="24"/>
                <w:highlight w:val="none"/>
                <w:lang w:val="en-US" w:eastAsia="zh-CN" w:bidi="ar"/>
              </w:rPr>
              <w:t>该类固废可归属于《固体废物分类与代码目录》SW92实验室固体废物，废物代码为900-001-S92。</w:t>
            </w:r>
          </w:p>
          <w:p w14:paraId="2AF23D1C">
            <w:pPr>
              <w:keepNext w:val="0"/>
              <w:keepLines w:val="0"/>
              <w:pageBreakBefore w:val="0"/>
              <w:widowControl/>
              <w:kinsoku/>
              <w:wordWrap/>
              <w:overflowPunct/>
              <w:topLinePunct w:val="0"/>
              <w:autoSpaceDE/>
              <w:autoSpaceDN/>
              <w:bidi w:val="0"/>
              <w:adjustRightInd/>
              <w:snapToGrid/>
              <w:spacing w:line="440" w:lineRule="exact"/>
              <w:ind w:firstLine="482" w:firstLineChars="200"/>
              <w:textAlignment w:val="auto"/>
              <w:rPr>
                <w:rFonts w:hint="default" w:eastAsia="宋体"/>
                <w:b/>
                <w:bCs/>
                <w:color w:val="auto"/>
                <w:kern w:val="0"/>
                <w:sz w:val="24"/>
                <w:szCs w:val="24"/>
                <w:highlight w:val="none"/>
                <w:lang w:val="en-US" w:eastAsia="zh-CN" w:bidi="ar"/>
              </w:rPr>
            </w:pPr>
            <w:r>
              <w:rPr>
                <w:rFonts w:hint="eastAsia"/>
                <w:b/>
                <w:bCs/>
                <w:color w:val="auto"/>
                <w:kern w:val="0"/>
                <w:sz w:val="24"/>
                <w:szCs w:val="24"/>
                <w:highlight w:val="none"/>
                <w:lang w:val="en-US" w:eastAsia="zh-CN" w:bidi="ar"/>
              </w:rPr>
              <w:t>2）危险废物</w:t>
            </w:r>
          </w:p>
          <w:p w14:paraId="51F94374">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color w:val="auto"/>
                <w:kern w:val="0"/>
                <w:sz w:val="24"/>
                <w:szCs w:val="24"/>
                <w:highlight w:val="none"/>
                <w:lang w:bidi="ar"/>
              </w:rPr>
            </w:pPr>
            <w:r>
              <w:rPr>
                <w:rFonts w:hint="default" w:ascii="Times New Roman" w:hAnsi="Times New Roman" w:eastAsia="宋体" w:cs="Times New Roman"/>
                <w:color w:val="auto"/>
                <w:spacing w:val="0"/>
                <w:kern w:val="0"/>
                <w:sz w:val="24"/>
                <w:szCs w:val="24"/>
                <w:highlight w:val="none"/>
                <w:lang w:val="en-US" w:eastAsia="zh-CN" w:bidi="ar"/>
              </w:rPr>
              <w:t>项目对生产设备进行维修、更换润滑油过程会产生废机油，产生量约为0.</w:t>
            </w:r>
            <w:r>
              <w:rPr>
                <w:rFonts w:hint="eastAsia" w:ascii="Times New Roman" w:hAnsi="Times New Roman" w:eastAsia="宋体" w:cs="Times New Roman"/>
                <w:color w:val="auto"/>
                <w:spacing w:val="0"/>
                <w:kern w:val="0"/>
                <w:sz w:val="24"/>
                <w:szCs w:val="24"/>
                <w:highlight w:val="none"/>
                <w:lang w:val="en-US" w:eastAsia="zh-CN" w:bidi="ar"/>
              </w:rPr>
              <w:t>0</w:t>
            </w:r>
            <w:r>
              <w:rPr>
                <w:rFonts w:hint="default" w:ascii="Times New Roman" w:hAnsi="Times New Roman" w:eastAsia="宋体" w:cs="Times New Roman"/>
                <w:color w:val="auto"/>
                <w:spacing w:val="0"/>
                <w:kern w:val="0"/>
                <w:sz w:val="24"/>
                <w:szCs w:val="24"/>
                <w:highlight w:val="none"/>
                <w:lang w:val="en-US" w:eastAsia="zh-CN" w:bidi="ar"/>
              </w:rPr>
              <w:t>1t/a。根据《国家危险废物名录（2025年版）》，废机油属于</w:t>
            </w:r>
            <w:r>
              <w:rPr>
                <w:rFonts w:hint="eastAsia" w:ascii="Times New Roman" w:hAnsi="Times New Roman" w:eastAsia="宋体" w:cs="Times New Roman"/>
                <w:color w:val="auto"/>
                <w:spacing w:val="0"/>
                <w:kern w:val="0"/>
                <w:sz w:val="24"/>
                <w:szCs w:val="24"/>
                <w:highlight w:val="none"/>
                <w:lang w:val="en-US" w:eastAsia="zh-CN" w:bidi="ar"/>
              </w:rPr>
              <w:t>HW08类</w:t>
            </w:r>
            <w:r>
              <w:rPr>
                <w:rFonts w:hint="default" w:ascii="Times New Roman" w:hAnsi="Times New Roman" w:eastAsia="宋体" w:cs="Times New Roman"/>
                <w:color w:val="auto"/>
                <w:spacing w:val="0"/>
                <w:kern w:val="0"/>
                <w:sz w:val="24"/>
                <w:szCs w:val="24"/>
                <w:highlight w:val="none"/>
                <w:lang w:val="en-US" w:eastAsia="zh-CN" w:bidi="ar"/>
              </w:rPr>
              <w:t>危废</w:t>
            </w:r>
            <w:r>
              <w:rPr>
                <w:rFonts w:hint="eastAsia" w:ascii="Times New Roman" w:hAnsi="Times New Roman" w:eastAsia="宋体" w:cs="Times New Roman"/>
                <w:color w:val="auto"/>
                <w:spacing w:val="0"/>
                <w:kern w:val="0"/>
                <w:sz w:val="24"/>
                <w:szCs w:val="24"/>
                <w:highlight w:val="none"/>
                <w:lang w:val="en-US" w:eastAsia="zh-CN" w:bidi="ar"/>
              </w:rPr>
              <w:t>，危废代码为</w:t>
            </w:r>
            <w:r>
              <w:rPr>
                <w:rFonts w:hint="default" w:ascii="Times New Roman" w:hAnsi="Times New Roman" w:eastAsia="宋体" w:cs="Times New Roman"/>
                <w:color w:val="auto"/>
                <w:spacing w:val="0"/>
                <w:kern w:val="0"/>
                <w:sz w:val="24"/>
                <w:szCs w:val="24"/>
                <w:highlight w:val="none"/>
                <w:lang w:val="en-US" w:eastAsia="zh-CN" w:bidi="ar"/>
              </w:rPr>
              <w:t>900-214-08</w:t>
            </w:r>
            <w:r>
              <w:rPr>
                <w:rFonts w:hint="eastAsia" w:ascii="Times New Roman" w:hAnsi="Times New Roman" w:eastAsia="宋体" w:cs="Times New Roman"/>
                <w:color w:val="auto"/>
                <w:spacing w:val="0"/>
                <w:kern w:val="0"/>
                <w:sz w:val="24"/>
                <w:szCs w:val="24"/>
                <w:highlight w:val="none"/>
                <w:lang w:val="en-US" w:eastAsia="zh-CN" w:bidi="ar"/>
              </w:rPr>
              <w:t>（车辆、轮船及其它机械维修过程中产生的废发动机油、制动器油、自动变速器油、齿轮油等废润滑油）</w:t>
            </w:r>
            <w:r>
              <w:rPr>
                <w:rFonts w:hint="default" w:ascii="Times New Roman" w:hAnsi="Times New Roman" w:eastAsia="宋体" w:cs="Times New Roman"/>
                <w:color w:val="auto"/>
                <w:spacing w:val="0"/>
                <w:kern w:val="0"/>
                <w:sz w:val="24"/>
                <w:szCs w:val="24"/>
                <w:highlight w:val="none"/>
                <w:lang w:val="en-US" w:eastAsia="zh-CN" w:bidi="ar"/>
              </w:rPr>
              <w:t>，</w:t>
            </w:r>
            <w:r>
              <w:rPr>
                <w:rFonts w:hint="eastAsia" w:ascii="Times New Roman" w:hAnsi="Times New Roman" w:eastAsia="宋体" w:cs="Times New Roman"/>
                <w:color w:val="auto"/>
                <w:spacing w:val="0"/>
                <w:kern w:val="0"/>
                <w:sz w:val="24"/>
                <w:szCs w:val="24"/>
                <w:highlight w:val="none"/>
                <w:lang w:val="en-US" w:eastAsia="zh-CN" w:bidi="ar"/>
              </w:rPr>
              <w:t>依托现有项目建设的6m</w:t>
            </w:r>
            <w:r>
              <w:rPr>
                <w:rFonts w:hint="eastAsia" w:ascii="Times New Roman" w:hAnsi="Times New Roman" w:eastAsia="宋体" w:cs="Times New Roman"/>
                <w:color w:val="auto"/>
                <w:spacing w:val="0"/>
                <w:kern w:val="0"/>
                <w:sz w:val="24"/>
                <w:szCs w:val="24"/>
                <w:highlight w:val="none"/>
                <w:vertAlign w:val="superscript"/>
                <w:lang w:val="en-US" w:eastAsia="zh-CN" w:bidi="ar"/>
              </w:rPr>
              <w:t>2</w:t>
            </w:r>
            <w:r>
              <w:rPr>
                <w:rFonts w:hint="eastAsia" w:ascii="Times New Roman" w:hAnsi="Times New Roman" w:eastAsia="宋体" w:cs="Times New Roman"/>
                <w:color w:val="auto"/>
                <w:spacing w:val="0"/>
                <w:kern w:val="0"/>
                <w:sz w:val="24"/>
                <w:szCs w:val="24"/>
                <w:highlight w:val="none"/>
                <w:lang w:val="en-US" w:eastAsia="zh-CN" w:bidi="ar"/>
              </w:rPr>
              <w:t>危废暂存间暂存，</w:t>
            </w:r>
            <w:r>
              <w:rPr>
                <w:color w:val="auto"/>
                <w:kern w:val="0"/>
                <w:sz w:val="24"/>
                <w:szCs w:val="24"/>
                <w:highlight w:val="none"/>
                <w:lang w:bidi="ar"/>
              </w:rPr>
              <w:t>定期交由云南泽森环保科技有限公司进行处理。</w:t>
            </w:r>
            <w:r>
              <w:rPr>
                <w:rFonts w:hint="eastAsia"/>
                <w:color w:val="auto"/>
                <w:kern w:val="0"/>
                <w:sz w:val="24"/>
                <w:szCs w:val="24"/>
                <w:highlight w:val="none"/>
                <w:lang w:bidi="ar"/>
              </w:rPr>
              <w:t>危废处置协议见附件13。</w:t>
            </w:r>
          </w:p>
          <w:p w14:paraId="2E3F6F7D">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ins w:id="0" w:author="UGLY楊" w:date="2024-09-05T11:24:00Z"/>
                <w:color w:val="auto"/>
                <w:sz w:val="24"/>
                <w:szCs w:val="24"/>
                <w:highlight w:val="none"/>
              </w:rPr>
            </w:pPr>
            <w:r>
              <w:rPr>
                <w:rFonts w:hint="eastAsia"/>
                <w:b/>
                <w:bCs/>
                <w:color w:val="auto"/>
                <w:sz w:val="24"/>
                <w:szCs w:val="24"/>
                <w:highlight w:val="none"/>
              </w:rPr>
              <w:t>危险废物贮存库</w:t>
            </w:r>
            <w:r>
              <w:rPr>
                <w:b/>
                <w:bCs/>
                <w:color w:val="auto"/>
                <w:kern w:val="0"/>
                <w:sz w:val="24"/>
                <w:szCs w:val="24"/>
                <w:highlight w:val="none"/>
              </w:rPr>
              <w:t>依托可行性分析：</w:t>
            </w:r>
            <w:r>
              <w:rPr>
                <w:bCs/>
                <w:color w:val="auto"/>
                <w:sz w:val="24"/>
                <w:szCs w:val="24"/>
                <w:highlight w:val="none"/>
              </w:rPr>
              <w:t>根据</w:t>
            </w:r>
            <w:r>
              <w:rPr>
                <w:rFonts w:hint="eastAsia"/>
                <w:bCs/>
                <w:color w:val="auto"/>
                <w:sz w:val="24"/>
                <w:szCs w:val="24"/>
                <w:highlight w:val="none"/>
                <w:lang w:val="en-US" w:eastAsia="zh-CN"/>
              </w:rPr>
              <w:t>现</w:t>
            </w:r>
            <w:r>
              <w:rPr>
                <w:bCs/>
                <w:color w:val="auto"/>
                <w:sz w:val="24"/>
                <w:szCs w:val="24"/>
                <w:highlight w:val="none"/>
              </w:rPr>
              <w:t>有项目竣工验收报告及现场情况，现有项目已根据《危险废物贮存污染控制标准》（GB18597—2023）要求，建设</w:t>
            </w:r>
            <w:r>
              <w:rPr>
                <w:color w:val="auto"/>
                <w:sz w:val="24"/>
                <w:szCs w:val="24"/>
                <w:highlight w:val="none"/>
              </w:rPr>
              <w:t>1间建筑面积约6m</w:t>
            </w:r>
            <w:r>
              <w:rPr>
                <w:color w:val="auto"/>
                <w:sz w:val="24"/>
                <w:szCs w:val="24"/>
                <w:highlight w:val="none"/>
                <w:vertAlign w:val="superscript"/>
              </w:rPr>
              <w:t>2</w:t>
            </w:r>
            <w:r>
              <w:rPr>
                <w:color w:val="auto"/>
                <w:sz w:val="24"/>
                <w:szCs w:val="24"/>
                <w:highlight w:val="none"/>
              </w:rPr>
              <w:t>的危险废物贮存库，并配备1个危废临时储存容器，</w:t>
            </w:r>
            <w:r>
              <w:rPr>
                <w:color w:val="auto"/>
                <w:kern w:val="0"/>
                <w:sz w:val="24"/>
                <w:szCs w:val="24"/>
                <w:highlight w:val="none"/>
                <w:lang w:bidi="ar"/>
              </w:rPr>
              <w:t>容器和包装物材质、内衬与盛装的危险废物相容，容器内部留有适当的空间，以适应因温度变化等可能引发的收缩和膨胀，防止其导致容器渗漏或永久变形，容器和包装物外表面保持清洁等。</w:t>
            </w:r>
            <w:r>
              <w:rPr>
                <w:color w:val="auto"/>
                <w:sz w:val="24"/>
                <w:szCs w:val="24"/>
                <w:highlight w:val="none"/>
              </w:rPr>
              <w:t>危险废物贮存库为重点防渗区，已铺设1.5mm厚防水涂料和5cm厚防渗混凝土，满足重点防渗要求</w:t>
            </w:r>
            <w:r>
              <w:rPr>
                <w:rFonts w:hint="eastAsia"/>
                <w:color w:val="auto"/>
                <w:sz w:val="24"/>
                <w:szCs w:val="24"/>
                <w:highlight w:val="none"/>
              </w:rPr>
              <w:t>，本项目建成后仅增加少量废机油，未超过现有危险废物贮存库储存能力，因改扩建后依托危险废物贮存库是可行的。</w:t>
            </w:r>
          </w:p>
          <w:p w14:paraId="323B7958">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color w:val="auto"/>
                <w:kern w:val="0"/>
                <w:sz w:val="24"/>
                <w:highlight w:val="none"/>
              </w:rPr>
            </w:pPr>
            <w:r>
              <w:rPr>
                <w:color w:val="auto"/>
                <w:kern w:val="0"/>
                <w:sz w:val="24"/>
                <w:highlight w:val="none"/>
              </w:rPr>
              <w:t>项目固废产生及处置方式</w:t>
            </w:r>
            <w:r>
              <w:rPr>
                <w:rFonts w:hint="eastAsia"/>
                <w:color w:val="auto"/>
                <w:kern w:val="0"/>
                <w:sz w:val="24"/>
                <w:highlight w:val="none"/>
              </w:rPr>
              <w:t>见表4-</w:t>
            </w:r>
            <w:r>
              <w:rPr>
                <w:rFonts w:hint="eastAsia"/>
                <w:color w:val="auto"/>
                <w:kern w:val="0"/>
                <w:sz w:val="24"/>
                <w:highlight w:val="none"/>
                <w:lang w:val="en-US" w:eastAsia="zh-CN"/>
              </w:rPr>
              <w:t>2</w:t>
            </w:r>
            <w:r>
              <w:rPr>
                <w:rFonts w:hint="eastAsia"/>
                <w:color w:val="auto"/>
                <w:kern w:val="0"/>
                <w:sz w:val="24"/>
                <w:highlight w:val="none"/>
              </w:rPr>
              <w:t>8。</w:t>
            </w:r>
          </w:p>
          <w:p w14:paraId="2EAB004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color w:val="auto"/>
                <w:szCs w:val="21"/>
                <w:highlight w:val="none"/>
              </w:rPr>
            </w:pPr>
            <w:r>
              <w:rPr>
                <w:rFonts w:hint="eastAsia"/>
                <w:b/>
                <w:color w:val="auto"/>
                <w:szCs w:val="21"/>
                <w:highlight w:val="none"/>
              </w:rPr>
              <w:t>表4-</w:t>
            </w:r>
            <w:r>
              <w:rPr>
                <w:rFonts w:hint="eastAsia"/>
                <w:b/>
                <w:color w:val="auto"/>
                <w:szCs w:val="21"/>
                <w:highlight w:val="none"/>
                <w:lang w:val="en-US" w:eastAsia="zh-CN"/>
              </w:rPr>
              <w:t>2</w:t>
            </w:r>
            <w:r>
              <w:rPr>
                <w:rFonts w:hint="eastAsia"/>
                <w:b/>
                <w:color w:val="auto"/>
                <w:szCs w:val="21"/>
                <w:highlight w:val="none"/>
              </w:rPr>
              <w:t>8  项目固废产生量及处置方式</w:t>
            </w:r>
          </w:p>
          <w:tbl>
            <w:tblPr>
              <w:tblStyle w:val="26"/>
              <w:tblW w:w="86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7"/>
              <w:gridCol w:w="1442"/>
              <w:gridCol w:w="1313"/>
              <w:gridCol w:w="1468"/>
              <w:gridCol w:w="3675"/>
            </w:tblGrid>
            <w:tr w14:paraId="22FA0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8" w:type="pct"/>
                  <w:tcBorders>
                    <w:tl2br w:val="nil"/>
                    <w:tr2bl w:val="nil"/>
                  </w:tcBorders>
                  <w:vAlign w:val="center"/>
                </w:tcPr>
                <w:p w14:paraId="71379A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 w:val="21"/>
                      <w:szCs w:val="21"/>
                      <w:highlight w:val="none"/>
                    </w:rPr>
                  </w:pPr>
                  <w:r>
                    <w:rPr>
                      <w:b/>
                      <w:bCs/>
                      <w:color w:val="auto"/>
                      <w:kern w:val="0"/>
                      <w:sz w:val="21"/>
                      <w:szCs w:val="21"/>
                      <w:highlight w:val="none"/>
                    </w:rPr>
                    <w:t>序号</w:t>
                  </w:r>
                </w:p>
              </w:tc>
              <w:tc>
                <w:tcPr>
                  <w:tcW w:w="829" w:type="pct"/>
                  <w:tcBorders>
                    <w:tl2br w:val="nil"/>
                    <w:tr2bl w:val="nil"/>
                  </w:tcBorders>
                  <w:vAlign w:val="center"/>
                </w:tcPr>
                <w:p w14:paraId="7D26B6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 w:val="21"/>
                      <w:szCs w:val="21"/>
                      <w:highlight w:val="none"/>
                    </w:rPr>
                  </w:pPr>
                  <w:r>
                    <w:rPr>
                      <w:b/>
                      <w:bCs/>
                      <w:color w:val="auto"/>
                      <w:kern w:val="0"/>
                      <w:sz w:val="21"/>
                      <w:szCs w:val="21"/>
                      <w:highlight w:val="none"/>
                    </w:rPr>
                    <w:t>名称</w:t>
                  </w:r>
                </w:p>
              </w:tc>
              <w:tc>
                <w:tcPr>
                  <w:tcW w:w="755" w:type="pct"/>
                  <w:tcBorders>
                    <w:tl2br w:val="nil"/>
                    <w:tr2bl w:val="nil"/>
                  </w:tcBorders>
                  <w:vAlign w:val="center"/>
                </w:tcPr>
                <w:p w14:paraId="512931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 w:val="21"/>
                      <w:szCs w:val="21"/>
                      <w:highlight w:val="none"/>
                    </w:rPr>
                  </w:pPr>
                  <w:r>
                    <w:rPr>
                      <w:rFonts w:hint="eastAsia"/>
                      <w:b/>
                      <w:bCs/>
                      <w:color w:val="auto"/>
                      <w:kern w:val="0"/>
                      <w:sz w:val="21"/>
                      <w:szCs w:val="21"/>
                      <w:highlight w:val="none"/>
                    </w:rPr>
                    <w:t>固废代码</w:t>
                  </w:r>
                </w:p>
              </w:tc>
              <w:tc>
                <w:tcPr>
                  <w:tcW w:w="844" w:type="pct"/>
                  <w:tcBorders>
                    <w:tl2br w:val="nil"/>
                    <w:tr2bl w:val="nil"/>
                  </w:tcBorders>
                  <w:vAlign w:val="center"/>
                </w:tcPr>
                <w:p w14:paraId="683F9F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 w:val="21"/>
                      <w:szCs w:val="21"/>
                      <w:highlight w:val="none"/>
                    </w:rPr>
                  </w:pPr>
                  <w:r>
                    <w:rPr>
                      <w:rFonts w:hint="eastAsia"/>
                      <w:b/>
                      <w:bCs/>
                      <w:color w:val="auto"/>
                      <w:kern w:val="0"/>
                      <w:sz w:val="21"/>
                      <w:szCs w:val="21"/>
                      <w:highlight w:val="none"/>
                      <w:lang w:val="en-US" w:eastAsia="zh-CN"/>
                    </w:rPr>
                    <w:t>产生量</w:t>
                  </w:r>
                  <w:r>
                    <w:rPr>
                      <w:b/>
                      <w:bCs/>
                      <w:color w:val="auto"/>
                      <w:kern w:val="0"/>
                      <w:sz w:val="21"/>
                      <w:szCs w:val="21"/>
                      <w:highlight w:val="none"/>
                    </w:rPr>
                    <w:t>（t/a）</w:t>
                  </w:r>
                </w:p>
              </w:tc>
              <w:tc>
                <w:tcPr>
                  <w:tcW w:w="2113" w:type="pct"/>
                  <w:tcBorders>
                    <w:tl2br w:val="nil"/>
                    <w:tr2bl w:val="nil"/>
                  </w:tcBorders>
                  <w:vAlign w:val="center"/>
                </w:tcPr>
                <w:p w14:paraId="6BD69A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color w:val="auto"/>
                      <w:kern w:val="0"/>
                      <w:sz w:val="21"/>
                      <w:szCs w:val="21"/>
                      <w:highlight w:val="none"/>
                    </w:rPr>
                  </w:pPr>
                  <w:r>
                    <w:rPr>
                      <w:b/>
                      <w:bCs/>
                      <w:color w:val="auto"/>
                      <w:kern w:val="0"/>
                      <w:sz w:val="21"/>
                      <w:szCs w:val="21"/>
                      <w:highlight w:val="none"/>
                    </w:rPr>
                    <w:t>处置方式</w:t>
                  </w:r>
                </w:p>
              </w:tc>
            </w:tr>
            <w:tr w14:paraId="2D238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8" w:type="pct"/>
                  <w:tcBorders>
                    <w:tl2br w:val="nil"/>
                    <w:tr2bl w:val="nil"/>
                  </w:tcBorders>
                  <w:vAlign w:val="center"/>
                </w:tcPr>
                <w:p w14:paraId="2762E0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829" w:type="pct"/>
                  <w:tcBorders>
                    <w:tl2br w:val="nil"/>
                    <w:tr2bl w:val="nil"/>
                  </w:tcBorders>
                  <w:shd w:val="clear" w:color="auto" w:fill="auto"/>
                  <w:vAlign w:val="center"/>
                </w:tcPr>
                <w:p w14:paraId="175BD6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废包装物</w:t>
                  </w:r>
                </w:p>
              </w:tc>
              <w:tc>
                <w:tcPr>
                  <w:tcW w:w="755" w:type="pct"/>
                  <w:tcBorders>
                    <w:tl2br w:val="nil"/>
                    <w:tr2bl w:val="nil"/>
                  </w:tcBorders>
                  <w:shd w:val="clear" w:color="auto" w:fill="auto"/>
                  <w:vAlign w:val="center"/>
                </w:tcPr>
                <w:p w14:paraId="3938A7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color w:val="auto"/>
                      <w:kern w:val="1"/>
                      <w:sz w:val="21"/>
                      <w:szCs w:val="21"/>
                      <w:highlight w:val="none"/>
                      <w:lang w:val="en-US" w:eastAsia="zh-CN" w:bidi="ar-SA"/>
                    </w:rPr>
                  </w:pPr>
                  <w:r>
                    <w:rPr>
                      <w:rFonts w:hint="eastAsia" w:ascii="Times New Roman" w:hAnsi="Times New Roman" w:eastAsia="宋体" w:cs="Times New Roman"/>
                      <w:color w:val="auto"/>
                      <w:kern w:val="1"/>
                      <w:sz w:val="21"/>
                      <w:szCs w:val="21"/>
                      <w:highlight w:val="none"/>
                      <w:lang w:val="en-US" w:eastAsia="zh-CN" w:bidi="ar-SA"/>
                    </w:rPr>
                    <w:t>900-003-S17</w:t>
                  </w:r>
                </w:p>
              </w:tc>
              <w:tc>
                <w:tcPr>
                  <w:tcW w:w="844" w:type="pct"/>
                  <w:tcBorders>
                    <w:tl2br w:val="nil"/>
                    <w:tr2bl w:val="nil"/>
                  </w:tcBorders>
                  <w:shd w:val="clear" w:color="auto" w:fill="auto"/>
                  <w:vAlign w:val="center"/>
                </w:tcPr>
                <w:p w14:paraId="3BD75A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2.36</w:t>
                  </w:r>
                </w:p>
              </w:tc>
              <w:tc>
                <w:tcPr>
                  <w:tcW w:w="2113" w:type="pct"/>
                  <w:tcBorders>
                    <w:tl2br w:val="nil"/>
                    <w:tr2bl w:val="nil"/>
                  </w:tcBorders>
                  <w:shd w:val="clear" w:color="auto" w:fill="auto"/>
                  <w:vAlign w:val="center"/>
                </w:tcPr>
                <w:p w14:paraId="4FB9FCC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收集于一般固废暂存区外售废旧物资回收公司综合利用。</w:t>
                  </w:r>
                </w:p>
              </w:tc>
            </w:tr>
            <w:tr w14:paraId="2FC32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8" w:type="pct"/>
                  <w:tcBorders>
                    <w:tl2br w:val="nil"/>
                    <w:tr2bl w:val="nil"/>
                  </w:tcBorders>
                  <w:vAlign w:val="center"/>
                </w:tcPr>
                <w:p w14:paraId="46FA5A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2</w:t>
                  </w:r>
                </w:p>
              </w:tc>
              <w:tc>
                <w:tcPr>
                  <w:tcW w:w="829" w:type="pct"/>
                  <w:tcBorders>
                    <w:tl2br w:val="nil"/>
                    <w:tr2bl w:val="nil"/>
                  </w:tcBorders>
                  <w:shd w:val="clear" w:color="auto" w:fill="auto"/>
                  <w:vAlign w:val="center"/>
                </w:tcPr>
                <w:p w14:paraId="0D5F74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不合格产品</w:t>
                  </w:r>
                </w:p>
              </w:tc>
              <w:tc>
                <w:tcPr>
                  <w:tcW w:w="755" w:type="pct"/>
                  <w:tcBorders>
                    <w:tl2br w:val="nil"/>
                    <w:tr2bl w:val="nil"/>
                  </w:tcBorders>
                  <w:shd w:val="clear" w:color="auto" w:fill="auto"/>
                  <w:vAlign w:val="center"/>
                </w:tcPr>
                <w:p w14:paraId="220B29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 w:val="0"/>
                      <w:bCs w:val="0"/>
                      <w:color w:val="auto"/>
                      <w:kern w:val="0"/>
                      <w:sz w:val="21"/>
                      <w:szCs w:val="21"/>
                      <w:highlight w:val="none"/>
                      <w:lang w:val="en-US" w:eastAsia="zh-CN" w:bidi="ar-SA"/>
                    </w:rPr>
                  </w:pPr>
                  <w:r>
                    <w:rPr>
                      <w:rFonts w:hint="eastAsia"/>
                      <w:b w:val="0"/>
                      <w:bCs w:val="0"/>
                      <w:color w:val="auto"/>
                      <w:spacing w:val="0"/>
                      <w:sz w:val="21"/>
                      <w:szCs w:val="21"/>
                      <w:highlight w:val="none"/>
                      <w:lang w:eastAsia="zh-CN"/>
                    </w:rPr>
                    <w:t>900-0</w:t>
                  </w:r>
                  <w:r>
                    <w:rPr>
                      <w:rFonts w:hint="eastAsia"/>
                      <w:b w:val="0"/>
                      <w:bCs w:val="0"/>
                      <w:color w:val="auto"/>
                      <w:spacing w:val="0"/>
                      <w:sz w:val="21"/>
                      <w:szCs w:val="21"/>
                      <w:highlight w:val="none"/>
                      <w:lang w:val="en-US" w:eastAsia="zh-CN"/>
                    </w:rPr>
                    <w:t>99</w:t>
                  </w:r>
                  <w:r>
                    <w:rPr>
                      <w:rFonts w:hint="eastAsia"/>
                      <w:b w:val="0"/>
                      <w:bCs w:val="0"/>
                      <w:color w:val="auto"/>
                      <w:spacing w:val="0"/>
                      <w:sz w:val="21"/>
                      <w:szCs w:val="21"/>
                      <w:highlight w:val="none"/>
                      <w:lang w:eastAsia="zh-CN"/>
                    </w:rPr>
                    <w:t>-S</w:t>
                  </w:r>
                  <w:r>
                    <w:rPr>
                      <w:rFonts w:hint="eastAsia"/>
                      <w:b w:val="0"/>
                      <w:bCs w:val="0"/>
                      <w:color w:val="auto"/>
                      <w:spacing w:val="0"/>
                      <w:sz w:val="21"/>
                      <w:szCs w:val="21"/>
                      <w:highlight w:val="none"/>
                      <w:lang w:val="en-US" w:eastAsia="zh-CN"/>
                    </w:rPr>
                    <w:t>59</w:t>
                  </w:r>
                </w:p>
              </w:tc>
              <w:tc>
                <w:tcPr>
                  <w:tcW w:w="844" w:type="pct"/>
                  <w:tcBorders>
                    <w:tl2br w:val="nil"/>
                    <w:tr2bl w:val="nil"/>
                  </w:tcBorders>
                  <w:shd w:val="clear" w:color="auto" w:fill="auto"/>
                  <w:vAlign w:val="center"/>
                </w:tcPr>
                <w:p w14:paraId="41BA05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440.998</w:t>
                  </w:r>
                </w:p>
              </w:tc>
              <w:tc>
                <w:tcPr>
                  <w:tcW w:w="2113" w:type="pct"/>
                  <w:vMerge w:val="restart"/>
                  <w:tcBorders>
                    <w:tl2br w:val="nil"/>
                    <w:tr2bl w:val="nil"/>
                  </w:tcBorders>
                  <w:shd w:val="clear" w:color="auto" w:fill="auto"/>
                  <w:vAlign w:val="center"/>
                </w:tcPr>
                <w:p w14:paraId="188134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返回生产</w:t>
                  </w:r>
                  <w:r>
                    <w:rPr>
                      <w:rFonts w:hint="eastAsia"/>
                      <w:color w:val="auto"/>
                      <w:kern w:val="0"/>
                      <w:sz w:val="21"/>
                      <w:szCs w:val="21"/>
                      <w:highlight w:val="none"/>
                      <w:lang w:val="en-US" w:eastAsia="zh-CN"/>
                    </w:rPr>
                    <w:t>作为生产原料使用</w:t>
                  </w:r>
                </w:p>
              </w:tc>
            </w:tr>
            <w:tr w14:paraId="32BE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8" w:type="pct"/>
                  <w:tcBorders>
                    <w:tl2br w:val="nil"/>
                    <w:tr2bl w:val="nil"/>
                  </w:tcBorders>
                  <w:vAlign w:val="center"/>
                </w:tcPr>
                <w:p w14:paraId="6DFB64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3</w:t>
                  </w:r>
                </w:p>
              </w:tc>
              <w:tc>
                <w:tcPr>
                  <w:tcW w:w="829" w:type="pct"/>
                  <w:tcBorders>
                    <w:tl2br w:val="nil"/>
                    <w:tr2bl w:val="nil"/>
                  </w:tcBorders>
                  <w:shd w:val="clear" w:color="auto" w:fill="auto"/>
                  <w:vAlign w:val="center"/>
                </w:tcPr>
                <w:p w14:paraId="605C00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 w:val="0"/>
                      <w:bCs w:val="0"/>
                      <w:color w:val="auto"/>
                      <w:kern w:val="0"/>
                      <w:sz w:val="21"/>
                      <w:szCs w:val="21"/>
                      <w:highlight w:val="none"/>
                      <w:lang w:val="en-US" w:eastAsia="zh-CN" w:bidi="ar-SA"/>
                    </w:rPr>
                  </w:pPr>
                  <w:r>
                    <w:rPr>
                      <w:rFonts w:hint="eastAsia"/>
                      <w:b w:val="0"/>
                      <w:bCs w:val="0"/>
                      <w:color w:val="auto"/>
                      <w:kern w:val="0"/>
                      <w:sz w:val="21"/>
                      <w:szCs w:val="21"/>
                      <w:highlight w:val="none"/>
                      <w:lang w:bidi="ar"/>
                    </w:rPr>
                    <w:t>布袋集尘及厂房降尘</w:t>
                  </w:r>
                </w:p>
              </w:tc>
              <w:tc>
                <w:tcPr>
                  <w:tcW w:w="755" w:type="pct"/>
                  <w:tcBorders>
                    <w:tl2br w:val="nil"/>
                    <w:tr2bl w:val="nil"/>
                  </w:tcBorders>
                  <w:shd w:val="clear" w:color="auto" w:fill="auto"/>
                  <w:vAlign w:val="center"/>
                </w:tcPr>
                <w:p w14:paraId="4481EE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 w:val="0"/>
                      <w:bCs w:val="0"/>
                      <w:color w:val="auto"/>
                      <w:kern w:val="0"/>
                      <w:sz w:val="21"/>
                      <w:szCs w:val="21"/>
                      <w:highlight w:val="none"/>
                      <w:lang w:val="en-US" w:eastAsia="zh-CN" w:bidi="ar-SA"/>
                    </w:rPr>
                  </w:pPr>
                  <w:r>
                    <w:rPr>
                      <w:rFonts w:hint="eastAsia"/>
                      <w:b w:val="0"/>
                      <w:bCs w:val="0"/>
                      <w:color w:val="auto"/>
                      <w:spacing w:val="0"/>
                      <w:sz w:val="21"/>
                      <w:szCs w:val="21"/>
                      <w:highlight w:val="none"/>
                      <w:lang w:eastAsia="zh-CN"/>
                    </w:rPr>
                    <w:t>900-0</w:t>
                  </w:r>
                  <w:r>
                    <w:rPr>
                      <w:rFonts w:hint="eastAsia"/>
                      <w:b w:val="0"/>
                      <w:bCs w:val="0"/>
                      <w:color w:val="auto"/>
                      <w:spacing w:val="0"/>
                      <w:sz w:val="21"/>
                      <w:szCs w:val="21"/>
                      <w:highlight w:val="none"/>
                      <w:lang w:val="en-US" w:eastAsia="zh-CN"/>
                    </w:rPr>
                    <w:t>99</w:t>
                  </w:r>
                  <w:r>
                    <w:rPr>
                      <w:rFonts w:hint="eastAsia"/>
                      <w:b w:val="0"/>
                      <w:bCs w:val="0"/>
                      <w:color w:val="auto"/>
                      <w:spacing w:val="0"/>
                      <w:sz w:val="21"/>
                      <w:szCs w:val="21"/>
                      <w:highlight w:val="none"/>
                      <w:lang w:eastAsia="zh-CN"/>
                    </w:rPr>
                    <w:t>-S</w:t>
                  </w:r>
                  <w:r>
                    <w:rPr>
                      <w:rFonts w:hint="eastAsia"/>
                      <w:b w:val="0"/>
                      <w:bCs w:val="0"/>
                      <w:color w:val="auto"/>
                      <w:spacing w:val="0"/>
                      <w:sz w:val="21"/>
                      <w:szCs w:val="21"/>
                      <w:highlight w:val="none"/>
                      <w:lang w:val="en-US" w:eastAsia="zh-CN"/>
                    </w:rPr>
                    <w:t>59</w:t>
                  </w:r>
                </w:p>
              </w:tc>
              <w:tc>
                <w:tcPr>
                  <w:tcW w:w="844" w:type="pct"/>
                  <w:tcBorders>
                    <w:tl2br w:val="nil"/>
                    <w:tr2bl w:val="nil"/>
                  </w:tcBorders>
                  <w:shd w:val="clear" w:color="auto" w:fill="auto"/>
                  <w:vAlign w:val="center"/>
                </w:tcPr>
                <w:p w14:paraId="745748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35.734</w:t>
                  </w:r>
                </w:p>
              </w:tc>
              <w:tc>
                <w:tcPr>
                  <w:tcW w:w="2113" w:type="pct"/>
                  <w:vMerge w:val="continue"/>
                  <w:tcBorders>
                    <w:tl2br w:val="nil"/>
                    <w:tr2bl w:val="nil"/>
                  </w:tcBorders>
                  <w:shd w:val="clear" w:color="auto" w:fill="auto"/>
                  <w:vAlign w:val="center"/>
                </w:tcPr>
                <w:p w14:paraId="537B0D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color w:val="auto"/>
                      <w:kern w:val="0"/>
                      <w:sz w:val="21"/>
                      <w:szCs w:val="21"/>
                      <w:highlight w:val="none"/>
                      <w:lang w:val="en-US" w:eastAsia="zh-CN" w:bidi="ar-SA"/>
                    </w:rPr>
                  </w:pPr>
                </w:p>
              </w:tc>
            </w:tr>
            <w:tr w14:paraId="6092B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8" w:type="pct"/>
                  <w:tcBorders>
                    <w:tl2br w:val="nil"/>
                    <w:tr2bl w:val="nil"/>
                  </w:tcBorders>
                  <w:vAlign w:val="center"/>
                </w:tcPr>
                <w:p w14:paraId="6A42B3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color w:val="auto"/>
                      <w:kern w:val="0"/>
                      <w:sz w:val="21"/>
                      <w:szCs w:val="21"/>
                      <w:highlight w:val="none"/>
                      <w:lang w:val="en-US" w:eastAsia="zh-CN"/>
                    </w:rPr>
                  </w:pPr>
                  <w:r>
                    <w:rPr>
                      <w:rFonts w:hint="eastAsia"/>
                      <w:color w:val="auto"/>
                      <w:kern w:val="0"/>
                      <w:sz w:val="21"/>
                      <w:szCs w:val="21"/>
                      <w:highlight w:val="none"/>
                      <w:lang w:val="en-US" w:eastAsia="zh-CN"/>
                    </w:rPr>
                    <w:t>4</w:t>
                  </w:r>
                </w:p>
              </w:tc>
              <w:tc>
                <w:tcPr>
                  <w:tcW w:w="829" w:type="pct"/>
                  <w:tcBorders>
                    <w:tl2br w:val="nil"/>
                    <w:tr2bl w:val="nil"/>
                  </w:tcBorders>
                  <w:shd w:val="clear" w:color="auto" w:fill="auto"/>
                  <w:vAlign w:val="center"/>
                </w:tcPr>
                <w:p w14:paraId="650824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val="0"/>
                      <w:bCs w:val="0"/>
                      <w:color w:val="auto"/>
                      <w:kern w:val="0"/>
                      <w:sz w:val="21"/>
                      <w:szCs w:val="21"/>
                      <w:highlight w:val="none"/>
                      <w:lang w:bidi="ar"/>
                    </w:rPr>
                  </w:pPr>
                  <w:r>
                    <w:rPr>
                      <w:rFonts w:hint="eastAsia"/>
                      <w:b w:val="0"/>
                      <w:bCs w:val="0"/>
                      <w:color w:val="auto"/>
                      <w:kern w:val="0"/>
                      <w:sz w:val="21"/>
                      <w:szCs w:val="21"/>
                      <w:highlight w:val="none"/>
                      <w:lang w:bidi="ar"/>
                    </w:rPr>
                    <w:t>废纳米膜</w:t>
                  </w:r>
                </w:p>
              </w:tc>
              <w:tc>
                <w:tcPr>
                  <w:tcW w:w="1313" w:type="dxa"/>
                  <w:tcBorders>
                    <w:tl2br w:val="nil"/>
                    <w:tr2bl w:val="nil"/>
                  </w:tcBorders>
                  <w:shd w:val="clear" w:color="auto" w:fill="auto"/>
                  <w:vAlign w:val="center"/>
                </w:tcPr>
                <w:p w14:paraId="00FC3A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val="0"/>
                      <w:bCs w:val="0"/>
                      <w:color w:val="auto"/>
                      <w:spacing w:val="0"/>
                      <w:sz w:val="21"/>
                      <w:szCs w:val="21"/>
                      <w:highlight w:val="none"/>
                      <w:lang w:eastAsia="zh-CN"/>
                    </w:rPr>
                  </w:pPr>
                  <w:r>
                    <w:rPr>
                      <w:rFonts w:hint="eastAsia" w:ascii="Times New Roman" w:hAnsi="Times New Roman" w:eastAsia="宋体" w:cs="Times New Roman"/>
                      <w:color w:val="auto"/>
                      <w:kern w:val="1"/>
                      <w:sz w:val="21"/>
                      <w:szCs w:val="21"/>
                      <w:highlight w:val="none"/>
                      <w:lang w:val="en-US" w:eastAsia="zh-CN" w:bidi="ar-SA"/>
                    </w:rPr>
                    <w:t>900-003-S17</w:t>
                  </w:r>
                </w:p>
              </w:tc>
              <w:tc>
                <w:tcPr>
                  <w:tcW w:w="1468" w:type="dxa"/>
                  <w:tcBorders>
                    <w:tl2br w:val="nil"/>
                    <w:tr2bl w:val="nil"/>
                  </w:tcBorders>
                  <w:shd w:val="clear" w:color="auto" w:fill="auto"/>
                  <w:vAlign w:val="center"/>
                </w:tcPr>
                <w:p w14:paraId="1CC2BB7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1.5</w:t>
                  </w:r>
                </w:p>
              </w:tc>
              <w:tc>
                <w:tcPr>
                  <w:tcW w:w="2113" w:type="pct"/>
                  <w:tcBorders>
                    <w:tl2br w:val="nil"/>
                    <w:tr2bl w:val="nil"/>
                  </w:tcBorders>
                  <w:shd w:val="clear" w:color="auto" w:fill="auto"/>
                  <w:vAlign w:val="center"/>
                </w:tcPr>
                <w:p w14:paraId="5877FA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废纳米膜由生产厂家进行回收处置。</w:t>
                  </w:r>
                </w:p>
              </w:tc>
            </w:tr>
            <w:tr w14:paraId="0636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8" w:type="pct"/>
                  <w:tcBorders>
                    <w:tl2br w:val="nil"/>
                    <w:tr2bl w:val="nil"/>
                  </w:tcBorders>
                  <w:vAlign w:val="center"/>
                </w:tcPr>
                <w:p w14:paraId="27BB26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5</w:t>
                  </w:r>
                </w:p>
              </w:tc>
              <w:tc>
                <w:tcPr>
                  <w:tcW w:w="829" w:type="pct"/>
                  <w:tcBorders>
                    <w:tl2br w:val="nil"/>
                    <w:tr2bl w:val="nil"/>
                  </w:tcBorders>
                  <w:vAlign w:val="center"/>
                </w:tcPr>
                <w:p w14:paraId="1EA214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val="0"/>
                      <w:bCs w:val="0"/>
                      <w:color w:val="auto"/>
                      <w:kern w:val="1"/>
                      <w:sz w:val="21"/>
                      <w:szCs w:val="21"/>
                      <w:highlight w:val="none"/>
                    </w:rPr>
                  </w:pPr>
                  <w:r>
                    <w:rPr>
                      <w:rFonts w:hint="eastAsia"/>
                      <w:b w:val="0"/>
                      <w:bCs w:val="0"/>
                      <w:color w:val="auto"/>
                      <w:kern w:val="1"/>
                      <w:sz w:val="21"/>
                      <w:szCs w:val="21"/>
                      <w:highlight w:val="none"/>
                    </w:rPr>
                    <w:t>实验室</w:t>
                  </w:r>
                </w:p>
                <w:p w14:paraId="51B56B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val="0"/>
                      <w:bCs w:val="0"/>
                      <w:color w:val="auto"/>
                      <w:kern w:val="1"/>
                      <w:sz w:val="21"/>
                      <w:szCs w:val="21"/>
                      <w:highlight w:val="none"/>
                    </w:rPr>
                  </w:pPr>
                  <w:r>
                    <w:rPr>
                      <w:rFonts w:hint="eastAsia"/>
                      <w:b w:val="0"/>
                      <w:bCs w:val="0"/>
                      <w:color w:val="auto"/>
                      <w:kern w:val="1"/>
                      <w:sz w:val="21"/>
                      <w:szCs w:val="21"/>
                      <w:highlight w:val="none"/>
                    </w:rPr>
                    <w:t>废培养基</w:t>
                  </w:r>
                </w:p>
              </w:tc>
              <w:tc>
                <w:tcPr>
                  <w:tcW w:w="755" w:type="pct"/>
                  <w:tcBorders>
                    <w:tl2br w:val="nil"/>
                    <w:tr2bl w:val="nil"/>
                  </w:tcBorders>
                  <w:vAlign w:val="center"/>
                </w:tcPr>
                <w:p w14:paraId="37EE2D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val="0"/>
                      <w:bCs w:val="0"/>
                      <w:color w:val="auto"/>
                      <w:kern w:val="1"/>
                      <w:sz w:val="21"/>
                      <w:szCs w:val="21"/>
                      <w:highlight w:val="none"/>
                    </w:rPr>
                  </w:pPr>
                </w:p>
              </w:tc>
              <w:tc>
                <w:tcPr>
                  <w:tcW w:w="844" w:type="pct"/>
                  <w:tcBorders>
                    <w:tl2br w:val="nil"/>
                    <w:tr2bl w:val="nil"/>
                  </w:tcBorders>
                  <w:vAlign w:val="center"/>
                </w:tcPr>
                <w:p w14:paraId="1DD04A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0.3</w:t>
                  </w:r>
                </w:p>
              </w:tc>
              <w:tc>
                <w:tcPr>
                  <w:tcW w:w="2113" w:type="pct"/>
                  <w:tcBorders>
                    <w:tl2br w:val="nil"/>
                    <w:tr2bl w:val="nil"/>
                  </w:tcBorders>
                  <w:vAlign w:val="center"/>
                </w:tcPr>
                <w:p w14:paraId="5ABFAC03">
                  <w:pPr>
                    <w:keepNext w:val="0"/>
                    <w:keepLines w:val="0"/>
                    <w:pageBreakBefore w:val="0"/>
                    <w:widowControl w:val="0"/>
                    <w:kinsoku/>
                    <w:wordWrap/>
                    <w:overflowPunct/>
                    <w:topLinePunct w:val="0"/>
                    <w:autoSpaceDE/>
                    <w:autoSpaceDN/>
                    <w:bidi w:val="0"/>
                    <w:adjustRightInd/>
                    <w:snapToGrid/>
                    <w:spacing w:line="320" w:lineRule="exact"/>
                    <w:jc w:val="left"/>
                    <w:textAlignment w:val="auto"/>
                    <w:rPr>
                      <w:color w:val="auto"/>
                      <w:kern w:val="1"/>
                      <w:sz w:val="21"/>
                      <w:szCs w:val="21"/>
                      <w:highlight w:val="none"/>
                    </w:rPr>
                  </w:pPr>
                  <w:r>
                    <w:rPr>
                      <w:rFonts w:hint="eastAsia"/>
                      <w:color w:val="auto"/>
                      <w:kern w:val="1"/>
                      <w:sz w:val="21"/>
                      <w:szCs w:val="21"/>
                      <w:highlight w:val="none"/>
                    </w:rPr>
                    <w:t>统一收集并用121℃高压蒸汽灭菌30min处理后，同生活垃圾一起处理。</w:t>
                  </w:r>
                </w:p>
              </w:tc>
            </w:tr>
            <w:tr w14:paraId="27933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8" w:type="pct"/>
                  <w:tcBorders>
                    <w:tl2br w:val="nil"/>
                    <w:tr2bl w:val="nil"/>
                  </w:tcBorders>
                  <w:vAlign w:val="center"/>
                </w:tcPr>
                <w:p w14:paraId="04174F0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color w:val="auto"/>
                      <w:kern w:val="0"/>
                      <w:sz w:val="21"/>
                      <w:szCs w:val="21"/>
                      <w:highlight w:val="none"/>
                      <w:lang w:val="en-US" w:eastAsia="zh-CN"/>
                    </w:rPr>
                  </w:pPr>
                  <w:r>
                    <w:rPr>
                      <w:rFonts w:hint="eastAsia"/>
                      <w:color w:val="auto"/>
                      <w:kern w:val="0"/>
                      <w:sz w:val="21"/>
                      <w:szCs w:val="21"/>
                      <w:highlight w:val="none"/>
                      <w:lang w:val="en-US" w:eastAsia="zh-CN"/>
                    </w:rPr>
                    <w:t>6</w:t>
                  </w:r>
                </w:p>
              </w:tc>
              <w:tc>
                <w:tcPr>
                  <w:tcW w:w="829" w:type="pct"/>
                  <w:tcBorders>
                    <w:tl2br w:val="nil"/>
                    <w:tr2bl w:val="nil"/>
                  </w:tcBorders>
                  <w:vAlign w:val="center"/>
                </w:tcPr>
                <w:p w14:paraId="44EC3C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b w:val="0"/>
                      <w:bCs w:val="0"/>
                      <w:color w:val="auto"/>
                      <w:kern w:val="1"/>
                      <w:sz w:val="21"/>
                      <w:szCs w:val="21"/>
                      <w:highlight w:val="none"/>
                      <w:lang w:val="en-US" w:eastAsia="zh-CN"/>
                    </w:rPr>
                  </w:pPr>
                  <w:r>
                    <w:rPr>
                      <w:rFonts w:hint="eastAsia"/>
                      <w:b w:val="0"/>
                      <w:bCs w:val="0"/>
                      <w:color w:val="auto"/>
                      <w:kern w:val="1"/>
                      <w:sz w:val="21"/>
                      <w:szCs w:val="21"/>
                      <w:highlight w:val="none"/>
                      <w:lang w:val="en-US" w:eastAsia="zh-CN"/>
                    </w:rPr>
                    <w:t>废机油</w:t>
                  </w:r>
                </w:p>
              </w:tc>
              <w:tc>
                <w:tcPr>
                  <w:tcW w:w="755" w:type="pct"/>
                  <w:tcBorders>
                    <w:tl2br w:val="nil"/>
                    <w:tr2bl w:val="nil"/>
                  </w:tcBorders>
                  <w:vAlign w:val="center"/>
                </w:tcPr>
                <w:p w14:paraId="12B37C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val="0"/>
                      <w:bCs w:val="0"/>
                      <w:color w:val="auto"/>
                      <w:kern w:val="1"/>
                      <w:sz w:val="21"/>
                      <w:szCs w:val="21"/>
                      <w:highlight w:val="none"/>
                    </w:rPr>
                  </w:pPr>
                  <w:r>
                    <w:rPr>
                      <w:rFonts w:hint="eastAsia"/>
                      <w:b w:val="0"/>
                      <w:bCs w:val="0"/>
                      <w:color w:val="auto"/>
                      <w:kern w:val="1"/>
                      <w:sz w:val="21"/>
                      <w:szCs w:val="21"/>
                      <w:highlight w:val="none"/>
                    </w:rPr>
                    <w:t>HW08</w:t>
                  </w:r>
                </w:p>
                <w:p w14:paraId="6584FF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val="0"/>
                      <w:bCs w:val="0"/>
                      <w:color w:val="auto"/>
                      <w:kern w:val="1"/>
                      <w:sz w:val="21"/>
                      <w:szCs w:val="21"/>
                      <w:highlight w:val="none"/>
                    </w:rPr>
                  </w:pPr>
                  <w:r>
                    <w:rPr>
                      <w:rFonts w:hint="eastAsia"/>
                      <w:b w:val="0"/>
                      <w:bCs w:val="0"/>
                      <w:color w:val="auto"/>
                      <w:kern w:val="1"/>
                      <w:sz w:val="21"/>
                      <w:szCs w:val="21"/>
                      <w:highlight w:val="none"/>
                    </w:rPr>
                    <w:t>900-214-08</w:t>
                  </w:r>
                </w:p>
              </w:tc>
              <w:tc>
                <w:tcPr>
                  <w:tcW w:w="844" w:type="pct"/>
                  <w:tcBorders>
                    <w:tl2br w:val="nil"/>
                    <w:tr2bl w:val="nil"/>
                  </w:tcBorders>
                  <w:vAlign w:val="center"/>
                </w:tcPr>
                <w:p w14:paraId="35A017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kern w:val="0"/>
                      <w:sz w:val="21"/>
                      <w:szCs w:val="21"/>
                      <w:highlight w:val="none"/>
                      <w:lang w:val="en-US" w:eastAsia="zh-CN"/>
                    </w:rPr>
                  </w:pPr>
                  <w:r>
                    <w:rPr>
                      <w:rFonts w:hint="eastAsia"/>
                      <w:color w:val="auto"/>
                      <w:kern w:val="0"/>
                      <w:sz w:val="21"/>
                      <w:szCs w:val="21"/>
                      <w:highlight w:val="none"/>
                      <w:lang w:val="en-US" w:eastAsia="zh-CN"/>
                    </w:rPr>
                    <w:t>900-001-S92</w:t>
                  </w:r>
                </w:p>
              </w:tc>
              <w:tc>
                <w:tcPr>
                  <w:tcW w:w="2113" w:type="pct"/>
                  <w:tcBorders>
                    <w:tl2br w:val="nil"/>
                    <w:tr2bl w:val="nil"/>
                  </w:tcBorders>
                  <w:vAlign w:val="center"/>
                </w:tcPr>
                <w:p w14:paraId="74140E8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color w:val="auto"/>
                      <w:kern w:val="0"/>
                      <w:sz w:val="21"/>
                      <w:szCs w:val="21"/>
                      <w:highlight w:val="none"/>
                      <w:lang w:val="en-US" w:eastAsia="zh-CN" w:bidi="ar"/>
                    </w:rPr>
                  </w:pPr>
                  <w:r>
                    <w:rPr>
                      <w:rFonts w:hint="eastAsia"/>
                      <w:color w:val="auto"/>
                      <w:kern w:val="0"/>
                      <w:sz w:val="21"/>
                      <w:szCs w:val="21"/>
                      <w:highlight w:val="none"/>
                      <w:lang w:val="en-US" w:eastAsia="zh-CN" w:bidi="ar"/>
                    </w:rPr>
                    <w:t>依托</w:t>
                  </w:r>
                  <w:r>
                    <w:rPr>
                      <w:rFonts w:hint="eastAsia"/>
                      <w:color w:val="auto"/>
                      <w:kern w:val="0"/>
                      <w:sz w:val="21"/>
                      <w:szCs w:val="21"/>
                      <w:highlight w:val="none"/>
                      <w:lang w:bidi="ar"/>
                    </w:rPr>
                    <w:t>已建6</w:t>
                  </w:r>
                  <w:r>
                    <w:rPr>
                      <w:color w:val="auto"/>
                      <w:kern w:val="0"/>
                      <w:sz w:val="21"/>
                      <w:szCs w:val="21"/>
                      <w:highlight w:val="none"/>
                      <w:lang w:bidi="ar"/>
                    </w:rPr>
                    <w:t>m</w:t>
                  </w:r>
                  <w:r>
                    <w:rPr>
                      <w:color w:val="auto"/>
                      <w:kern w:val="0"/>
                      <w:sz w:val="21"/>
                      <w:szCs w:val="21"/>
                      <w:highlight w:val="none"/>
                      <w:vertAlign w:val="superscript"/>
                      <w:lang w:bidi="ar"/>
                    </w:rPr>
                    <w:t>2</w:t>
                  </w:r>
                  <w:r>
                    <w:rPr>
                      <w:color w:val="auto"/>
                      <w:kern w:val="0"/>
                      <w:sz w:val="21"/>
                      <w:szCs w:val="21"/>
                      <w:highlight w:val="none"/>
                      <w:lang w:bidi="ar"/>
                    </w:rPr>
                    <w:t>的</w:t>
                  </w:r>
                  <w:r>
                    <w:rPr>
                      <w:rFonts w:hint="eastAsia"/>
                      <w:color w:val="auto"/>
                      <w:sz w:val="21"/>
                      <w:szCs w:val="21"/>
                      <w:highlight w:val="none"/>
                    </w:rPr>
                    <w:t>危险废物</w:t>
                  </w:r>
                  <w:r>
                    <w:rPr>
                      <w:rFonts w:hint="eastAsia"/>
                      <w:color w:val="auto"/>
                      <w:sz w:val="21"/>
                      <w:szCs w:val="21"/>
                      <w:highlight w:val="none"/>
                      <w:lang w:val="en-US" w:eastAsia="zh-CN"/>
                    </w:rPr>
                    <w:t>暂存间暂存</w:t>
                  </w:r>
                  <w:r>
                    <w:rPr>
                      <w:rFonts w:hint="eastAsia"/>
                      <w:color w:val="auto"/>
                      <w:kern w:val="0"/>
                      <w:sz w:val="21"/>
                      <w:szCs w:val="21"/>
                      <w:highlight w:val="none"/>
                      <w:lang w:bidi="ar"/>
                    </w:rPr>
                    <w:t>，定期交由云南泽森环保科技有限公司进行处理。</w:t>
                  </w:r>
                </w:p>
              </w:tc>
            </w:tr>
          </w:tbl>
          <w:p w14:paraId="2EB56354">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b/>
                <w:color w:val="auto"/>
                <w:kern w:val="0"/>
                <w:sz w:val="24"/>
                <w:highlight w:val="none"/>
                <w:lang w:eastAsia="zh-CN"/>
              </w:rPr>
            </w:pPr>
            <w:r>
              <w:rPr>
                <w:rFonts w:hint="eastAsia"/>
                <w:b/>
                <w:color w:val="auto"/>
                <w:kern w:val="0"/>
                <w:sz w:val="24"/>
                <w:highlight w:val="none"/>
                <w:lang w:eastAsia="zh-CN"/>
              </w:rPr>
              <w:t>（</w:t>
            </w:r>
            <w:r>
              <w:rPr>
                <w:rFonts w:hint="eastAsia"/>
                <w:b/>
                <w:color w:val="auto"/>
                <w:kern w:val="0"/>
                <w:sz w:val="24"/>
                <w:highlight w:val="none"/>
                <w:lang w:val="en-US" w:eastAsia="zh-CN"/>
              </w:rPr>
              <w:t>2</w:t>
            </w:r>
            <w:r>
              <w:rPr>
                <w:rFonts w:hint="eastAsia"/>
                <w:b/>
                <w:color w:val="auto"/>
                <w:kern w:val="0"/>
                <w:sz w:val="24"/>
                <w:highlight w:val="none"/>
                <w:lang w:eastAsia="zh-CN"/>
              </w:rPr>
              <w:t>）改扩建对现有</w:t>
            </w:r>
            <w:r>
              <w:rPr>
                <w:rFonts w:hint="eastAsia"/>
                <w:b/>
                <w:color w:val="auto"/>
                <w:kern w:val="0"/>
                <w:sz w:val="24"/>
                <w:highlight w:val="none"/>
                <w:lang w:val="en-US" w:eastAsia="zh-CN"/>
              </w:rPr>
              <w:t>项目固废</w:t>
            </w:r>
            <w:r>
              <w:rPr>
                <w:rFonts w:hint="eastAsia"/>
                <w:b/>
                <w:color w:val="auto"/>
                <w:kern w:val="0"/>
                <w:sz w:val="24"/>
                <w:highlight w:val="none"/>
                <w:lang w:eastAsia="zh-CN"/>
              </w:rPr>
              <w:t>消减情况</w:t>
            </w:r>
          </w:p>
          <w:p w14:paraId="08EE3F53">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b/>
                <w:color w:val="auto"/>
                <w:kern w:val="0"/>
                <w:sz w:val="24"/>
                <w:highlight w:val="none"/>
                <w:lang w:eastAsia="zh-CN"/>
              </w:rPr>
            </w:pPr>
            <w:r>
              <w:rPr>
                <w:rFonts w:hint="eastAsia"/>
                <w:b/>
                <w:color w:val="auto"/>
                <w:kern w:val="0"/>
                <w:sz w:val="24"/>
                <w:highlight w:val="none"/>
                <w:lang w:eastAsia="zh-CN"/>
              </w:rPr>
              <w:t>①生产废水处理系统污泥</w:t>
            </w:r>
          </w:p>
          <w:p w14:paraId="490EF5A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b w:val="0"/>
                <w:bCs/>
                <w:color w:val="auto"/>
                <w:kern w:val="0"/>
                <w:sz w:val="24"/>
                <w:highlight w:val="none"/>
                <w:lang w:val="en-US" w:eastAsia="zh-CN"/>
              </w:rPr>
            </w:pPr>
            <w:r>
              <w:rPr>
                <w:rFonts w:hint="eastAsia"/>
                <w:b w:val="0"/>
                <w:bCs/>
                <w:color w:val="auto"/>
                <w:kern w:val="0"/>
                <w:sz w:val="24"/>
                <w:highlight w:val="none"/>
                <w:lang w:eastAsia="zh-CN"/>
              </w:rPr>
              <w:t>根据</w:t>
            </w:r>
            <w:r>
              <w:rPr>
                <w:rFonts w:hint="eastAsia"/>
                <w:b w:val="0"/>
                <w:bCs/>
                <w:color w:val="auto"/>
                <w:kern w:val="0"/>
                <w:sz w:val="24"/>
                <w:highlight w:val="none"/>
                <w:lang w:val="en-US" w:eastAsia="zh-CN"/>
              </w:rPr>
              <w:t>分析，现有</w:t>
            </w:r>
            <w:r>
              <w:rPr>
                <w:rFonts w:hint="eastAsia"/>
                <w:b w:val="0"/>
                <w:bCs/>
                <w:color w:val="auto"/>
                <w:kern w:val="0"/>
                <w:sz w:val="24"/>
                <w:highlight w:val="none"/>
                <w:lang w:eastAsia="zh-CN"/>
              </w:rPr>
              <w:t>生产废水处理</w:t>
            </w:r>
            <w:r>
              <w:rPr>
                <w:rFonts w:hint="eastAsia"/>
                <w:b w:val="0"/>
                <w:bCs/>
                <w:color w:val="auto"/>
                <w:kern w:val="0"/>
                <w:sz w:val="24"/>
                <w:highlight w:val="none"/>
                <w:lang w:val="en-US" w:eastAsia="zh-CN"/>
              </w:rPr>
              <w:t>量为237486.276m</w:t>
            </w:r>
            <w:r>
              <w:rPr>
                <w:rFonts w:hint="eastAsia"/>
                <w:b w:val="0"/>
                <w:bCs/>
                <w:color w:val="auto"/>
                <w:kern w:val="0"/>
                <w:sz w:val="24"/>
                <w:highlight w:val="none"/>
                <w:vertAlign w:val="superscript"/>
                <w:lang w:val="en-US" w:eastAsia="zh-CN"/>
              </w:rPr>
              <w:t>3</w:t>
            </w:r>
            <w:r>
              <w:rPr>
                <w:rFonts w:hint="eastAsia"/>
                <w:b w:val="0"/>
                <w:bCs/>
                <w:color w:val="auto"/>
                <w:kern w:val="0"/>
                <w:sz w:val="24"/>
                <w:highlight w:val="none"/>
                <w:lang w:val="en-US" w:eastAsia="zh-CN"/>
              </w:rPr>
              <w:t>/a，</w:t>
            </w:r>
            <w:r>
              <w:rPr>
                <w:rFonts w:hint="eastAsia"/>
                <w:b w:val="0"/>
                <w:bCs/>
                <w:color w:val="auto"/>
                <w:kern w:val="0"/>
                <w:sz w:val="24"/>
                <w:highlight w:val="none"/>
                <w:lang w:eastAsia="zh-CN"/>
              </w:rPr>
              <w:t>系统污泥池产生的污泥约2t/a，送至叠螺机进行脱水处理后，运往云南龙氏肥业有限公司处置，已签订相关协议。云南龙氏肥业有限公司已取得《云南龙氏有机固废无害化及资源化利用项目竣工环境保护验收意见》。</w:t>
            </w:r>
            <w:r>
              <w:rPr>
                <w:rFonts w:hint="eastAsia"/>
                <w:b w:val="0"/>
                <w:bCs/>
                <w:color w:val="auto"/>
                <w:kern w:val="0"/>
                <w:sz w:val="24"/>
                <w:highlight w:val="none"/>
                <w:lang w:val="en-US" w:eastAsia="zh-CN"/>
              </w:rPr>
              <w:t>本项目使用尾菜废水作为原料，本项目建设完成后废水处理量为229693.41m</w:t>
            </w:r>
            <w:r>
              <w:rPr>
                <w:rFonts w:hint="eastAsia"/>
                <w:b w:val="0"/>
                <w:bCs/>
                <w:color w:val="auto"/>
                <w:kern w:val="0"/>
                <w:sz w:val="24"/>
                <w:highlight w:val="none"/>
                <w:vertAlign w:val="superscript"/>
                <w:lang w:val="en-US" w:eastAsia="zh-CN"/>
              </w:rPr>
              <w:t>3</w:t>
            </w:r>
            <w:r>
              <w:rPr>
                <w:rFonts w:hint="eastAsia"/>
                <w:b w:val="0"/>
                <w:bCs/>
                <w:color w:val="auto"/>
                <w:kern w:val="0"/>
                <w:sz w:val="24"/>
                <w:highlight w:val="none"/>
                <w:lang w:val="en-US" w:eastAsia="zh-CN"/>
              </w:rPr>
              <w:t>/a，污泥产生量为1.93t/a，即本项目建设完成后污泥消减量为0.07t/a。</w:t>
            </w:r>
          </w:p>
          <w:p w14:paraId="0AFEA2A4">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b/>
                <w:color w:val="auto"/>
                <w:kern w:val="0"/>
                <w:sz w:val="24"/>
                <w:highlight w:val="none"/>
                <w:lang w:eastAsia="zh-CN"/>
              </w:rPr>
            </w:pPr>
            <w:r>
              <w:rPr>
                <w:rFonts w:hint="eastAsia"/>
                <w:b/>
                <w:color w:val="auto"/>
                <w:kern w:val="0"/>
                <w:sz w:val="24"/>
                <w:highlight w:val="none"/>
                <w:lang w:eastAsia="zh-CN"/>
              </w:rPr>
              <w:t>②热风炉生物质燃烧灰渣</w:t>
            </w:r>
          </w:p>
          <w:p w14:paraId="33C48A9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b w:val="0"/>
                <w:bCs/>
                <w:color w:val="auto"/>
                <w:kern w:val="0"/>
                <w:sz w:val="24"/>
                <w:highlight w:val="none"/>
                <w:lang w:val="en-US" w:eastAsia="zh-CN"/>
              </w:rPr>
            </w:pPr>
            <w:r>
              <w:rPr>
                <w:rFonts w:hint="eastAsia"/>
                <w:b w:val="0"/>
                <w:bCs/>
                <w:color w:val="auto"/>
                <w:kern w:val="0"/>
                <w:sz w:val="24"/>
                <w:highlight w:val="none"/>
                <w:lang w:val="en-US" w:eastAsia="zh-CN"/>
              </w:rPr>
              <w:t>现有</w:t>
            </w:r>
            <w:r>
              <w:rPr>
                <w:rFonts w:hint="eastAsia"/>
                <w:b w:val="0"/>
                <w:bCs/>
                <w:color w:val="auto"/>
                <w:kern w:val="0"/>
                <w:sz w:val="24"/>
                <w:highlight w:val="none"/>
                <w:lang w:eastAsia="zh-CN"/>
              </w:rPr>
              <w:t>项目</w:t>
            </w:r>
            <w:r>
              <w:rPr>
                <w:rFonts w:hint="eastAsia"/>
                <w:b w:val="0"/>
                <w:bCs/>
                <w:color w:val="auto"/>
                <w:kern w:val="0"/>
                <w:sz w:val="24"/>
                <w:highlight w:val="none"/>
                <w:lang w:val="en-US" w:eastAsia="zh-CN"/>
              </w:rPr>
              <w:t>使用</w:t>
            </w:r>
            <w:r>
              <w:rPr>
                <w:rFonts w:hint="eastAsia"/>
                <w:b w:val="0"/>
                <w:bCs/>
                <w:color w:val="auto"/>
                <w:kern w:val="0"/>
                <w:sz w:val="24"/>
                <w:highlight w:val="none"/>
                <w:lang w:eastAsia="zh-CN"/>
              </w:rPr>
              <w:t>生物质</w:t>
            </w:r>
            <w:r>
              <w:rPr>
                <w:rFonts w:hint="eastAsia"/>
                <w:b w:val="0"/>
                <w:bCs/>
                <w:color w:val="auto"/>
                <w:kern w:val="0"/>
                <w:sz w:val="24"/>
                <w:highlight w:val="none"/>
                <w:lang w:val="en-US" w:eastAsia="zh-CN"/>
              </w:rPr>
              <w:t>燃料量11030t/a，</w:t>
            </w:r>
            <w:r>
              <w:rPr>
                <w:rFonts w:hint="eastAsia"/>
                <w:b w:val="0"/>
                <w:bCs/>
                <w:color w:val="auto"/>
                <w:kern w:val="0"/>
                <w:sz w:val="24"/>
                <w:highlight w:val="none"/>
                <w:lang w:eastAsia="zh-CN"/>
              </w:rPr>
              <w:t>燃烧产生的灰渣约180t/a，</w:t>
            </w:r>
            <w:r>
              <w:rPr>
                <w:rFonts w:hint="eastAsia"/>
                <w:b w:val="0"/>
                <w:bCs/>
                <w:color w:val="auto"/>
                <w:kern w:val="0"/>
                <w:sz w:val="24"/>
                <w:highlight w:val="none"/>
                <w:lang w:val="en-US" w:eastAsia="zh-CN"/>
              </w:rPr>
              <w:t>燃料使用量为</w:t>
            </w:r>
            <w:r>
              <w:rPr>
                <w:rFonts w:hint="eastAsia"/>
                <w:b w:val="0"/>
                <w:bCs/>
                <w:color w:val="auto"/>
                <w:kern w:val="0"/>
                <w:sz w:val="24"/>
                <w:highlight w:val="none"/>
                <w:lang w:eastAsia="zh-CN"/>
              </w:rPr>
              <w:t>由于锅炉燃料为生物质颗粒等，不含重金属、有毒有害有机物，属于草木灰系列，钾含量较高，同时还含有丰富的营养成分如、磷和钙等，可用作高效农业肥料，运往云南龙氏肥业有限公司处置，已签订相关协议。</w:t>
            </w:r>
            <w:r>
              <w:rPr>
                <w:rFonts w:hint="eastAsia"/>
                <w:b w:val="0"/>
                <w:bCs/>
                <w:color w:val="auto"/>
                <w:kern w:val="0"/>
                <w:sz w:val="24"/>
                <w:highlight w:val="none"/>
                <w:lang w:val="en-US" w:eastAsia="zh-CN"/>
              </w:rPr>
              <w:t>本项目扩建完成后其烘干量减少导致生物质燃料量降至1279t/a，则本项目建设完成后全厂产生的灰渣为20.87t/a，消减量为159.13t/a，因本项目需使用灰渣调节固体复合微生物肥发酵时水分，因此本项目产生的灰渣处置方式由运往云南龙氏肥业有限公司处置调整为回用于生产。</w:t>
            </w:r>
          </w:p>
          <w:p w14:paraId="3171AE10">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b/>
                <w:color w:val="auto"/>
                <w:kern w:val="0"/>
                <w:sz w:val="24"/>
                <w:highlight w:val="none"/>
                <w:lang w:eastAsia="zh-CN"/>
              </w:rPr>
            </w:pPr>
            <w:r>
              <w:rPr>
                <w:rFonts w:hint="eastAsia"/>
                <w:b/>
                <w:color w:val="auto"/>
                <w:kern w:val="0"/>
                <w:sz w:val="24"/>
                <w:highlight w:val="none"/>
                <w:lang w:eastAsia="zh-CN"/>
              </w:rPr>
              <w:t>③收尘渣</w:t>
            </w:r>
          </w:p>
          <w:p w14:paraId="0BF5128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b/>
                <w:color w:val="auto"/>
                <w:kern w:val="0"/>
                <w:sz w:val="24"/>
                <w:highlight w:val="none"/>
                <w:lang w:val="en-US" w:eastAsia="zh-CN"/>
              </w:rPr>
            </w:pPr>
            <w:r>
              <w:rPr>
                <w:rFonts w:hint="eastAsia"/>
                <w:b w:val="0"/>
                <w:bCs/>
                <w:color w:val="auto"/>
                <w:kern w:val="0"/>
                <w:sz w:val="24"/>
                <w:highlight w:val="none"/>
                <w:lang w:val="en-US" w:eastAsia="zh-CN"/>
              </w:rPr>
              <w:t>现有</w:t>
            </w:r>
            <w:r>
              <w:rPr>
                <w:rFonts w:hint="eastAsia"/>
                <w:b w:val="0"/>
                <w:bCs/>
                <w:color w:val="auto"/>
                <w:kern w:val="0"/>
                <w:sz w:val="24"/>
                <w:highlight w:val="none"/>
                <w:lang w:eastAsia="zh-CN"/>
              </w:rPr>
              <w:t>项目尘渣</w:t>
            </w:r>
            <w:r>
              <w:rPr>
                <w:rFonts w:hint="eastAsia"/>
                <w:b w:val="0"/>
                <w:bCs/>
                <w:color w:val="auto"/>
                <w:kern w:val="0"/>
                <w:sz w:val="24"/>
                <w:highlight w:val="none"/>
                <w:lang w:val="en-US" w:eastAsia="zh-CN"/>
              </w:rPr>
              <w:t>收集</w:t>
            </w:r>
            <w:r>
              <w:rPr>
                <w:rFonts w:hint="eastAsia"/>
                <w:b w:val="0"/>
                <w:bCs/>
                <w:color w:val="auto"/>
                <w:kern w:val="0"/>
                <w:sz w:val="24"/>
                <w:highlight w:val="none"/>
                <w:lang w:eastAsia="zh-CN"/>
              </w:rPr>
              <w:t>量约为7t/a，运往云南龙氏肥业有限公司处置，已签订相关协议。由于</w:t>
            </w:r>
            <w:r>
              <w:rPr>
                <w:rFonts w:hint="eastAsia"/>
                <w:b w:val="0"/>
                <w:bCs/>
                <w:color w:val="auto"/>
                <w:kern w:val="0"/>
                <w:sz w:val="24"/>
                <w:highlight w:val="none"/>
                <w:lang w:val="en-US" w:eastAsia="zh-CN"/>
              </w:rPr>
              <w:t>本项目扩建完成后产量降至3600t/a，则收尘渣收集量降至0.816t/a，其消减量为6.184t/a，因该收尘渣含水量较大，若将其用于固体复合微生物肥生产，其难于调节水分，本项目对其收尘渣处置方式不变。</w:t>
            </w:r>
          </w:p>
          <w:p w14:paraId="7841FBA9">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b/>
                <w:color w:val="auto"/>
                <w:kern w:val="0"/>
                <w:sz w:val="24"/>
                <w:highlight w:val="none"/>
                <w:lang w:eastAsia="zh-CN"/>
              </w:rPr>
            </w:pPr>
            <w:r>
              <w:rPr>
                <w:rFonts w:hint="eastAsia"/>
                <w:b/>
                <w:color w:val="auto"/>
                <w:kern w:val="0"/>
                <w:sz w:val="24"/>
                <w:highlight w:val="none"/>
                <w:lang w:eastAsia="zh-CN"/>
              </w:rPr>
              <w:t>（</w:t>
            </w:r>
            <w:r>
              <w:rPr>
                <w:rFonts w:hint="eastAsia"/>
                <w:b/>
                <w:color w:val="auto"/>
                <w:kern w:val="0"/>
                <w:sz w:val="24"/>
                <w:highlight w:val="none"/>
                <w:lang w:val="en-US" w:eastAsia="zh-CN"/>
              </w:rPr>
              <w:t>3</w:t>
            </w:r>
            <w:r>
              <w:rPr>
                <w:rFonts w:hint="eastAsia"/>
                <w:b/>
                <w:color w:val="auto"/>
                <w:kern w:val="0"/>
                <w:sz w:val="24"/>
                <w:highlight w:val="none"/>
                <w:lang w:eastAsia="zh-CN"/>
              </w:rPr>
              <w:t>）固体废物环境管理要求及污染防治措施</w:t>
            </w:r>
          </w:p>
          <w:p w14:paraId="2723F218">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b/>
                <w:color w:val="auto"/>
                <w:kern w:val="0"/>
                <w:sz w:val="24"/>
                <w:highlight w:val="none"/>
                <w:lang w:eastAsia="zh-CN"/>
              </w:rPr>
            </w:pPr>
            <w:r>
              <w:rPr>
                <w:rFonts w:hint="eastAsia"/>
                <w:b/>
                <w:color w:val="auto"/>
                <w:kern w:val="0"/>
                <w:sz w:val="24"/>
                <w:highlight w:val="none"/>
                <w:lang w:eastAsia="zh-CN"/>
              </w:rPr>
              <w:t>1）一般废物管理要求及污染防治措施</w:t>
            </w:r>
          </w:p>
          <w:p w14:paraId="120CB33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b w:val="0"/>
                <w:bCs/>
                <w:color w:val="auto"/>
                <w:kern w:val="0"/>
                <w:sz w:val="24"/>
                <w:highlight w:val="none"/>
                <w:lang w:eastAsia="zh-CN"/>
              </w:rPr>
            </w:pPr>
            <w:r>
              <w:rPr>
                <w:rFonts w:hint="eastAsia"/>
                <w:b w:val="0"/>
                <w:bCs/>
                <w:color w:val="auto"/>
                <w:kern w:val="0"/>
                <w:sz w:val="24"/>
                <w:highlight w:val="none"/>
                <w:lang w:eastAsia="zh-CN"/>
              </w:rPr>
              <w:t>本项目固体复合微生物肥生产区设置20m</w:t>
            </w:r>
            <w:r>
              <w:rPr>
                <w:rFonts w:hint="eastAsia"/>
                <w:b w:val="0"/>
                <w:bCs/>
                <w:color w:val="auto"/>
                <w:kern w:val="0"/>
                <w:sz w:val="24"/>
                <w:highlight w:val="none"/>
                <w:vertAlign w:val="superscript"/>
                <w:lang w:eastAsia="zh-CN"/>
              </w:rPr>
              <w:t>2</w:t>
            </w:r>
            <w:r>
              <w:rPr>
                <w:rFonts w:hint="eastAsia"/>
                <w:b w:val="0"/>
                <w:bCs/>
                <w:color w:val="auto"/>
                <w:kern w:val="0"/>
                <w:sz w:val="24"/>
                <w:highlight w:val="none"/>
                <w:lang w:eastAsia="zh-CN"/>
              </w:rPr>
              <w:t>一般固废暂存间暂存收集的废包装袋等固废；液体复合微生物肥生产区设置10m</w:t>
            </w:r>
            <w:r>
              <w:rPr>
                <w:rFonts w:hint="eastAsia"/>
                <w:b w:val="0"/>
                <w:bCs/>
                <w:color w:val="auto"/>
                <w:kern w:val="0"/>
                <w:sz w:val="24"/>
                <w:highlight w:val="none"/>
                <w:vertAlign w:val="superscript"/>
                <w:lang w:eastAsia="zh-CN"/>
              </w:rPr>
              <w:t>2</w:t>
            </w:r>
            <w:r>
              <w:rPr>
                <w:rFonts w:hint="eastAsia"/>
                <w:b w:val="0"/>
                <w:bCs/>
                <w:color w:val="auto"/>
                <w:kern w:val="0"/>
                <w:sz w:val="24"/>
                <w:highlight w:val="none"/>
                <w:lang w:eastAsia="zh-CN"/>
              </w:rPr>
              <w:t>一般固废暂存间暂存收集的废包装袋等固废；一般固废暂存区应采取防渗漏、防雨淋、防扬尘要求进行设计、施工和建设，地面进行硬化，设防雨棚、围墙等防雨防风等设施。</w:t>
            </w:r>
          </w:p>
          <w:p w14:paraId="022EB99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b w:val="0"/>
                <w:bCs/>
                <w:color w:val="auto"/>
                <w:kern w:val="0"/>
                <w:sz w:val="24"/>
                <w:highlight w:val="none"/>
                <w:lang w:eastAsia="zh-CN"/>
              </w:rPr>
            </w:pPr>
            <w:r>
              <w:rPr>
                <w:rFonts w:hint="eastAsia"/>
                <w:b w:val="0"/>
                <w:bCs/>
                <w:color w:val="auto"/>
                <w:kern w:val="0"/>
                <w:sz w:val="24"/>
                <w:highlight w:val="none"/>
                <w:lang w:eastAsia="zh-CN"/>
              </w:rPr>
              <w:t>在处理与处置固体废物时另外应注意：</w:t>
            </w:r>
          </w:p>
          <w:p w14:paraId="43DA4A2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b w:val="0"/>
                <w:bCs/>
                <w:color w:val="auto"/>
                <w:kern w:val="0"/>
                <w:sz w:val="24"/>
                <w:highlight w:val="none"/>
                <w:lang w:eastAsia="zh-CN"/>
              </w:rPr>
            </w:pPr>
            <w:r>
              <w:rPr>
                <w:rFonts w:hint="eastAsia"/>
                <w:b w:val="0"/>
                <w:bCs/>
                <w:color w:val="auto"/>
                <w:kern w:val="0"/>
                <w:sz w:val="24"/>
                <w:highlight w:val="none"/>
                <w:lang w:eastAsia="zh-CN"/>
              </w:rPr>
              <w:t>①在收集、贮存、装卸、运输和利用各类固体废物的过程中，指定专人进行跟踪管理，严格防止其流失、散落、渗漏或飞扬，造成对大气、水体或土壤的二次污染。</w:t>
            </w:r>
          </w:p>
          <w:p w14:paraId="6855592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b w:val="0"/>
                <w:bCs/>
                <w:color w:val="auto"/>
                <w:kern w:val="0"/>
                <w:sz w:val="24"/>
                <w:highlight w:val="none"/>
                <w:lang w:eastAsia="zh-CN"/>
              </w:rPr>
            </w:pPr>
            <w:r>
              <w:rPr>
                <w:rFonts w:hint="eastAsia"/>
                <w:b w:val="0"/>
                <w:bCs/>
                <w:color w:val="auto"/>
                <w:kern w:val="0"/>
                <w:sz w:val="24"/>
                <w:highlight w:val="none"/>
                <w:lang w:eastAsia="zh-CN"/>
              </w:rPr>
              <w:t>②各类固体废物应根据其产生量大小定期分类收集，禁止将它们混合收集、贮存、运输。</w:t>
            </w:r>
          </w:p>
          <w:p w14:paraId="2DB4387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b w:val="0"/>
                <w:bCs/>
                <w:color w:val="auto"/>
                <w:kern w:val="0"/>
                <w:sz w:val="24"/>
                <w:highlight w:val="none"/>
                <w:lang w:eastAsia="zh-CN"/>
              </w:rPr>
            </w:pPr>
            <w:r>
              <w:rPr>
                <w:rFonts w:hint="eastAsia"/>
                <w:b w:val="0"/>
                <w:bCs/>
                <w:color w:val="auto"/>
                <w:kern w:val="0"/>
                <w:sz w:val="24"/>
                <w:highlight w:val="none"/>
                <w:lang w:eastAsia="zh-CN"/>
              </w:rPr>
              <w:t>③按《环境保护图形标志-固体废物贮存（处置）场》（GB15562.2-1995）设立警示标志和按《一般工业固体废物管理台账制定指南（试行）》（公告2021年第82号）的要求建立一般工业固废管理台账。</w:t>
            </w:r>
          </w:p>
          <w:p w14:paraId="5BF14BE9">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b/>
                <w:color w:val="auto"/>
                <w:kern w:val="0"/>
                <w:sz w:val="24"/>
                <w:highlight w:val="none"/>
                <w:lang w:val="en-US" w:eastAsia="zh-CN"/>
              </w:rPr>
            </w:pPr>
            <w:r>
              <w:rPr>
                <w:rFonts w:hint="eastAsia"/>
                <w:b/>
                <w:color w:val="auto"/>
                <w:kern w:val="0"/>
                <w:sz w:val="24"/>
                <w:highlight w:val="none"/>
                <w:lang w:val="en-US" w:eastAsia="zh-CN"/>
              </w:rPr>
              <w:t>2）危险废物管理要求及污染防治措施</w:t>
            </w:r>
          </w:p>
          <w:p w14:paraId="1BD459A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b w:val="0"/>
                <w:bCs/>
                <w:color w:val="auto"/>
                <w:kern w:val="0"/>
                <w:sz w:val="24"/>
                <w:highlight w:val="none"/>
                <w:lang w:val="en-US" w:eastAsia="zh-CN"/>
              </w:rPr>
            </w:pPr>
            <w:r>
              <w:rPr>
                <w:rFonts w:hint="eastAsia"/>
                <w:b w:val="0"/>
                <w:bCs/>
                <w:color w:val="auto"/>
                <w:kern w:val="0"/>
                <w:sz w:val="24"/>
                <w:highlight w:val="none"/>
                <w:lang w:val="en-US" w:eastAsia="zh-CN"/>
              </w:rPr>
              <w:t>本项目产生的废机油依托已建危险废物暂存间（6m²）暂存，定期交由云南泽森环保科技有限公司进行处理。</w:t>
            </w:r>
          </w:p>
          <w:p w14:paraId="65EBBC8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b w:val="0"/>
                <w:bCs/>
                <w:color w:val="auto"/>
                <w:kern w:val="0"/>
                <w:sz w:val="24"/>
                <w:highlight w:val="none"/>
                <w:lang w:val="en-US" w:eastAsia="zh-CN"/>
              </w:rPr>
            </w:pPr>
            <w:r>
              <w:rPr>
                <w:rFonts w:hint="eastAsia"/>
                <w:b w:val="0"/>
                <w:bCs/>
                <w:color w:val="auto"/>
                <w:kern w:val="0"/>
                <w:sz w:val="24"/>
                <w:highlight w:val="none"/>
                <w:lang w:val="en-US" w:eastAsia="zh-CN"/>
              </w:rPr>
              <w:t>依托废危废暂存间根据《危险废物贮存污染控制标准》（GB18597—2023）要求建设，通过了竣工验收，根据调查，危废暂存间配置密闭临时容器收集，并严格执行危废转移联单制度，定期交由资质单位处置，同时建立全流程台账记录，有效落实了防渗漏、防流失、防扬散的“三防”要求，可显著降低危险废物的环境风险。</w:t>
            </w:r>
          </w:p>
          <w:p w14:paraId="01E9200E">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b/>
                <w:color w:val="auto"/>
                <w:kern w:val="0"/>
                <w:sz w:val="24"/>
                <w:highlight w:val="none"/>
              </w:rPr>
            </w:pPr>
            <w:r>
              <w:rPr>
                <w:rFonts w:hint="eastAsia"/>
                <w:b/>
                <w:color w:val="auto"/>
                <w:kern w:val="0"/>
                <w:sz w:val="24"/>
                <w:highlight w:val="none"/>
                <w:lang w:val="en-US" w:eastAsia="zh-CN"/>
              </w:rPr>
              <w:t>（4）</w:t>
            </w:r>
            <w:r>
              <w:rPr>
                <w:rFonts w:hint="eastAsia"/>
                <w:b/>
                <w:color w:val="auto"/>
                <w:kern w:val="0"/>
                <w:sz w:val="24"/>
                <w:highlight w:val="none"/>
              </w:rPr>
              <w:t>固废环境影响分析</w:t>
            </w:r>
          </w:p>
          <w:p w14:paraId="1E8E80D3">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b/>
                <w:color w:val="auto"/>
                <w:kern w:val="0"/>
                <w:sz w:val="24"/>
                <w:highlight w:val="none"/>
              </w:rPr>
            </w:pPr>
            <w:r>
              <w:rPr>
                <w:rFonts w:hint="eastAsia"/>
                <w:b/>
                <w:color w:val="auto"/>
                <w:kern w:val="0"/>
                <w:sz w:val="24"/>
                <w:highlight w:val="none"/>
                <w:lang w:val="en-US" w:eastAsia="zh-CN"/>
              </w:rPr>
              <w:t>1）</w:t>
            </w:r>
            <w:r>
              <w:rPr>
                <w:rFonts w:hint="eastAsia"/>
                <w:b/>
                <w:color w:val="auto"/>
                <w:kern w:val="0"/>
                <w:sz w:val="24"/>
                <w:highlight w:val="none"/>
              </w:rPr>
              <w:t>危险废物环境影响分析</w:t>
            </w:r>
          </w:p>
          <w:p w14:paraId="2BF4982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b w:val="0"/>
                <w:bCs/>
                <w:color w:val="auto"/>
                <w:kern w:val="0"/>
                <w:sz w:val="24"/>
                <w:highlight w:val="none"/>
                <w:lang w:val="en-US" w:eastAsia="zh-CN"/>
              </w:rPr>
            </w:pPr>
            <w:r>
              <w:rPr>
                <w:rFonts w:hint="eastAsia"/>
                <w:b w:val="0"/>
                <w:bCs/>
                <w:color w:val="auto"/>
                <w:kern w:val="0"/>
                <w:sz w:val="24"/>
                <w:highlight w:val="none"/>
                <w:lang w:val="en-US" w:eastAsia="zh-CN"/>
              </w:rPr>
              <w:t>本项目产生的废机油依托已建危险废物暂存间（6m²）暂存，定期交由云南泽森环保科技有限公司进行处理，可确保确保危险废物100%合法处置，对环境影响小。</w:t>
            </w:r>
          </w:p>
          <w:p w14:paraId="444C2489">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b/>
                <w:color w:val="auto"/>
                <w:kern w:val="0"/>
                <w:sz w:val="24"/>
                <w:highlight w:val="none"/>
              </w:rPr>
            </w:pPr>
            <w:r>
              <w:rPr>
                <w:rFonts w:hint="eastAsia"/>
                <w:b/>
                <w:color w:val="auto"/>
                <w:kern w:val="0"/>
                <w:sz w:val="24"/>
                <w:highlight w:val="none"/>
                <w:lang w:val="en-US" w:eastAsia="zh-CN"/>
              </w:rPr>
              <w:t>2）</w:t>
            </w:r>
            <w:r>
              <w:rPr>
                <w:rFonts w:hint="eastAsia"/>
                <w:b/>
                <w:color w:val="auto"/>
                <w:kern w:val="0"/>
                <w:sz w:val="24"/>
                <w:highlight w:val="none"/>
              </w:rPr>
              <w:t>一般工业固体废物环境影响分析</w:t>
            </w:r>
          </w:p>
          <w:p w14:paraId="38226F0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bCs/>
                <w:color w:val="auto"/>
                <w:kern w:val="0"/>
                <w:sz w:val="24"/>
                <w:highlight w:val="none"/>
              </w:rPr>
            </w:pPr>
            <w:r>
              <w:rPr>
                <w:rFonts w:hint="eastAsia"/>
                <w:bCs/>
                <w:color w:val="auto"/>
                <w:kern w:val="0"/>
                <w:sz w:val="24"/>
                <w:highlight w:val="none"/>
                <w:lang w:val="en-US" w:eastAsia="zh-CN"/>
              </w:rPr>
              <w:t>本项目建设完成后，其因本项目使用尾菜废水和果蔬渣作为原料，其烘干和粉碎的物料及其需处理的废水减少，导致现有项目生产废水处理系统污泥、热风炉生物质燃烧灰渣和收尘渣产生量减少，其</w:t>
            </w:r>
            <w:r>
              <w:rPr>
                <w:rFonts w:hint="eastAsia"/>
                <w:bCs/>
                <w:color w:val="auto"/>
                <w:kern w:val="0"/>
                <w:sz w:val="24"/>
                <w:highlight w:val="none"/>
              </w:rPr>
              <w:t>符合固废“减量化、资源化”原则。</w:t>
            </w:r>
            <w:r>
              <w:rPr>
                <w:rFonts w:hint="eastAsia"/>
                <w:bCs/>
                <w:color w:val="auto"/>
                <w:kern w:val="0"/>
                <w:sz w:val="24"/>
                <w:highlight w:val="none"/>
                <w:lang w:val="en-US" w:eastAsia="zh-CN"/>
              </w:rPr>
              <w:t>项目产生的</w:t>
            </w:r>
            <w:r>
              <w:rPr>
                <w:rFonts w:hint="eastAsia"/>
                <w:bCs/>
                <w:color w:val="auto"/>
                <w:kern w:val="0"/>
                <w:sz w:val="24"/>
                <w:highlight w:val="none"/>
              </w:rPr>
              <w:t>不合格产品、沉降粉尘：经返回生产工序资源化利用，减少了固废外排量，避免了填埋处置带来的土地占用及污染风险，实现资源循环的同时降低环境负荷；废包装物：外售至合规废旧资源回收单位，通过再生加工转化为可用资源，符合固废“减量化、资源化”原则。</w:t>
            </w:r>
          </w:p>
          <w:p w14:paraId="1C09BEB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bCs/>
                <w:color w:val="auto"/>
                <w:kern w:val="0"/>
                <w:sz w:val="24"/>
                <w:highlight w:val="none"/>
              </w:rPr>
            </w:pPr>
            <w:r>
              <w:rPr>
                <w:rFonts w:hint="eastAsia"/>
                <w:bCs/>
                <w:color w:val="auto"/>
                <w:kern w:val="0"/>
                <w:sz w:val="24"/>
                <w:highlight w:val="none"/>
              </w:rPr>
              <w:t>综上，项目针对各类固废制定了分类收集、规范贮存、合理处置/资源化的完整体系，措施符合国家及地方环保标准，固废对周边环境的影响可控。</w:t>
            </w:r>
          </w:p>
          <w:p w14:paraId="3CE6A9FB">
            <w:pPr>
              <w:spacing w:before="120" w:beforeLines="50" w:line="360" w:lineRule="auto"/>
              <w:rPr>
                <w:rStyle w:val="31"/>
                <w:color w:val="auto"/>
                <w:highlight w:val="none"/>
              </w:rPr>
            </w:pPr>
            <w:bookmarkStart w:id="61" w:name="OLE_LINK1"/>
            <w:r>
              <w:rPr>
                <w:rFonts w:hint="eastAsia"/>
                <w:b/>
                <w:color w:val="auto"/>
                <w:kern w:val="0"/>
                <w:sz w:val="24"/>
                <w:highlight w:val="none"/>
                <w:lang w:val="en-US" w:eastAsia="zh-CN"/>
              </w:rPr>
              <w:t>5、</w:t>
            </w:r>
            <w:r>
              <w:rPr>
                <w:rFonts w:hint="eastAsia"/>
                <w:b/>
                <w:color w:val="auto"/>
                <w:kern w:val="0"/>
                <w:sz w:val="24"/>
                <w:highlight w:val="none"/>
              </w:rPr>
              <w:t>“三本账”</w:t>
            </w:r>
            <w:bookmarkEnd w:id="61"/>
            <w:r>
              <w:rPr>
                <w:rFonts w:hint="eastAsia"/>
                <w:b/>
                <w:color w:val="auto"/>
                <w:kern w:val="0"/>
                <w:sz w:val="24"/>
                <w:highlight w:val="none"/>
              </w:rPr>
              <w:t>核算</w:t>
            </w:r>
          </w:p>
          <w:p w14:paraId="7813D5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Style w:val="31"/>
                <w:rFonts w:hint="default" w:eastAsia="宋体"/>
                <w:color w:val="auto"/>
                <w:highlight w:val="none"/>
                <w:lang w:val="en-US" w:eastAsia="zh-CN"/>
              </w:rPr>
            </w:pPr>
            <w:r>
              <w:rPr>
                <w:rStyle w:val="31"/>
                <w:rFonts w:hint="eastAsia"/>
                <w:b/>
                <w:bCs/>
                <w:color w:val="auto"/>
                <w:highlight w:val="none"/>
              </w:rPr>
              <w:t>表4-</w:t>
            </w:r>
            <w:r>
              <w:rPr>
                <w:rStyle w:val="31"/>
                <w:rFonts w:hint="eastAsia"/>
                <w:b/>
                <w:bCs/>
                <w:color w:val="auto"/>
                <w:highlight w:val="none"/>
                <w:lang w:val="en-US" w:eastAsia="zh-CN"/>
              </w:rPr>
              <w:t xml:space="preserve">29  </w:t>
            </w:r>
            <w:r>
              <w:rPr>
                <w:rStyle w:val="31"/>
                <w:rFonts w:hint="eastAsia"/>
                <w:b/>
                <w:bCs/>
                <w:color w:val="auto"/>
                <w:highlight w:val="none"/>
              </w:rPr>
              <w:t>“三本账”核算</w:t>
            </w:r>
            <w:r>
              <w:rPr>
                <w:rStyle w:val="31"/>
                <w:rFonts w:hint="eastAsia"/>
                <w:b/>
                <w:bCs/>
                <w:color w:val="auto"/>
                <w:highlight w:val="none"/>
                <w:lang w:val="en-US" w:eastAsia="zh-CN"/>
              </w:rPr>
              <w:t xml:space="preserve">  单位：t/a</w:t>
            </w:r>
          </w:p>
          <w:tbl>
            <w:tblPr>
              <w:tblStyle w:val="26"/>
              <w:tblW w:w="880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91"/>
              <w:gridCol w:w="1358"/>
              <w:gridCol w:w="1260"/>
              <w:gridCol w:w="756"/>
              <w:gridCol w:w="996"/>
              <w:gridCol w:w="1322"/>
              <w:gridCol w:w="1166"/>
              <w:gridCol w:w="1052"/>
            </w:tblGrid>
            <w:tr w14:paraId="27078C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6" w:type="pct"/>
                  <w:tcBorders>
                    <w:tl2br w:val="single" w:color="auto" w:sz="4" w:space="0"/>
                  </w:tcBorders>
                  <w:tcMar>
                    <w:left w:w="28" w:type="dxa"/>
                    <w:right w:w="28" w:type="dxa"/>
                  </w:tcMar>
                  <w:vAlign w:val="center"/>
                </w:tcPr>
                <w:p w14:paraId="2BFE0E96">
                  <w:pPr>
                    <w:keepNext/>
                    <w:keepLines w:val="0"/>
                    <w:pageBreakBefore w:val="0"/>
                    <w:kinsoku/>
                    <w:wordWrap/>
                    <w:overflowPunct/>
                    <w:topLinePunct w:val="0"/>
                    <w:autoSpaceDE/>
                    <w:autoSpaceDN/>
                    <w:bidi w:val="0"/>
                    <w:adjustRightInd w:val="0"/>
                    <w:snapToGrid w:val="0"/>
                    <w:spacing w:line="320" w:lineRule="exact"/>
                    <w:jc w:val="right"/>
                    <w:rPr>
                      <w:rFonts w:hint="default" w:ascii="Times New Roman" w:hAnsi="Times New Roman" w:eastAsia="宋体" w:cs="Times New Roman"/>
                      <w:b/>
                      <w:snapToGrid w:val="0"/>
                      <w:color w:val="auto"/>
                      <w:spacing w:val="-6"/>
                      <w:kern w:val="21"/>
                      <w:sz w:val="21"/>
                      <w:szCs w:val="21"/>
                      <w:highlight w:val="none"/>
                    </w:rPr>
                  </w:pPr>
                  <w:r>
                    <w:rPr>
                      <w:rFonts w:hint="default" w:ascii="Times New Roman" w:hAnsi="Times New Roman" w:eastAsia="宋体" w:cs="Times New Roman"/>
                      <w:b/>
                      <w:snapToGrid w:val="0"/>
                      <w:color w:val="auto"/>
                      <w:spacing w:val="-6"/>
                      <w:kern w:val="21"/>
                      <w:sz w:val="21"/>
                      <w:szCs w:val="21"/>
                      <w:highlight w:val="none"/>
                    </w:rPr>
                    <w:t>项目</w:t>
                  </w:r>
                </w:p>
                <w:p w14:paraId="4C8266BC">
                  <w:pPr>
                    <w:keepNext/>
                    <w:keepLines w:val="0"/>
                    <w:pageBreakBefore w:val="0"/>
                    <w:kinsoku/>
                    <w:wordWrap/>
                    <w:overflowPunct/>
                    <w:topLinePunct w:val="0"/>
                    <w:autoSpaceDE/>
                    <w:autoSpaceDN/>
                    <w:bidi w:val="0"/>
                    <w:snapToGrid w:val="0"/>
                    <w:spacing w:line="320" w:lineRule="exact"/>
                    <w:jc w:val="left"/>
                    <w:rPr>
                      <w:rFonts w:hint="default" w:ascii="Times New Roman" w:hAnsi="Times New Roman" w:eastAsia="宋体" w:cs="Times New Roman"/>
                      <w:b/>
                      <w:snapToGrid w:val="0"/>
                      <w:color w:val="auto"/>
                      <w:spacing w:val="-6"/>
                      <w:kern w:val="21"/>
                      <w:sz w:val="21"/>
                      <w:szCs w:val="21"/>
                      <w:highlight w:val="none"/>
                    </w:rPr>
                  </w:pPr>
                  <w:r>
                    <w:rPr>
                      <w:rFonts w:hint="default" w:ascii="Times New Roman" w:hAnsi="Times New Roman" w:eastAsia="宋体" w:cs="Times New Roman"/>
                      <w:b/>
                      <w:snapToGrid w:val="0"/>
                      <w:color w:val="auto"/>
                      <w:spacing w:val="-6"/>
                      <w:kern w:val="21"/>
                      <w:sz w:val="21"/>
                      <w:szCs w:val="21"/>
                      <w:highlight w:val="none"/>
                    </w:rPr>
                    <w:t>分类</w:t>
                  </w:r>
                </w:p>
              </w:tc>
              <w:tc>
                <w:tcPr>
                  <w:tcW w:w="771" w:type="pct"/>
                  <w:tcMar>
                    <w:left w:w="28" w:type="dxa"/>
                    <w:right w:w="28" w:type="dxa"/>
                  </w:tcMar>
                  <w:vAlign w:val="center"/>
                </w:tcPr>
                <w:p w14:paraId="41AC16C2">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b/>
                      <w:snapToGrid w:val="0"/>
                      <w:color w:val="auto"/>
                      <w:spacing w:val="-6"/>
                      <w:kern w:val="21"/>
                      <w:sz w:val="21"/>
                      <w:szCs w:val="21"/>
                      <w:highlight w:val="none"/>
                    </w:rPr>
                  </w:pPr>
                  <w:r>
                    <w:rPr>
                      <w:rFonts w:hint="default" w:ascii="Times New Roman" w:hAnsi="Times New Roman" w:eastAsia="宋体" w:cs="Times New Roman"/>
                      <w:b/>
                      <w:snapToGrid w:val="0"/>
                      <w:color w:val="auto"/>
                      <w:spacing w:val="-6"/>
                      <w:kern w:val="21"/>
                      <w:sz w:val="21"/>
                      <w:szCs w:val="21"/>
                      <w:highlight w:val="none"/>
                    </w:rPr>
                    <w:t>污染物名称</w:t>
                  </w:r>
                </w:p>
              </w:tc>
              <w:tc>
                <w:tcPr>
                  <w:tcW w:w="715" w:type="pct"/>
                  <w:tcMar>
                    <w:left w:w="28" w:type="dxa"/>
                    <w:right w:w="28" w:type="dxa"/>
                  </w:tcMar>
                  <w:vAlign w:val="center"/>
                </w:tcPr>
                <w:p w14:paraId="398BAD87">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b/>
                      <w:snapToGrid w:val="0"/>
                      <w:color w:val="auto"/>
                      <w:spacing w:val="-6"/>
                      <w:kern w:val="21"/>
                      <w:sz w:val="21"/>
                      <w:szCs w:val="21"/>
                      <w:highlight w:val="none"/>
                    </w:rPr>
                  </w:pPr>
                  <w:r>
                    <w:rPr>
                      <w:rFonts w:hint="default" w:ascii="Times New Roman" w:hAnsi="Times New Roman" w:eastAsia="宋体" w:cs="Times New Roman"/>
                      <w:b/>
                      <w:snapToGrid w:val="0"/>
                      <w:color w:val="auto"/>
                      <w:spacing w:val="-6"/>
                      <w:kern w:val="21"/>
                      <w:sz w:val="21"/>
                      <w:szCs w:val="21"/>
                      <w:highlight w:val="none"/>
                    </w:rPr>
                    <w:t>现有工程排放量</w:t>
                  </w:r>
                  <w:r>
                    <w:rPr>
                      <w:rFonts w:hint="default" w:ascii="Times New Roman" w:hAnsi="Times New Roman" w:eastAsia="宋体" w:cs="Times New Roman"/>
                      <w:b/>
                      <w:snapToGrid w:val="0"/>
                      <w:color w:val="auto"/>
                      <w:spacing w:val="-6"/>
                      <w:kern w:val="21"/>
                      <w:sz w:val="21"/>
                      <w:szCs w:val="21"/>
                      <w:highlight w:val="none"/>
                    </w:rPr>
                    <w:fldChar w:fldCharType="begin"/>
                  </w:r>
                  <w:r>
                    <w:rPr>
                      <w:rFonts w:hint="default" w:ascii="Times New Roman" w:hAnsi="Times New Roman" w:eastAsia="宋体" w:cs="Times New Roman"/>
                      <w:b/>
                      <w:snapToGrid w:val="0"/>
                      <w:color w:val="auto"/>
                      <w:spacing w:val="-6"/>
                      <w:kern w:val="21"/>
                      <w:sz w:val="21"/>
                      <w:szCs w:val="21"/>
                      <w:highlight w:val="none"/>
                    </w:rPr>
                    <w:instrText xml:space="preserve"> 1 \* GB3 \* MERGEFORMAT </w:instrText>
                  </w:r>
                  <w:r>
                    <w:rPr>
                      <w:rFonts w:hint="default" w:ascii="Times New Roman" w:hAnsi="Times New Roman" w:eastAsia="宋体" w:cs="Times New Roman"/>
                      <w:b/>
                      <w:snapToGrid w:val="0"/>
                      <w:color w:val="auto"/>
                      <w:spacing w:val="-6"/>
                      <w:kern w:val="21"/>
                      <w:sz w:val="21"/>
                      <w:szCs w:val="21"/>
                      <w:highlight w:val="none"/>
                    </w:rPr>
                    <w:fldChar w:fldCharType="separate"/>
                  </w:r>
                  <w:r>
                    <w:rPr>
                      <w:rFonts w:hint="default" w:ascii="Times New Roman" w:hAnsi="Times New Roman" w:eastAsia="宋体" w:cs="Times New Roman"/>
                      <w:b/>
                      <w:color w:val="auto"/>
                      <w:sz w:val="21"/>
                      <w:szCs w:val="21"/>
                      <w:highlight w:val="none"/>
                    </w:rPr>
                    <w:t>①</w:t>
                  </w:r>
                  <w:r>
                    <w:rPr>
                      <w:rFonts w:hint="default" w:ascii="Times New Roman" w:hAnsi="Times New Roman" w:eastAsia="宋体" w:cs="Times New Roman"/>
                      <w:b/>
                      <w:snapToGrid w:val="0"/>
                      <w:color w:val="auto"/>
                      <w:spacing w:val="-6"/>
                      <w:kern w:val="21"/>
                      <w:sz w:val="21"/>
                      <w:szCs w:val="21"/>
                      <w:highlight w:val="none"/>
                    </w:rPr>
                    <w:fldChar w:fldCharType="end"/>
                  </w:r>
                </w:p>
              </w:tc>
              <w:tc>
                <w:tcPr>
                  <w:tcW w:w="429" w:type="pct"/>
                  <w:tcMar>
                    <w:left w:w="28" w:type="dxa"/>
                    <w:right w:w="28" w:type="dxa"/>
                  </w:tcMar>
                  <w:vAlign w:val="center"/>
                </w:tcPr>
                <w:p w14:paraId="340EBF60">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b/>
                      <w:snapToGrid w:val="0"/>
                      <w:color w:val="auto"/>
                      <w:spacing w:val="-6"/>
                      <w:kern w:val="21"/>
                      <w:sz w:val="21"/>
                      <w:szCs w:val="21"/>
                      <w:highlight w:val="none"/>
                    </w:rPr>
                  </w:pPr>
                  <w:r>
                    <w:rPr>
                      <w:rFonts w:hint="default" w:ascii="Times New Roman" w:hAnsi="Times New Roman" w:eastAsia="宋体" w:cs="Times New Roman"/>
                      <w:b/>
                      <w:snapToGrid w:val="0"/>
                      <w:color w:val="auto"/>
                      <w:spacing w:val="-6"/>
                      <w:kern w:val="21"/>
                      <w:sz w:val="21"/>
                      <w:szCs w:val="21"/>
                      <w:highlight w:val="none"/>
                    </w:rPr>
                    <w:t>现有工程许可</w:t>
                  </w:r>
                </w:p>
                <w:p w14:paraId="3E8CEF62">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b/>
                      <w:snapToGrid w:val="0"/>
                      <w:color w:val="auto"/>
                      <w:spacing w:val="-6"/>
                      <w:kern w:val="21"/>
                      <w:sz w:val="21"/>
                      <w:szCs w:val="21"/>
                      <w:highlight w:val="none"/>
                    </w:rPr>
                  </w:pPr>
                  <w:r>
                    <w:rPr>
                      <w:rFonts w:hint="default" w:ascii="Times New Roman" w:hAnsi="Times New Roman" w:eastAsia="宋体" w:cs="Times New Roman"/>
                      <w:b/>
                      <w:snapToGrid w:val="0"/>
                      <w:color w:val="auto"/>
                      <w:spacing w:val="-6"/>
                      <w:kern w:val="21"/>
                      <w:sz w:val="21"/>
                      <w:szCs w:val="21"/>
                      <w:highlight w:val="none"/>
                    </w:rPr>
                    <w:t>排放量</w:t>
                  </w:r>
                  <w:r>
                    <w:rPr>
                      <w:rFonts w:hint="default" w:ascii="Times New Roman" w:hAnsi="Times New Roman" w:eastAsia="宋体" w:cs="Times New Roman"/>
                      <w:b/>
                      <w:snapToGrid w:val="0"/>
                      <w:color w:val="auto"/>
                      <w:spacing w:val="-6"/>
                      <w:kern w:val="21"/>
                      <w:sz w:val="21"/>
                      <w:szCs w:val="21"/>
                      <w:highlight w:val="none"/>
                    </w:rPr>
                    <w:fldChar w:fldCharType="begin"/>
                  </w:r>
                  <w:r>
                    <w:rPr>
                      <w:rFonts w:hint="default" w:ascii="Times New Roman" w:hAnsi="Times New Roman" w:eastAsia="宋体" w:cs="Times New Roman"/>
                      <w:b/>
                      <w:snapToGrid w:val="0"/>
                      <w:color w:val="auto"/>
                      <w:spacing w:val="-6"/>
                      <w:kern w:val="21"/>
                      <w:sz w:val="21"/>
                      <w:szCs w:val="21"/>
                      <w:highlight w:val="none"/>
                    </w:rPr>
                    <w:instrText xml:space="preserve"> 2 \* GB3 \* MERGEFORMAT </w:instrText>
                  </w:r>
                  <w:r>
                    <w:rPr>
                      <w:rFonts w:hint="default" w:ascii="Times New Roman" w:hAnsi="Times New Roman" w:eastAsia="宋体" w:cs="Times New Roman"/>
                      <w:b/>
                      <w:snapToGrid w:val="0"/>
                      <w:color w:val="auto"/>
                      <w:spacing w:val="-6"/>
                      <w:kern w:val="21"/>
                      <w:sz w:val="21"/>
                      <w:szCs w:val="21"/>
                      <w:highlight w:val="none"/>
                    </w:rPr>
                    <w:fldChar w:fldCharType="separate"/>
                  </w:r>
                  <w:r>
                    <w:rPr>
                      <w:rFonts w:hint="default" w:ascii="Times New Roman" w:hAnsi="Times New Roman" w:eastAsia="宋体" w:cs="Times New Roman"/>
                      <w:b/>
                      <w:snapToGrid w:val="0"/>
                      <w:color w:val="auto"/>
                      <w:spacing w:val="-6"/>
                      <w:kern w:val="21"/>
                      <w:sz w:val="21"/>
                      <w:szCs w:val="21"/>
                      <w:highlight w:val="none"/>
                    </w:rPr>
                    <w:t>②</w:t>
                  </w:r>
                  <w:r>
                    <w:rPr>
                      <w:rFonts w:hint="default" w:ascii="Times New Roman" w:hAnsi="Times New Roman" w:eastAsia="宋体" w:cs="Times New Roman"/>
                      <w:b/>
                      <w:snapToGrid w:val="0"/>
                      <w:color w:val="auto"/>
                      <w:spacing w:val="-6"/>
                      <w:kern w:val="21"/>
                      <w:sz w:val="21"/>
                      <w:szCs w:val="21"/>
                      <w:highlight w:val="none"/>
                    </w:rPr>
                    <w:fldChar w:fldCharType="end"/>
                  </w:r>
                </w:p>
              </w:tc>
              <w:tc>
                <w:tcPr>
                  <w:tcW w:w="565" w:type="pct"/>
                  <w:tcMar>
                    <w:left w:w="28" w:type="dxa"/>
                    <w:right w:w="28" w:type="dxa"/>
                  </w:tcMar>
                  <w:vAlign w:val="center"/>
                </w:tcPr>
                <w:p w14:paraId="3B6D73D6">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b/>
                      <w:snapToGrid w:val="0"/>
                      <w:color w:val="auto"/>
                      <w:spacing w:val="-6"/>
                      <w:kern w:val="21"/>
                      <w:sz w:val="21"/>
                      <w:szCs w:val="21"/>
                      <w:highlight w:val="none"/>
                    </w:rPr>
                  </w:pPr>
                  <w:r>
                    <w:rPr>
                      <w:rFonts w:hint="default" w:ascii="Times New Roman" w:hAnsi="Times New Roman" w:eastAsia="宋体" w:cs="Times New Roman"/>
                      <w:b/>
                      <w:snapToGrid w:val="0"/>
                      <w:color w:val="auto"/>
                      <w:spacing w:val="-6"/>
                      <w:kern w:val="21"/>
                      <w:sz w:val="21"/>
                      <w:szCs w:val="21"/>
                      <w:highlight w:val="none"/>
                    </w:rPr>
                    <w:t>本项目排放量</w:t>
                  </w:r>
                  <w:r>
                    <w:rPr>
                      <w:rFonts w:hint="default" w:ascii="Times New Roman" w:hAnsi="Times New Roman" w:eastAsia="宋体" w:cs="Times New Roman"/>
                      <w:b/>
                      <w:snapToGrid w:val="0"/>
                      <w:color w:val="auto"/>
                      <w:spacing w:val="-6"/>
                      <w:kern w:val="21"/>
                      <w:sz w:val="21"/>
                      <w:szCs w:val="21"/>
                      <w:highlight w:val="none"/>
                    </w:rPr>
                    <w:fldChar w:fldCharType="begin"/>
                  </w:r>
                  <w:r>
                    <w:rPr>
                      <w:rFonts w:hint="default" w:ascii="Times New Roman" w:hAnsi="Times New Roman" w:eastAsia="宋体" w:cs="Times New Roman"/>
                      <w:b/>
                      <w:snapToGrid w:val="0"/>
                      <w:color w:val="auto"/>
                      <w:spacing w:val="-6"/>
                      <w:kern w:val="21"/>
                      <w:sz w:val="21"/>
                      <w:szCs w:val="21"/>
                      <w:highlight w:val="none"/>
                    </w:rPr>
                    <w:instrText xml:space="preserve"> 4 \* GB3 \* MERGEFORMAT </w:instrText>
                  </w:r>
                  <w:r>
                    <w:rPr>
                      <w:rFonts w:hint="default" w:ascii="Times New Roman" w:hAnsi="Times New Roman" w:eastAsia="宋体" w:cs="Times New Roman"/>
                      <w:b/>
                      <w:snapToGrid w:val="0"/>
                      <w:color w:val="auto"/>
                      <w:spacing w:val="-6"/>
                      <w:kern w:val="21"/>
                      <w:sz w:val="21"/>
                      <w:szCs w:val="21"/>
                      <w:highlight w:val="none"/>
                    </w:rPr>
                    <w:fldChar w:fldCharType="separate"/>
                  </w:r>
                  <w:r>
                    <w:rPr>
                      <w:rFonts w:hint="default" w:ascii="Times New Roman" w:hAnsi="Times New Roman" w:eastAsia="宋体" w:cs="Times New Roman"/>
                      <w:b/>
                      <w:color w:val="auto"/>
                      <w:sz w:val="21"/>
                      <w:szCs w:val="21"/>
                      <w:highlight w:val="none"/>
                    </w:rPr>
                    <w:t>④</w:t>
                  </w:r>
                  <w:r>
                    <w:rPr>
                      <w:rFonts w:hint="default" w:ascii="Times New Roman" w:hAnsi="Times New Roman" w:eastAsia="宋体" w:cs="Times New Roman"/>
                      <w:b/>
                      <w:snapToGrid w:val="0"/>
                      <w:color w:val="auto"/>
                      <w:spacing w:val="-6"/>
                      <w:kern w:val="21"/>
                      <w:sz w:val="21"/>
                      <w:szCs w:val="21"/>
                      <w:highlight w:val="none"/>
                    </w:rPr>
                    <w:fldChar w:fldCharType="end"/>
                  </w:r>
                </w:p>
              </w:tc>
              <w:tc>
                <w:tcPr>
                  <w:tcW w:w="751" w:type="pct"/>
                  <w:tcMar>
                    <w:left w:w="28" w:type="dxa"/>
                    <w:right w:w="28" w:type="dxa"/>
                  </w:tcMar>
                  <w:vAlign w:val="center"/>
                </w:tcPr>
                <w:p w14:paraId="678922AE">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b/>
                      <w:snapToGrid w:val="0"/>
                      <w:color w:val="auto"/>
                      <w:spacing w:val="-16"/>
                      <w:kern w:val="21"/>
                      <w:sz w:val="21"/>
                      <w:szCs w:val="21"/>
                      <w:highlight w:val="none"/>
                    </w:rPr>
                  </w:pPr>
                  <w:r>
                    <w:rPr>
                      <w:rFonts w:hint="default" w:ascii="Times New Roman" w:hAnsi="Times New Roman" w:eastAsia="宋体" w:cs="Times New Roman"/>
                      <w:b/>
                      <w:snapToGrid w:val="0"/>
                      <w:color w:val="auto"/>
                      <w:spacing w:val="-16"/>
                      <w:kern w:val="21"/>
                      <w:sz w:val="21"/>
                      <w:szCs w:val="21"/>
                      <w:highlight w:val="none"/>
                    </w:rPr>
                    <w:t>以新带老削减量新建项目不填）</w:t>
                  </w:r>
                  <w:r>
                    <w:rPr>
                      <w:rFonts w:hint="default" w:ascii="Times New Roman" w:hAnsi="Times New Roman" w:eastAsia="宋体" w:cs="Times New Roman"/>
                      <w:b/>
                      <w:snapToGrid w:val="0"/>
                      <w:color w:val="auto"/>
                      <w:spacing w:val="-16"/>
                      <w:kern w:val="21"/>
                      <w:sz w:val="21"/>
                      <w:szCs w:val="21"/>
                      <w:highlight w:val="none"/>
                    </w:rPr>
                    <w:fldChar w:fldCharType="begin"/>
                  </w:r>
                  <w:r>
                    <w:rPr>
                      <w:rFonts w:hint="default" w:ascii="Times New Roman" w:hAnsi="Times New Roman" w:eastAsia="宋体" w:cs="Times New Roman"/>
                      <w:b/>
                      <w:snapToGrid w:val="0"/>
                      <w:color w:val="auto"/>
                      <w:spacing w:val="-16"/>
                      <w:kern w:val="21"/>
                      <w:sz w:val="21"/>
                      <w:szCs w:val="21"/>
                      <w:highlight w:val="none"/>
                    </w:rPr>
                    <w:instrText xml:space="preserve"> 5 \* GB3 \* MERGEFORMAT </w:instrText>
                  </w:r>
                  <w:r>
                    <w:rPr>
                      <w:rFonts w:hint="default" w:ascii="Times New Roman" w:hAnsi="Times New Roman" w:eastAsia="宋体" w:cs="Times New Roman"/>
                      <w:b/>
                      <w:snapToGrid w:val="0"/>
                      <w:color w:val="auto"/>
                      <w:spacing w:val="-16"/>
                      <w:kern w:val="21"/>
                      <w:sz w:val="21"/>
                      <w:szCs w:val="21"/>
                      <w:highlight w:val="none"/>
                    </w:rPr>
                    <w:fldChar w:fldCharType="separate"/>
                  </w:r>
                  <w:r>
                    <w:rPr>
                      <w:rFonts w:hint="default" w:ascii="Times New Roman" w:hAnsi="Times New Roman" w:eastAsia="宋体" w:cs="Times New Roman"/>
                      <w:b/>
                      <w:color w:val="auto"/>
                      <w:sz w:val="21"/>
                      <w:szCs w:val="21"/>
                      <w:highlight w:val="none"/>
                    </w:rPr>
                    <w:t>⑤</w:t>
                  </w:r>
                  <w:r>
                    <w:rPr>
                      <w:rFonts w:hint="default" w:ascii="Times New Roman" w:hAnsi="Times New Roman" w:eastAsia="宋体" w:cs="Times New Roman"/>
                      <w:b/>
                      <w:snapToGrid w:val="0"/>
                      <w:color w:val="auto"/>
                      <w:spacing w:val="-16"/>
                      <w:kern w:val="21"/>
                      <w:sz w:val="21"/>
                      <w:szCs w:val="21"/>
                      <w:highlight w:val="none"/>
                    </w:rPr>
                    <w:fldChar w:fldCharType="end"/>
                  </w:r>
                </w:p>
              </w:tc>
              <w:tc>
                <w:tcPr>
                  <w:tcW w:w="662" w:type="pct"/>
                  <w:tcMar>
                    <w:left w:w="28" w:type="dxa"/>
                    <w:right w:w="28" w:type="dxa"/>
                  </w:tcMar>
                  <w:vAlign w:val="center"/>
                </w:tcPr>
                <w:p w14:paraId="2A0362E8">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b/>
                      <w:snapToGrid w:val="0"/>
                      <w:color w:val="auto"/>
                      <w:spacing w:val="-16"/>
                      <w:kern w:val="21"/>
                      <w:sz w:val="21"/>
                      <w:szCs w:val="21"/>
                      <w:highlight w:val="none"/>
                    </w:rPr>
                  </w:pPr>
                  <w:r>
                    <w:rPr>
                      <w:rFonts w:hint="default" w:ascii="Times New Roman" w:hAnsi="Times New Roman" w:eastAsia="宋体" w:cs="Times New Roman"/>
                      <w:b/>
                      <w:snapToGrid w:val="0"/>
                      <w:color w:val="auto"/>
                      <w:spacing w:val="-16"/>
                      <w:kern w:val="21"/>
                      <w:sz w:val="21"/>
                      <w:szCs w:val="21"/>
                      <w:highlight w:val="none"/>
                    </w:rPr>
                    <w:t>本项目建成后全厂排放量</w:t>
                  </w:r>
                  <w:r>
                    <w:rPr>
                      <w:rFonts w:hint="default" w:ascii="Times New Roman" w:hAnsi="Times New Roman" w:eastAsia="宋体" w:cs="Times New Roman"/>
                      <w:b/>
                      <w:snapToGrid w:val="0"/>
                      <w:color w:val="auto"/>
                      <w:spacing w:val="-16"/>
                      <w:kern w:val="21"/>
                      <w:sz w:val="21"/>
                      <w:szCs w:val="21"/>
                      <w:highlight w:val="none"/>
                    </w:rPr>
                    <w:fldChar w:fldCharType="begin"/>
                  </w:r>
                  <w:r>
                    <w:rPr>
                      <w:rFonts w:hint="default" w:ascii="Times New Roman" w:hAnsi="Times New Roman" w:eastAsia="宋体" w:cs="Times New Roman"/>
                      <w:b/>
                      <w:snapToGrid w:val="0"/>
                      <w:color w:val="auto"/>
                      <w:spacing w:val="-16"/>
                      <w:kern w:val="21"/>
                      <w:sz w:val="21"/>
                      <w:szCs w:val="21"/>
                      <w:highlight w:val="none"/>
                    </w:rPr>
                    <w:instrText xml:space="preserve"> 6 \* GB3 \* MERGEFORMAT </w:instrText>
                  </w:r>
                  <w:r>
                    <w:rPr>
                      <w:rFonts w:hint="default" w:ascii="Times New Roman" w:hAnsi="Times New Roman" w:eastAsia="宋体" w:cs="Times New Roman"/>
                      <w:b/>
                      <w:snapToGrid w:val="0"/>
                      <w:color w:val="auto"/>
                      <w:spacing w:val="-16"/>
                      <w:kern w:val="21"/>
                      <w:sz w:val="21"/>
                      <w:szCs w:val="21"/>
                      <w:highlight w:val="none"/>
                    </w:rPr>
                    <w:fldChar w:fldCharType="separate"/>
                  </w:r>
                  <w:r>
                    <w:rPr>
                      <w:rFonts w:hint="default" w:ascii="Times New Roman" w:hAnsi="Times New Roman" w:eastAsia="宋体" w:cs="Times New Roman"/>
                      <w:b/>
                      <w:color w:val="auto"/>
                      <w:sz w:val="21"/>
                      <w:szCs w:val="21"/>
                      <w:highlight w:val="none"/>
                    </w:rPr>
                    <w:t>⑥</w:t>
                  </w:r>
                  <w:r>
                    <w:rPr>
                      <w:rFonts w:hint="default" w:ascii="Times New Roman" w:hAnsi="Times New Roman" w:eastAsia="宋体" w:cs="Times New Roman"/>
                      <w:b/>
                      <w:snapToGrid w:val="0"/>
                      <w:color w:val="auto"/>
                      <w:spacing w:val="-16"/>
                      <w:kern w:val="21"/>
                      <w:sz w:val="21"/>
                      <w:szCs w:val="21"/>
                      <w:highlight w:val="none"/>
                    </w:rPr>
                    <w:fldChar w:fldCharType="end"/>
                  </w:r>
                </w:p>
              </w:tc>
              <w:tc>
                <w:tcPr>
                  <w:tcW w:w="597" w:type="pct"/>
                  <w:tcMar>
                    <w:left w:w="28" w:type="dxa"/>
                    <w:right w:w="28" w:type="dxa"/>
                  </w:tcMar>
                  <w:vAlign w:val="center"/>
                </w:tcPr>
                <w:p w14:paraId="5EF63978">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b/>
                      <w:snapToGrid w:val="0"/>
                      <w:color w:val="auto"/>
                      <w:spacing w:val="-6"/>
                      <w:kern w:val="21"/>
                      <w:sz w:val="21"/>
                      <w:szCs w:val="21"/>
                      <w:highlight w:val="none"/>
                    </w:rPr>
                  </w:pPr>
                  <w:r>
                    <w:rPr>
                      <w:rFonts w:hint="default" w:ascii="Times New Roman" w:hAnsi="Times New Roman" w:eastAsia="宋体" w:cs="Times New Roman"/>
                      <w:b/>
                      <w:snapToGrid w:val="0"/>
                      <w:color w:val="auto"/>
                      <w:spacing w:val="-6"/>
                      <w:kern w:val="21"/>
                      <w:sz w:val="21"/>
                      <w:szCs w:val="21"/>
                      <w:highlight w:val="none"/>
                    </w:rPr>
                    <w:t>变化量</w:t>
                  </w:r>
                  <w:r>
                    <w:rPr>
                      <w:rFonts w:hint="default" w:ascii="Times New Roman" w:hAnsi="Times New Roman" w:eastAsia="宋体" w:cs="Times New Roman"/>
                      <w:b/>
                      <w:snapToGrid w:val="0"/>
                      <w:color w:val="auto"/>
                      <w:spacing w:val="-6"/>
                      <w:kern w:val="21"/>
                      <w:sz w:val="21"/>
                      <w:szCs w:val="21"/>
                      <w:highlight w:val="none"/>
                    </w:rPr>
                    <w:fldChar w:fldCharType="begin"/>
                  </w:r>
                  <w:r>
                    <w:rPr>
                      <w:rFonts w:hint="default" w:ascii="Times New Roman" w:hAnsi="Times New Roman" w:eastAsia="宋体" w:cs="Times New Roman"/>
                      <w:b/>
                      <w:snapToGrid w:val="0"/>
                      <w:color w:val="auto"/>
                      <w:spacing w:val="-6"/>
                      <w:kern w:val="21"/>
                      <w:sz w:val="21"/>
                      <w:szCs w:val="21"/>
                      <w:highlight w:val="none"/>
                    </w:rPr>
                    <w:instrText xml:space="preserve"> 7 \* GB3 \* MERGEFORMAT </w:instrText>
                  </w:r>
                  <w:r>
                    <w:rPr>
                      <w:rFonts w:hint="default" w:ascii="Times New Roman" w:hAnsi="Times New Roman" w:eastAsia="宋体" w:cs="Times New Roman"/>
                      <w:b/>
                      <w:snapToGrid w:val="0"/>
                      <w:color w:val="auto"/>
                      <w:spacing w:val="-6"/>
                      <w:kern w:val="21"/>
                      <w:sz w:val="21"/>
                      <w:szCs w:val="21"/>
                      <w:highlight w:val="none"/>
                    </w:rPr>
                    <w:fldChar w:fldCharType="separate"/>
                  </w:r>
                  <w:r>
                    <w:rPr>
                      <w:rFonts w:hint="default" w:ascii="Times New Roman" w:hAnsi="Times New Roman" w:eastAsia="宋体" w:cs="Times New Roman"/>
                      <w:b/>
                      <w:color w:val="auto"/>
                      <w:sz w:val="21"/>
                      <w:szCs w:val="21"/>
                      <w:highlight w:val="none"/>
                    </w:rPr>
                    <w:t>⑦</w:t>
                  </w:r>
                  <w:r>
                    <w:rPr>
                      <w:rFonts w:hint="default" w:ascii="Times New Roman" w:hAnsi="Times New Roman" w:eastAsia="宋体" w:cs="Times New Roman"/>
                      <w:b/>
                      <w:snapToGrid w:val="0"/>
                      <w:color w:val="auto"/>
                      <w:spacing w:val="-6"/>
                      <w:kern w:val="21"/>
                      <w:sz w:val="21"/>
                      <w:szCs w:val="21"/>
                      <w:highlight w:val="none"/>
                    </w:rPr>
                    <w:fldChar w:fldCharType="end"/>
                  </w:r>
                </w:p>
              </w:tc>
            </w:tr>
            <w:tr w14:paraId="3C6141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restart"/>
                  <w:vAlign w:val="center"/>
                </w:tcPr>
                <w:p w14:paraId="67A9F23E">
                  <w:pPr>
                    <w:keepNext/>
                    <w:keepLines w:val="0"/>
                    <w:pageBreakBefore w:val="0"/>
                    <w:widowControl/>
                    <w:kinsoku/>
                    <w:wordWrap/>
                    <w:overflowPunct/>
                    <w:topLinePunct w:val="0"/>
                    <w:autoSpaceDE/>
                    <w:autoSpaceDN/>
                    <w:bidi w:val="0"/>
                    <w:snapToGrid w:val="0"/>
                    <w:spacing w:line="320" w:lineRule="exact"/>
                    <w:jc w:val="center"/>
                    <w:textAlignment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color w:val="auto"/>
                      <w:kern w:val="0"/>
                      <w:sz w:val="21"/>
                      <w:szCs w:val="21"/>
                      <w:highlight w:val="none"/>
                      <w:lang w:bidi="ar"/>
                    </w:rPr>
                    <w:t>废气</w:t>
                  </w:r>
                </w:p>
              </w:tc>
              <w:tc>
                <w:tcPr>
                  <w:tcW w:w="771" w:type="pct"/>
                  <w:shd w:val="clear" w:color="auto" w:fill="auto"/>
                  <w:vAlign w:val="center"/>
                </w:tcPr>
                <w:p w14:paraId="7DBF2FDA">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olor w:val="auto"/>
                      <w:sz w:val="21"/>
                      <w:szCs w:val="21"/>
                      <w:highlight w:val="none"/>
                      <w:lang w:val="en-US" w:eastAsia="zh-CN"/>
                    </w:rPr>
                    <w:t>氨</w:t>
                  </w:r>
                </w:p>
              </w:tc>
              <w:tc>
                <w:tcPr>
                  <w:tcW w:w="715" w:type="pct"/>
                  <w:shd w:val="clear" w:color="auto" w:fill="auto"/>
                  <w:vAlign w:val="center"/>
                </w:tcPr>
                <w:p w14:paraId="2A9BBDA6">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olor w:val="auto"/>
                      <w:sz w:val="21"/>
                      <w:szCs w:val="21"/>
                      <w:highlight w:val="none"/>
                      <w:lang w:val="en-US" w:eastAsia="zh-CN"/>
                    </w:rPr>
                    <w:t>2.107</w:t>
                  </w:r>
                </w:p>
              </w:tc>
              <w:tc>
                <w:tcPr>
                  <w:tcW w:w="429" w:type="pct"/>
                  <w:vAlign w:val="center"/>
                </w:tcPr>
                <w:p w14:paraId="33C76219">
                  <w:pPr>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snapToGrid w:val="0"/>
                      <w:color w:val="auto"/>
                      <w:kern w:val="21"/>
                      <w:sz w:val="21"/>
                      <w:szCs w:val="21"/>
                      <w:highlight w:val="none"/>
                      <w:lang w:val="en-US" w:eastAsia="zh-CN"/>
                    </w:rPr>
                    <w:t>/</w:t>
                  </w:r>
                </w:p>
              </w:tc>
              <w:tc>
                <w:tcPr>
                  <w:tcW w:w="565" w:type="pct"/>
                  <w:shd w:val="clear" w:color="auto" w:fill="auto"/>
                  <w:vAlign w:val="center"/>
                </w:tcPr>
                <w:p w14:paraId="5B54EB74">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0.914</w:t>
                  </w:r>
                </w:p>
              </w:tc>
              <w:tc>
                <w:tcPr>
                  <w:tcW w:w="751" w:type="pct"/>
                  <w:shd w:val="clear" w:color="auto" w:fill="auto"/>
                  <w:vAlign w:val="center"/>
                </w:tcPr>
                <w:p w14:paraId="63D9B07C">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0.927</w:t>
                  </w:r>
                </w:p>
              </w:tc>
              <w:tc>
                <w:tcPr>
                  <w:tcW w:w="662" w:type="pct"/>
                  <w:shd w:val="clear" w:color="auto" w:fill="auto"/>
                  <w:vAlign w:val="center"/>
                </w:tcPr>
                <w:p w14:paraId="315472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2.094</w:t>
                  </w:r>
                </w:p>
              </w:tc>
              <w:tc>
                <w:tcPr>
                  <w:tcW w:w="597" w:type="pct"/>
                  <w:shd w:val="clear" w:color="auto" w:fill="auto"/>
                  <w:vAlign w:val="center"/>
                </w:tcPr>
                <w:p w14:paraId="0FC2B9D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-0.013</w:t>
                  </w:r>
                </w:p>
              </w:tc>
            </w:tr>
            <w:tr w14:paraId="6BE201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7A0C73C3">
                  <w:pPr>
                    <w:keepNext/>
                    <w:keepLines w:val="0"/>
                    <w:pageBreakBefore w:val="0"/>
                    <w:kinsoku/>
                    <w:wordWrap/>
                    <w:overflowPunct/>
                    <w:topLinePunct w:val="0"/>
                    <w:autoSpaceDE/>
                    <w:autoSpaceDN/>
                    <w:bidi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4AC20BCE">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olor w:val="auto"/>
                      <w:sz w:val="21"/>
                      <w:szCs w:val="21"/>
                      <w:highlight w:val="none"/>
                      <w:lang w:val="en-US" w:eastAsia="zh-CN"/>
                    </w:rPr>
                    <w:t>硫化氢</w:t>
                  </w:r>
                </w:p>
              </w:tc>
              <w:tc>
                <w:tcPr>
                  <w:tcW w:w="715" w:type="pct"/>
                  <w:shd w:val="clear" w:color="auto" w:fill="auto"/>
                  <w:vAlign w:val="center"/>
                </w:tcPr>
                <w:p w14:paraId="114BC35E">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olor w:val="auto"/>
                      <w:sz w:val="21"/>
                      <w:szCs w:val="21"/>
                      <w:highlight w:val="none"/>
                      <w:lang w:val="en-US" w:eastAsia="zh-CN"/>
                    </w:rPr>
                    <w:t>0.179</w:t>
                  </w:r>
                </w:p>
              </w:tc>
              <w:tc>
                <w:tcPr>
                  <w:tcW w:w="429" w:type="pct"/>
                  <w:vAlign w:val="center"/>
                </w:tcPr>
                <w:p w14:paraId="2292A559">
                  <w:pPr>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snapToGrid w:val="0"/>
                      <w:color w:val="auto"/>
                      <w:kern w:val="21"/>
                      <w:sz w:val="21"/>
                      <w:szCs w:val="21"/>
                      <w:highlight w:val="none"/>
                      <w:lang w:val="en-US" w:eastAsia="zh-CN"/>
                    </w:rPr>
                    <w:t>/</w:t>
                  </w:r>
                </w:p>
              </w:tc>
              <w:tc>
                <w:tcPr>
                  <w:tcW w:w="565" w:type="pct"/>
                  <w:shd w:val="clear" w:color="auto" w:fill="auto"/>
                  <w:vAlign w:val="center"/>
                </w:tcPr>
                <w:p w14:paraId="563ED99C">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0.092</w:t>
                  </w:r>
                </w:p>
              </w:tc>
              <w:tc>
                <w:tcPr>
                  <w:tcW w:w="751" w:type="pct"/>
                  <w:shd w:val="clear" w:color="auto" w:fill="auto"/>
                  <w:vAlign w:val="center"/>
                </w:tcPr>
                <w:p w14:paraId="442F1B80">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0.1221</w:t>
                  </w:r>
                </w:p>
              </w:tc>
              <w:tc>
                <w:tcPr>
                  <w:tcW w:w="662" w:type="pct"/>
                  <w:shd w:val="clear" w:color="auto" w:fill="auto"/>
                  <w:vAlign w:val="center"/>
                </w:tcPr>
                <w:p w14:paraId="5E3ED19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0.1489</w:t>
                  </w:r>
                </w:p>
              </w:tc>
              <w:tc>
                <w:tcPr>
                  <w:tcW w:w="597" w:type="pct"/>
                  <w:shd w:val="clear" w:color="auto" w:fill="auto"/>
                  <w:vAlign w:val="center"/>
                </w:tcPr>
                <w:p w14:paraId="2AFAA0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-0.0301</w:t>
                  </w:r>
                </w:p>
              </w:tc>
            </w:tr>
            <w:tr w14:paraId="6699FC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586448AF">
                  <w:pPr>
                    <w:keepNext/>
                    <w:keepLines w:val="0"/>
                    <w:pageBreakBefore w:val="0"/>
                    <w:kinsoku/>
                    <w:wordWrap/>
                    <w:overflowPunct/>
                    <w:topLinePunct w:val="0"/>
                    <w:autoSpaceDE/>
                    <w:autoSpaceDN/>
                    <w:bidi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1A455664">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olor w:val="auto"/>
                      <w:sz w:val="21"/>
                      <w:szCs w:val="21"/>
                      <w:highlight w:val="none"/>
                      <w:lang w:val="en-US" w:eastAsia="zh-CN"/>
                    </w:rPr>
                    <w:t>二氧化硫</w:t>
                  </w:r>
                </w:p>
              </w:tc>
              <w:tc>
                <w:tcPr>
                  <w:tcW w:w="715" w:type="pct"/>
                  <w:shd w:val="clear" w:color="auto" w:fill="auto"/>
                  <w:vAlign w:val="center"/>
                </w:tcPr>
                <w:p w14:paraId="710FF49F">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olor w:val="auto"/>
                      <w:sz w:val="21"/>
                      <w:szCs w:val="21"/>
                      <w:highlight w:val="none"/>
                      <w:lang w:val="en-US" w:eastAsia="zh-CN"/>
                    </w:rPr>
                    <w:t>14.311</w:t>
                  </w:r>
                </w:p>
              </w:tc>
              <w:tc>
                <w:tcPr>
                  <w:tcW w:w="429" w:type="pct"/>
                  <w:vAlign w:val="center"/>
                </w:tcPr>
                <w:p w14:paraId="0C285DBE">
                  <w:pPr>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snapToGrid w:val="0"/>
                      <w:color w:val="auto"/>
                      <w:kern w:val="21"/>
                      <w:sz w:val="21"/>
                      <w:szCs w:val="21"/>
                      <w:highlight w:val="none"/>
                      <w:lang w:val="en-US" w:eastAsia="zh-CN"/>
                    </w:rPr>
                    <w:t>/</w:t>
                  </w:r>
                </w:p>
              </w:tc>
              <w:tc>
                <w:tcPr>
                  <w:tcW w:w="565" w:type="pct"/>
                  <w:shd w:val="clear" w:color="auto" w:fill="auto"/>
                  <w:vAlign w:val="center"/>
                </w:tcPr>
                <w:p w14:paraId="523332F2">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0</w:t>
                  </w:r>
                </w:p>
              </w:tc>
              <w:tc>
                <w:tcPr>
                  <w:tcW w:w="751" w:type="pct"/>
                  <w:shd w:val="clear" w:color="auto" w:fill="auto"/>
                  <w:vAlign w:val="center"/>
                </w:tcPr>
                <w:p w14:paraId="11364E5A">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3.572</w:t>
                  </w:r>
                </w:p>
              </w:tc>
              <w:tc>
                <w:tcPr>
                  <w:tcW w:w="662" w:type="pct"/>
                  <w:shd w:val="clear" w:color="auto" w:fill="auto"/>
                  <w:vAlign w:val="center"/>
                </w:tcPr>
                <w:p w14:paraId="6B687D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10.739</w:t>
                  </w:r>
                </w:p>
              </w:tc>
              <w:tc>
                <w:tcPr>
                  <w:tcW w:w="597" w:type="pct"/>
                  <w:shd w:val="clear" w:color="auto" w:fill="auto"/>
                  <w:vAlign w:val="center"/>
                </w:tcPr>
                <w:p w14:paraId="229FC6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-3.572</w:t>
                  </w:r>
                </w:p>
              </w:tc>
            </w:tr>
            <w:tr w14:paraId="067012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3C70729B">
                  <w:pPr>
                    <w:keepNext/>
                    <w:keepLines w:val="0"/>
                    <w:pageBreakBefore w:val="0"/>
                    <w:kinsoku/>
                    <w:wordWrap/>
                    <w:overflowPunct/>
                    <w:topLinePunct w:val="0"/>
                    <w:autoSpaceDE/>
                    <w:autoSpaceDN/>
                    <w:bidi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40E98857">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olor w:val="auto"/>
                      <w:sz w:val="21"/>
                      <w:szCs w:val="21"/>
                      <w:highlight w:val="none"/>
                      <w:lang w:val="en-US" w:eastAsia="zh-CN"/>
                    </w:rPr>
                    <w:t>氮氧化物</w:t>
                  </w:r>
                </w:p>
              </w:tc>
              <w:tc>
                <w:tcPr>
                  <w:tcW w:w="715" w:type="pct"/>
                  <w:shd w:val="clear" w:color="auto" w:fill="auto"/>
                  <w:vAlign w:val="center"/>
                </w:tcPr>
                <w:p w14:paraId="5A2037E3">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olor w:val="auto"/>
                      <w:sz w:val="21"/>
                      <w:szCs w:val="21"/>
                      <w:highlight w:val="none"/>
                      <w:lang w:val="en-US" w:eastAsia="zh-CN"/>
                    </w:rPr>
                    <w:t>6.843</w:t>
                  </w:r>
                </w:p>
              </w:tc>
              <w:tc>
                <w:tcPr>
                  <w:tcW w:w="429" w:type="pct"/>
                  <w:vAlign w:val="center"/>
                </w:tcPr>
                <w:p w14:paraId="210CE7D8">
                  <w:pPr>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snapToGrid w:val="0"/>
                      <w:color w:val="auto"/>
                      <w:kern w:val="21"/>
                      <w:sz w:val="21"/>
                      <w:szCs w:val="21"/>
                      <w:highlight w:val="none"/>
                      <w:lang w:val="en-US" w:eastAsia="zh-CN"/>
                    </w:rPr>
                    <w:t>/</w:t>
                  </w:r>
                </w:p>
              </w:tc>
              <w:tc>
                <w:tcPr>
                  <w:tcW w:w="565" w:type="pct"/>
                  <w:shd w:val="clear" w:color="auto" w:fill="auto"/>
                  <w:vAlign w:val="center"/>
                </w:tcPr>
                <w:p w14:paraId="7DE7FFE7">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0</w:t>
                  </w:r>
                </w:p>
              </w:tc>
              <w:tc>
                <w:tcPr>
                  <w:tcW w:w="751" w:type="pct"/>
                  <w:shd w:val="clear" w:color="auto" w:fill="auto"/>
                  <w:vAlign w:val="center"/>
                </w:tcPr>
                <w:p w14:paraId="48513176">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4.869</w:t>
                  </w:r>
                </w:p>
              </w:tc>
              <w:tc>
                <w:tcPr>
                  <w:tcW w:w="662" w:type="pct"/>
                  <w:shd w:val="clear" w:color="auto" w:fill="auto"/>
                  <w:vAlign w:val="center"/>
                </w:tcPr>
                <w:p w14:paraId="6DE34F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1.974</w:t>
                  </w:r>
                </w:p>
              </w:tc>
              <w:tc>
                <w:tcPr>
                  <w:tcW w:w="597" w:type="pct"/>
                  <w:shd w:val="clear" w:color="auto" w:fill="auto"/>
                  <w:vAlign w:val="center"/>
                </w:tcPr>
                <w:p w14:paraId="445EDD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-4.869</w:t>
                  </w:r>
                </w:p>
              </w:tc>
            </w:tr>
            <w:tr w14:paraId="659E77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148C7E09">
                  <w:pPr>
                    <w:keepNext/>
                    <w:keepLines w:val="0"/>
                    <w:pageBreakBefore w:val="0"/>
                    <w:kinsoku/>
                    <w:wordWrap/>
                    <w:overflowPunct/>
                    <w:topLinePunct w:val="0"/>
                    <w:autoSpaceDE/>
                    <w:autoSpaceDN/>
                    <w:bidi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6CCBE5C6">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olor w:val="auto"/>
                      <w:sz w:val="21"/>
                      <w:szCs w:val="21"/>
                      <w:highlight w:val="none"/>
                      <w:lang w:val="en-US" w:eastAsia="zh-CN"/>
                    </w:rPr>
                    <w:t>颗粒物</w:t>
                  </w:r>
                </w:p>
              </w:tc>
              <w:tc>
                <w:tcPr>
                  <w:tcW w:w="715" w:type="pct"/>
                  <w:shd w:val="clear" w:color="auto" w:fill="auto"/>
                  <w:vAlign w:val="center"/>
                </w:tcPr>
                <w:p w14:paraId="653ADA35">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olor w:val="auto"/>
                      <w:sz w:val="21"/>
                      <w:szCs w:val="21"/>
                      <w:highlight w:val="none"/>
                      <w:lang w:val="en-US" w:eastAsia="zh-CN"/>
                    </w:rPr>
                    <w:t>2.1317</w:t>
                  </w:r>
                </w:p>
              </w:tc>
              <w:tc>
                <w:tcPr>
                  <w:tcW w:w="429" w:type="pct"/>
                  <w:vAlign w:val="center"/>
                </w:tcPr>
                <w:p w14:paraId="1DD21812">
                  <w:pPr>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snapToGrid w:val="0"/>
                      <w:color w:val="auto"/>
                      <w:kern w:val="21"/>
                      <w:sz w:val="21"/>
                      <w:szCs w:val="21"/>
                      <w:highlight w:val="none"/>
                      <w:lang w:val="en-US" w:eastAsia="zh-CN"/>
                    </w:rPr>
                    <w:t>/</w:t>
                  </w:r>
                </w:p>
              </w:tc>
              <w:tc>
                <w:tcPr>
                  <w:tcW w:w="565" w:type="pct"/>
                  <w:shd w:val="clear" w:color="auto" w:fill="auto"/>
                  <w:vAlign w:val="center"/>
                </w:tcPr>
                <w:p w14:paraId="277BE55C">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2.006</w:t>
                  </w:r>
                </w:p>
              </w:tc>
              <w:tc>
                <w:tcPr>
                  <w:tcW w:w="751" w:type="pct"/>
                  <w:shd w:val="clear" w:color="auto" w:fill="auto"/>
                  <w:vAlign w:val="center"/>
                </w:tcPr>
                <w:p w14:paraId="571AB610">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1.5577</w:t>
                  </w:r>
                </w:p>
              </w:tc>
              <w:tc>
                <w:tcPr>
                  <w:tcW w:w="662" w:type="pct"/>
                  <w:shd w:val="clear" w:color="auto" w:fill="auto"/>
                  <w:vAlign w:val="center"/>
                </w:tcPr>
                <w:p w14:paraId="36C774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2.58</w:t>
                  </w:r>
                </w:p>
              </w:tc>
              <w:tc>
                <w:tcPr>
                  <w:tcW w:w="597" w:type="pct"/>
                  <w:shd w:val="clear" w:color="auto" w:fill="auto"/>
                  <w:vAlign w:val="center"/>
                </w:tcPr>
                <w:p w14:paraId="1CBEFA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+0.4483</w:t>
                  </w:r>
                </w:p>
              </w:tc>
            </w:tr>
            <w:tr w14:paraId="599BF9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0B4F84B2">
                  <w:pPr>
                    <w:keepNext/>
                    <w:keepLines w:val="0"/>
                    <w:pageBreakBefore w:val="0"/>
                    <w:kinsoku/>
                    <w:wordWrap/>
                    <w:overflowPunct/>
                    <w:topLinePunct w:val="0"/>
                    <w:autoSpaceDE/>
                    <w:autoSpaceDN/>
                    <w:bidi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04A257B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油烟kg/a</w:t>
                  </w:r>
                </w:p>
              </w:tc>
              <w:tc>
                <w:tcPr>
                  <w:tcW w:w="715" w:type="pct"/>
                  <w:shd w:val="clear" w:color="auto" w:fill="auto"/>
                  <w:vAlign w:val="center"/>
                </w:tcPr>
                <w:p w14:paraId="630CB48A">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1.7982</w:t>
                  </w:r>
                </w:p>
              </w:tc>
              <w:tc>
                <w:tcPr>
                  <w:tcW w:w="429" w:type="pct"/>
                  <w:vAlign w:val="center"/>
                </w:tcPr>
                <w:p w14:paraId="79770BE3">
                  <w:pPr>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snapToGrid w:val="0"/>
                      <w:color w:val="auto"/>
                      <w:kern w:val="21"/>
                      <w:sz w:val="21"/>
                      <w:szCs w:val="21"/>
                      <w:highlight w:val="none"/>
                      <w:lang w:val="en-US" w:eastAsia="zh-CN"/>
                    </w:rPr>
                    <w:t>/</w:t>
                  </w:r>
                </w:p>
              </w:tc>
              <w:tc>
                <w:tcPr>
                  <w:tcW w:w="565" w:type="pct"/>
                  <w:shd w:val="clear" w:color="auto" w:fill="auto"/>
                  <w:vAlign w:val="center"/>
                </w:tcPr>
                <w:p w14:paraId="6D5DDDC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ascii="Times New Roman" w:hAnsi="Times New Roman" w:cs="Times New Roman" w:eastAsiaTheme="minorEastAsia"/>
                      <w:snapToGrid w:val="0"/>
                      <w:color w:val="auto"/>
                      <w:kern w:val="21"/>
                      <w:sz w:val="21"/>
                      <w:szCs w:val="21"/>
                      <w:highlight w:val="none"/>
                      <w:lang w:val="en-US" w:eastAsia="zh-CN"/>
                    </w:rPr>
                    <w:t>0</w:t>
                  </w:r>
                </w:p>
              </w:tc>
              <w:tc>
                <w:tcPr>
                  <w:tcW w:w="751" w:type="pct"/>
                  <w:shd w:val="clear" w:color="auto" w:fill="auto"/>
                  <w:vAlign w:val="center"/>
                </w:tcPr>
                <w:p w14:paraId="4512D5D8">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ascii="Times New Roman" w:hAnsi="Times New Roman" w:cs="Times New Roman" w:eastAsiaTheme="minorEastAsia"/>
                      <w:snapToGrid w:val="0"/>
                      <w:color w:val="auto"/>
                      <w:kern w:val="21"/>
                      <w:sz w:val="21"/>
                      <w:szCs w:val="21"/>
                      <w:highlight w:val="none"/>
                      <w:lang w:val="en-US" w:eastAsia="zh-CN"/>
                    </w:rPr>
                    <w:t>0</w:t>
                  </w:r>
                </w:p>
              </w:tc>
              <w:tc>
                <w:tcPr>
                  <w:tcW w:w="662" w:type="pct"/>
                  <w:shd w:val="clear" w:color="auto" w:fill="auto"/>
                  <w:vAlign w:val="center"/>
                </w:tcPr>
                <w:p w14:paraId="7EA28752">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ascii="Times New Roman" w:hAnsi="Times New Roman" w:cs="Times New Roman" w:eastAsiaTheme="minorEastAsia"/>
                      <w:snapToGrid w:val="0"/>
                      <w:color w:val="auto"/>
                      <w:kern w:val="21"/>
                      <w:sz w:val="21"/>
                      <w:szCs w:val="21"/>
                      <w:highlight w:val="none"/>
                      <w:lang w:val="en-US" w:eastAsia="zh-CN"/>
                    </w:rPr>
                    <w:t>1.7982</w:t>
                  </w:r>
                </w:p>
              </w:tc>
              <w:tc>
                <w:tcPr>
                  <w:tcW w:w="597" w:type="pct"/>
                  <w:shd w:val="clear" w:color="auto" w:fill="auto"/>
                  <w:vAlign w:val="center"/>
                </w:tcPr>
                <w:p w14:paraId="3C2E5C69">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ascii="Times New Roman" w:hAnsi="Times New Roman" w:cs="Times New Roman" w:eastAsiaTheme="minorEastAsia"/>
                      <w:snapToGrid w:val="0"/>
                      <w:color w:val="auto"/>
                      <w:kern w:val="21"/>
                      <w:sz w:val="21"/>
                      <w:szCs w:val="21"/>
                      <w:highlight w:val="none"/>
                      <w:lang w:val="en-US" w:eastAsia="zh-CN"/>
                    </w:rPr>
                    <w:t>0</w:t>
                  </w:r>
                </w:p>
              </w:tc>
            </w:tr>
            <w:tr w14:paraId="10DCDD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restart"/>
                  <w:vAlign w:val="center"/>
                </w:tcPr>
                <w:p w14:paraId="4FB78138">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废水</w:t>
                  </w:r>
                </w:p>
              </w:tc>
              <w:tc>
                <w:tcPr>
                  <w:tcW w:w="771" w:type="pct"/>
                  <w:shd w:val="clear" w:color="auto" w:fill="auto"/>
                  <w:vAlign w:val="center"/>
                </w:tcPr>
                <w:p w14:paraId="4DE52C6A">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废水量</w:t>
                  </w:r>
                </w:p>
              </w:tc>
              <w:tc>
                <w:tcPr>
                  <w:tcW w:w="715" w:type="pct"/>
                  <w:shd w:val="clear" w:color="auto" w:fill="auto"/>
                  <w:vAlign w:val="center"/>
                </w:tcPr>
                <w:p w14:paraId="6BE5CE00">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snapToGrid w:val="0"/>
                      <w:color w:val="auto"/>
                      <w:kern w:val="21"/>
                      <w:sz w:val="21"/>
                      <w:szCs w:val="21"/>
                      <w:highlight w:val="none"/>
                    </w:rPr>
                    <w:t>237486.276</w:t>
                  </w:r>
                </w:p>
              </w:tc>
              <w:tc>
                <w:tcPr>
                  <w:tcW w:w="429" w:type="pct"/>
                  <w:vAlign w:val="center"/>
                </w:tcPr>
                <w:p w14:paraId="6A1CBAA0">
                  <w:pPr>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snapToGrid w:val="0"/>
                      <w:color w:val="auto"/>
                      <w:kern w:val="21"/>
                      <w:sz w:val="21"/>
                      <w:szCs w:val="21"/>
                      <w:highlight w:val="none"/>
                      <w:lang w:val="en-US" w:eastAsia="zh-CN"/>
                    </w:rPr>
                    <w:t>/</w:t>
                  </w:r>
                </w:p>
              </w:tc>
              <w:tc>
                <w:tcPr>
                  <w:tcW w:w="565" w:type="pct"/>
                  <w:shd w:val="clear" w:color="auto" w:fill="auto"/>
                  <w:vAlign w:val="center"/>
                </w:tcPr>
                <w:p w14:paraId="4033C7C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ascii="Times New Roman" w:hAnsi="Times New Roman" w:cs="Times New Roman" w:eastAsiaTheme="minorEastAsia"/>
                      <w:snapToGrid w:val="0"/>
                      <w:color w:val="auto"/>
                      <w:kern w:val="21"/>
                      <w:sz w:val="21"/>
                      <w:szCs w:val="21"/>
                      <w:highlight w:val="none"/>
                      <w:lang w:val="en-US" w:eastAsia="zh-CN"/>
                    </w:rPr>
                    <w:t>6492.83</w:t>
                  </w:r>
                </w:p>
              </w:tc>
              <w:tc>
                <w:tcPr>
                  <w:tcW w:w="751" w:type="pct"/>
                  <w:shd w:val="clear" w:color="auto" w:fill="auto"/>
                  <w:vAlign w:val="center"/>
                </w:tcPr>
                <w:p w14:paraId="1D852A0A">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ascii="Times New Roman" w:hAnsi="Times New Roman" w:cs="Times New Roman" w:eastAsiaTheme="minorEastAsia"/>
                      <w:snapToGrid w:val="0"/>
                      <w:color w:val="auto"/>
                      <w:kern w:val="21"/>
                      <w:sz w:val="21"/>
                      <w:szCs w:val="21"/>
                      <w:highlight w:val="none"/>
                      <w:lang w:val="en-US" w:eastAsia="zh-CN"/>
                    </w:rPr>
                    <w:t>14285.7</w:t>
                  </w:r>
                </w:p>
              </w:tc>
              <w:tc>
                <w:tcPr>
                  <w:tcW w:w="662" w:type="pct"/>
                  <w:shd w:val="clear" w:color="auto" w:fill="auto"/>
                  <w:vAlign w:val="center"/>
                </w:tcPr>
                <w:p w14:paraId="18AA934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ascii="Times New Roman" w:hAnsi="Times New Roman" w:cs="Times New Roman" w:eastAsiaTheme="minorEastAsia"/>
                      <w:snapToGrid w:val="0"/>
                      <w:color w:val="auto"/>
                      <w:kern w:val="21"/>
                      <w:sz w:val="21"/>
                      <w:szCs w:val="21"/>
                      <w:highlight w:val="none"/>
                      <w:lang w:val="en-US" w:eastAsia="zh-CN"/>
                    </w:rPr>
                    <w:t>229693.41</w:t>
                  </w:r>
                </w:p>
              </w:tc>
              <w:tc>
                <w:tcPr>
                  <w:tcW w:w="597" w:type="pct"/>
                  <w:shd w:val="clear" w:color="auto" w:fill="auto"/>
                  <w:vAlign w:val="center"/>
                </w:tcPr>
                <w:p w14:paraId="62E1F0B9">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w:t>
                  </w:r>
                  <w:r>
                    <w:rPr>
                      <w:rFonts w:hint="eastAsia" w:ascii="Times New Roman" w:hAnsi="Times New Roman" w:cs="Times New Roman" w:eastAsiaTheme="minorEastAsia"/>
                      <w:snapToGrid w:val="0"/>
                      <w:color w:val="auto"/>
                      <w:kern w:val="21"/>
                      <w:sz w:val="21"/>
                      <w:szCs w:val="21"/>
                      <w:highlight w:val="none"/>
                      <w:lang w:val="en-US" w:eastAsia="zh-CN"/>
                    </w:rPr>
                    <w:t>14285.7</w:t>
                  </w:r>
                </w:p>
              </w:tc>
            </w:tr>
            <w:tr w14:paraId="484EF8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23AF5B05">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1943961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COD</w:t>
                  </w:r>
                </w:p>
              </w:tc>
              <w:tc>
                <w:tcPr>
                  <w:tcW w:w="715" w:type="pct"/>
                  <w:shd w:val="clear" w:color="auto" w:fill="auto"/>
                  <w:vAlign w:val="center"/>
                </w:tcPr>
                <w:p w14:paraId="50E126C6">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40.14</w:t>
                  </w:r>
                </w:p>
              </w:tc>
              <w:tc>
                <w:tcPr>
                  <w:tcW w:w="429" w:type="pct"/>
                  <w:vAlign w:val="center"/>
                </w:tcPr>
                <w:p w14:paraId="68996BE5">
                  <w:pPr>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65" w:type="pct"/>
                  <w:shd w:val="clear" w:color="auto" w:fill="auto"/>
                  <w:vAlign w:val="center"/>
                </w:tcPr>
                <w:p w14:paraId="369BF458">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0.818</w:t>
                  </w:r>
                </w:p>
              </w:tc>
              <w:tc>
                <w:tcPr>
                  <w:tcW w:w="751" w:type="pct"/>
                  <w:shd w:val="clear" w:color="auto" w:fill="auto"/>
                  <w:vAlign w:val="center"/>
                </w:tcPr>
                <w:p w14:paraId="17F9A7B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2.414</w:t>
                  </w:r>
                </w:p>
              </w:tc>
              <w:tc>
                <w:tcPr>
                  <w:tcW w:w="662" w:type="pct"/>
                  <w:shd w:val="clear" w:color="auto" w:fill="auto"/>
                  <w:vAlign w:val="center"/>
                </w:tcPr>
                <w:p w14:paraId="5FA4DA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38.544</w:t>
                  </w:r>
                </w:p>
              </w:tc>
              <w:tc>
                <w:tcPr>
                  <w:tcW w:w="597" w:type="pct"/>
                  <w:shd w:val="clear" w:color="auto" w:fill="auto"/>
                  <w:vAlign w:val="center"/>
                </w:tcPr>
                <w:p w14:paraId="52595642">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w:t>
                  </w:r>
                  <w:r>
                    <w:rPr>
                      <w:rFonts w:hint="eastAsia" w:ascii="Times New Roman" w:hAnsi="Times New Roman" w:cs="Times New Roman" w:eastAsiaTheme="minorEastAsia"/>
                      <w:color w:val="auto"/>
                      <w:kern w:val="0"/>
                      <w:sz w:val="21"/>
                      <w:szCs w:val="21"/>
                      <w:highlight w:val="none"/>
                      <w:lang w:val="en-US" w:eastAsia="zh-CN" w:bidi="ar"/>
                    </w:rPr>
                    <w:t>2.414</w:t>
                  </w:r>
                </w:p>
              </w:tc>
            </w:tr>
            <w:tr w14:paraId="12D396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189558CF">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347CB638">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BOD</w:t>
                  </w:r>
                  <w:r>
                    <w:rPr>
                      <w:rFonts w:hint="default" w:ascii="Times New Roman" w:hAnsi="Times New Roman" w:cs="Times New Roman" w:eastAsiaTheme="minorEastAsia"/>
                      <w:color w:val="auto"/>
                      <w:kern w:val="0"/>
                      <w:sz w:val="21"/>
                      <w:szCs w:val="21"/>
                      <w:highlight w:val="none"/>
                      <w:vertAlign w:val="subscript"/>
                      <w:lang w:bidi="ar"/>
                    </w:rPr>
                    <w:t>5</w:t>
                  </w:r>
                </w:p>
              </w:tc>
              <w:tc>
                <w:tcPr>
                  <w:tcW w:w="715" w:type="pct"/>
                  <w:shd w:val="clear" w:color="auto" w:fill="auto"/>
                  <w:vAlign w:val="center"/>
                </w:tcPr>
                <w:p w14:paraId="2F6764F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14.843</w:t>
                  </w:r>
                </w:p>
              </w:tc>
              <w:tc>
                <w:tcPr>
                  <w:tcW w:w="429" w:type="pct"/>
                  <w:vAlign w:val="center"/>
                </w:tcPr>
                <w:p w14:paraId="2C98999E">
                  <w:pPr>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65" w:type="pct"/>
                  <w:shd w:val="clear" w:color="auto" w:fill="auto"/>
                  <w:vAlign w:val="center"/>
                </w:tcPr>
                <w:p w14:paraId="33D4683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0.390</w:t>
                  </w:r>
                </w:p>
              </w:tc>
              <w:tc>
                <w:tcPr>
                  <w:tcW w:w="751" w:type="pct"/>
                  <w:shd w:val="clear" w:color="auto" w:fill="auto"/>
                  <w:vAlign w:val="center"/>
                </w:tcPr>
                <w:p w14:paraId="76AFE850">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0.893</w:t>
                  </w:r>
                </w:p>
              </w:tc>
              <w:tc>
                <w:tcPr>
                  <w:tcW w:w="662" w:type="pct"/>
                  <w:shd w:val="clear" w:color="auto" w:fill="auto"/>
                  <w:vAlign w:val="center"/>
                </w:tcPr>
                <w:p w14:paraId="557044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14.34</w:t>
                  </w:r>
                </w:p>
              </w:tc>
              <w:tc>
                <w:tcPr>
                  <w:tcW w:w="597" w:type="pct"/>
                  <w:shd w:val="clear" w:color="auto" w:fill="auto"/>
                  <w:vAlign w:val="center"/>
                </w:tcPr>
                <w:p w14:paraId="4EFE74C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w:t>
                  </w:r>
                  <w:r>
                    <w:rPr>
                      <w:rFonts w:hint="eastAsia" w:ascii="Times New Roman" w:hAnsi="Times New Roman" w:cs="Times New Roman" w:eastAsiaTheme="minorEastAsia"/>
                      <w:color w:val="auto"/>
                      <w:kern w:val="0"/>
                      <w:sz w:val="21"/>
                      <w:szCs w:val="21"/>
                      <w:highlight w:val="none"/>
                      <w:lang w:val="en-US" w:eastAsia="zh-CN" w:bidi="ar"/>
                    </w:rPr>
                    <w:t>0.893</w:t>
                  </w:r>
                </w:p>
              </w:tc>
            </w:tr>
            <w:tr w14:paraId="61DCFE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5A4043B2">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6E71F62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SS</w:t>
                  </w:r>
                </w:p>
              </w:tc>
              <w:tc>
                <w:tcPr>
                  <w:tcW w:w="715" w:type="pct"/>
                  <w:shd w:val="clear" w:color="auto" w:fill="auto"/>
                  <w:vAlign w:val="center"/>
                </w:tcPr>
                <w:p w14:paraId="24FD24FD">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8.787</w:t>
                  </w:r>
                </w:p>
              </w:tc>
              <w:tc>
                <w:tcPr>
                  <w:tcW w:w="429" w:type="pct"/>
                  <w:vAlign w:val="center"/>
                </w:tcPr>
                <w:p w14:paraId="1E80CA44">
                  <w:pPr>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65" w:type="pct"/>
                  <w:shd w:val="clear" w:color="auto" w:fill="auto"/>
                  <w:vAlign w:val="center"/>
                </w:tcPr>
                <w:p w14:paraId="17043E4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0.208</w:t>
                  </w:r>
                </w:p>
              </w:tc>
              <w:tc>
                <w:tcPr>
                  <w:tcW w:w="751" w:type="pct"/>
                  <w:shd w:val="clear" w:color="auto" w:fill="auto"/>
                  <w:vAlign w:val="center"/>
                </w:tcPr>
                <w:p w14:paraId="18D70DD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0.529</w:t>
                  </w:r>
                </w:p>
              </w:tc>
              <w:tc>
                <w:tcPr>
                  <w:tcW w:w="662" w:type="pct"/>
                  <w:shd w:val="clear" w:color="auto" w:fill="auto"/>
                  <w:vAlign w:val="center"/>
                </w:tcPr>
                <w:p w14:paraId="0D3B44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8.466</w:t>
                  </w:r>
                </w:p>
              </w:tc>
              <w:tc>
                <w:tcPr>
                  <w:tcW w:w="597" w:type="pct"/>
                  <w:shd w:val="clear" w:color="auto" w:fill="auto"/>
                  <w:vAlign w:val="center"/>
                </w:tcPr>
                <w:p w14:paraId="35ADA699">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w:t>
                  </w:r>
                  <w:r>
                    <w:rPr>
                      <w:rFonts w:hint="eastAsia" w:ascii="Times New Roman" w:hAnsi="Times New Roman" w:cs="Times New Roman" w:eastAsiaTheme="minorEastAsia"/>
                      <w:color w:val="auto"/>
                      <w:kern w:val="0"/>
                      <w:sz w:val="21"/>
                      <w:szCs w:val="21"/>
                      <w:highlight w:val="none"/>
                      <w:lang w:val="en-US" w:eastAsia="zh-CN" w:bidi="ar"/>
                    </w:rPr>
                    <w:t>0.529</w:t>
                  </w:r>
                </w:p>
              </w:tc>
            </w:tr>
            <w:tr w14:paraId="7F8BBF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761089FF">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738AE090">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NH</w:t>
                  </w:r>
                  <w:r>
                    <w:rPr>
                      <w:rFonts w:hint="default" w:ascii="Times New Roman" w:hAnsi="Times New Roman" w:cs="Times New Roman" w:eastAsiaTheme="minorEastAsia"/>
                      <w:color w:val="auto"/>
                      <w:kern w:val="0"/>
                      <w:sz w:val="21"/>
                      <w:szCs w:val="21"/>
                      <w:highlight w:val="none"/>
                      <w:vertAlign w:val="subscript"/>
                      <w:lang w:bidi="ar"/>
                    </w:rPr>
                    <w:t>3</w:t>
                  </w:r>
                  <w:r>
                    <w:rPr>
                      <w:rFonts w:hint="default" w:ascii="Times New Roman" w:hAnsi="Times New Roman" w:cs="Times New Roman" w:eastAsiaTheme="minorEastAsia"/>
                      <w:color w:val="auto"/>
                      <w:kern w:val="0"/>
                      <w:sz w:val="21"/>
                      <w:szCs w:val="21"/>
                      <w:highlight w:val="none"/>
                      <w:lang w:bidi="ar"/>
                    </w:rPr>
                    <w:t>-N</w:t>
                  </w:r>
                </w:p>
              </w:tc>
              <w:tc>
                <w:tcPr>
                  <w:tcW w:w="715" w:type="pct"/>
                  <w:shd w:val="clear" w:color="auto" w:fill="auto"/>
                  <w:vAlign w:val="center"/>
                </w:tcPr>
                <w:p w14:paraId="31D5E7E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2.921</w:t>
                  </w:r>
                </w:p>
              </w:tc>
              <w:tc>
                <w:tcPr>
                  <w:tcW w:w="429" w:type="pct"/>
                  <w:vAlign w:val="center"/>
                </w:tcPr>
                <w:p w14:paraId="762F536C">
                  <w:pPr>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65" w:type="pct"/>
                  <w:shd w:val="clear" w:color="auto" w:fill="auto"/>
                  <w:vAlign w:val="center"/>
                </w:tcPr>
                <w:p w14:paraId="735FEA2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0.169</w:t>
                  </w:r>
                </w:p>
              </w:tc>
              <w:tc>
                <w:tcPr>
                  <w:tcW w:w="751" w:type="pct"/>
                  <w:shd w:val="clear" w:color="auto" w:fill="auto"/>
                  <w:vAlign w:val="center"/>
                </w:tcPr>
                <w:p w14:paraId="41A6C46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0.176</w:t>
                  </w:r>
                </w:p>
              </w:tc>
              <w:tc>
                <w:tcPr>
                  <w:tcW w:w="662" w:type="pct"/>
                  <w:shd w:val="clear" w:color="auto" w:fill="auto"/>
                  <w:vAlign w:val="center"/>
                </w:tcPr>
                <w:p w14:paraId="35CA06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2.914</w:t>
                  </w:r>
                </w:p>
              </w:tc>
              <w:tc>
                <w:tcPr>
                  <w:tcW w:w="597" w:type="pct"/>
                  <w:shd w:val="clear" w:color="auto" w:fill="auto"/>
                  <w:vAlign w:val="center"/>
                </w:tcPr>
                <w:p w14:paraId="225DB23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w:t>
                  </w:r>
                  <w:r>
                    <w:rPr>
                      <w:rFonts w:hint="eastAsia" w:ascii="Times New Roman" w:hAnsi="Times New Roman" w:cs="Times New Roman" w:eastAsiaTheme="minorEastAsia"/>
                      <w:color w:val="auto"/>
                      <w:kern w:val="0"/>
                      <w:sz w:val="21"/>
                      <w:szCs w:val="21"/>
                      <w:highlight w:val="none"/>
                      <w:lang w:val="en-US" w:eastAsia="zh-CN" w:bidi="ar"/>
                    </w:rPr>
                    <w:t>0.176</w:t>
                  </w:r>
                </w:p>
              </w:tc>
            </w:tr>
            <w:tr w14:paraId="779205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2F4AF08C">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68FAFE1A">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bidi="ar"/>
                    </w:rPr>
                    <w:t>TP</w:t>
                  </w:r>
                </w:p>
              </w:tc>
              <w:tc>
                <w:tcPr>
                  <w:tcW w:w="715" w:type="pct"/>
                  <w:shd w:val="clear" w:color="auto" w:fill="auto"/>
                  <w:vAlign w:val="center"/>
                </w:tcPr>
                <w:p w14:paraId="7FF32414">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1.696</w:t>
                  </w:r>
                </w:p>
              </w:tc>
              <w:tc>
                <w:tcPr>
                  <w:tcW w:w="429" w:type="pct"/>
                  <w:vAlign w:val="center"/>
                </w:tcPr>
                <w:p w14:paraId="2DBBFE0A">
                  <w:pPr>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65" w:type="pct"/>
                  <w:shd w:val="clear" w:color="auto" w:fill="auto"/>
                  <w:vAlign w:val="center"/>
                </w:tcPr>
                <w:p w14:paraId="44C0013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0.066</w:t>
                  </w:r>
                </w:p>
              </w:tc>
              <w:tc>
                <w:tcPr>
                  <w:tcW w:w="751" w:type="pct"/>
                  <w:shd w:val="clear" w:color="auto" w:fill="auto"/>
                  <w:vAlign w:val="center"/>
                </w:tcPr>
                <w:p w14:paraId="14FC2CD9">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0.102</w:t>
                  </w:r>
                </w:p>
              </w:tc>
              <w:tc>
                <w:tcPr>
                  <w:tcW w:w="662" w:type="pct"/>
                  <w:shd w:val="clear" w:color="auto" w:fill="auto"/>
                  <w:vAlign w:val="center"/>
                </w:tcPr>
                <w:p w14:paraId="295130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1.66</w:t>
                  </w:r>
                </w:p>
              </w:tc>
              <w:tc>
                <w:tcPr>
                  <w:tcW w:w="597" w:type="pct"/>
                  <w:shd w:val="clear" w:color="auto" w:fill="auto"/>
                  <w:vAlign w:val="center"/>
                </w:tcPr>
                <w:p w14:paraId="2AB8333A">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w:t>
                  </w:r>
                  <w:r>
                    <w:rPr>
                      <w:rFonts w:hint="eastAsia" w:ascii="Times New Roman" w:hAnsi="Times New Roman" w:cs="Times New Roman" w:eastAsiaTheme="minorEastAsia"/>
                      <w:color w:val="auto"/>
                      <w:kern w:val="0"/>
                      <w:sz w:val="21"/>
                      <w:szCs w:val="21"/>
                      <w:highlight w:val="none"/>
                      <w:lang w:val="en-US" w:eastAsia="zh-CN" w:bidi="ar"/>
                    </w:rPr>
                    <w:t>0.102</w:t>
                  </w:r>
                </w:p>
              </w:tc>
            </w:tr>
            <w:tr w14:paraId="6292E8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37F15E66">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41BF35B6">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bidi="ar"/>
                    </w:rPr>
                    <w:t>TN</w:t>
                  </w:r>
                </w:p>
              </w:tc>
              <w:tc>
                <w:tcPr>
                  <w:tcW w:w="715" w:type="pct"/>
                  <w:shd w:val="clear" w:color="auto" w:fill="auto"/>
                  <w:vAlign w:val="center"/>
                </w:tcPr>
                <w:p w14:paraId="5F7C6BF8">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5.842</w:t>
                  </w:r>
                </w:p>
              </w:tc>
              <w:tc>
                <w:tcPr>
                  <w:tcW w:w="429" w:type="pct"/>
                  <w:vAlign w:val="center"/>
                </w:tcPr>
                <w:p w14:paraId="4346F5AA">
                  <w:pPr>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65" w:type="pct"/>
                  <w:shd w:val="clear" w:color="auto" w:fill="auto"/>
                  <w:vAlign w:val="center"/>
                </w:tcPr>
                <w:p w14:paraId="2A1B9632">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0.234</w:t>
                  </w:r>
                </w:p>
              </w:tc>
              <w:tc>
                <w:tcPr>
                  <w:tcW w:w="751" w:type="pct"/>
                  <w:shd w:val="clear" w:color="auto" w:fill="auto"/>
                  <w:vAlign w:val="center"/>
                </w:tcPr>
                <w:p w14:paraId="7F5DB4F5">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0.351</w:t>
                  </w:r>
                </w:p>
              </w:tc>
              <w:tc>
                <w:tcPr>
                  <w:tcW w:w="662" w:type="pct"/>
                  <w:shd w:val="clear" w:color="auto" w:fill="auto"/>
                  <w:vAlign w:val="center"/>
                </w:tcPr>
                <w:p w14:paraId="48F40F1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5.725</w:t>
                  </w:r>
                </w:p>
              </w:tc>
              <w:tc>
                <w:tcPr>
                  <w:tcW w:w="597" w:type="pct"/>
                  <w:shd w:val="clear" w:color="auto" w:fill="auto"/>
                  <w:vAlign w:val="center"/>
                </w:tcPr>
                <w:p w14:paraId="55F2E6F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w:t>
                  </w:r>
                  <w:r>
                    <w:rPr>
                      <w:rFonts w:hint="eastAsia" w:ascii="Times New Roman" w:hAnsi="Times New Roman" w:cs="Times New Roman" w:eastAsiaTheme="minorEastAsia"/>
                      <w:color w:val="auto"/>
                      <w:kern w:val="0"/>
                      <w:sz w:val="21"/>
                      <w:szCs w:val="21"/>
                      <w:highlight w:val="none"/>
                      <w:lang w:val="en-US" w:eastAsia="zh-CN" w:bidi="ar"/>
                    </w:rPr>
                    <w:t>0.351</w:t>
                  </w:r>
                </w:p>
              </w:tc>
            </w:tr>
            <w:tr w14:paraId="4D9CDD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restart"/>
                  <w:vAlign w:val="center"/>
                </w:tcPr>
                <w:p w14:paraId="3134DE65">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一般工业固体废物</w:t>
                  </w:r>
                </w:p>
              </w:tc>
              <w:tc>
                <w:tcPr>
                  <w:tcW w:w="771" w:type="pct"/>
                  <w:shd w:val="clear" w:color="auto" w:fill="auto"/>
                  <w:vAlign w:val="center"/>
                </w:tcPr>
                <w:p w14:paraId="54449199">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生活垃圾</w:t>
                  </w:r>
                </w:p>
              </w:tc>
              <w:tc>
                <w:tcPr>
                  <w:tcW w:w="715" w:type="pct"/>
                  <w:shd w:val="clear" w:color="auto" w:fill="auto"/>
                  <w:vAlign w:val="center"/>
                </w:tcPr>
                <w:p w14:paraId="65926A4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6.670</w:t>
                  </w:r>
                </w:p>
              </w:tc>
              <w:tc>
                <w:tcPr>
                  <w:tcW w:w="429" w:type="pct"/>
                  <w:vAlign w:val="center"/>
                </w:tcPr>
                <w:p w14:paraId="3D05165E">
                  <w:pPr>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snapToGrid w:val="0"/>
                      <w:color w:val="auto"/>
                      <w:kern w:val="21"/>
                      <w:sz w:val="21"/>
                      <w:szCs w:val="21"/>
                      <w:highlight w:val="none"/>
                      <w:lang w:val="en-US" w:eastAsia="zh-CN"/>
                    </w:rPr>
                    <w:t>/</w:t>
                  </w:r>
                </w:p>
              </w:tc>
              <w:tc>
                <w:tcPr>
                  <w:tcW w:w="565" w:type="pct"/>
                  <w:shd w:val="clear" w:color="auto" w:fill="auto"/>
                  <w:vAlign w:val="center"/>
                </w:tcPr>
                <w:p w14:paraId="04C3965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1"/>
                      <w:sz w:val="21"/>
                      <w:szCs w:val="21"/>
                      <w:highlight w:val="none"/>
                      <w:lang w:val="en-US" w:eastAsia="zh-CN" w:bidi="ar-SA"/>
                    </w:rPr>
                  </w:pPr>
                  <w:r>
                    <w:rPr>
                      <w:rFonts w:hint="eastAsia" w:cs="Times New Roman" w:eastAsiaTheme="minorEastAsia"/>
                      <w:color w:val="auto"/>
                      <w:kern w:val="1"/>
                      <w:sz w:val="21"/>
                      <w:szCs w:val="21"/>
                      <w:highlight w:val="none"/>
                      <w:lang w:val="en-US" w:eastAsia="zh-CN"/>
                    </w:rPr>
                    <w:t>0</w:t>
                  </w:r>
                </w:p>
              </w:tc>
              <w:tc>
                <w:tcPr>
                  <w:tcW w:w="751" w:type="pct"/>
                  <w:shd w:val="clear" w:color="auto" w:fill="auto"/>
                  <w:vAlign w:val="center"/>
                </w:tcPr>
                <w:p w14:paraId="5E6B3C0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0</w:t>
                  </w:r>
                </w:p>
              </w:tc>
              <w:tc>
                <w:tcPr>
                  <w:tcW w:w="662" w:type="pct"/>
                  <w:shd w:val="clear" w:color="auto" w:fill="auto"/>
                  <w:vAlign w:val="center"/>
                </w:tcPr>
                <w:p w14:paraId="52EBC49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1"/>
                      <w:sz w:val="21"/>
                      <w:szCs w:val="21"/>
                      <w:highlight w:val="none"/>
                      <w:lang w:val="en-US" w:eastAsia="zh-CN" w:bidi="ar-SA"/>
                    </w:rPr>
                  </w:pPr>
                  <w:r>
                    <w:rPr>
                      <w:rFonts w:hint="eastAsia" w:cs="Times New Roman" w:eastAsiaTheme="minorEastAsia"/>
                      <w:color w:val="auto"/>
                      <w:kern w:val="1"/>
                      <w:sz w:val="21"/>
                      <w:szCs w:val="21"/>
                      <w:highlight w:val="none"/>
                      <w:lang w:val="en-US" w:eastAsia="zh-CN"/>
                    </w:rPr>
                    <w:t>6.67</w:t>
                  </w:r>
                </w:p>
              </w:tc>
              <w:tc>
                <w:tcPr>
                  <w:tcW w:w="597" w:type="pct"/>
                  <w:shd w:val="clear" w:color="auto" w:fill="auto"/>
                  <w:vAlign w:val="center"/>
                </w:tcPr>
                <w:p w14:paraId="39E2D1F1">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1"/>
                      <w:sz w:val="21"/>
                      <w:szCs w:val="21"/>
                      <w:highlight w:val="none"/>
                      <w:lang w:val="en-US" w:eastAsia="zh-CN" w:bidi="ar-SA"/>
                    </w:rPr>
                  </w:pPr>
                  <w:r>
                    <w:rPr>
                      <w:rFonts w:hint="eastAsia" w:cs="Times New Roman" w:eastAsiaTheme="minorEastAsia"/>
                      <w:color w:val="auto"/>
                      <w:kern w:val="1"/>
                      <w:sz w:val="21"/>
                      <w:szCs w:val="21"/>
                      <w:highlight w:val="none"/>
                      <w:lang w:val="en-US" w:eastAsia="zh-CN"/>
                    </w:rPr>
                    <w:t>0</w:t>
                  </w:r>
                </w:p>
              </w:tc>
            </w:tr>
            <w:tr w14:paraId="6E1D79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15EFEDA4">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307C793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厨房废水隔油器废油</w:t>
                  </w:r>
                </w:p>
              </w:tc>
              <w:tc>
                <w:tcPr>
                  <w:tcW w:w="715" w:type="pct"/>
                  <w:shd w:val="clear" w:color="auto" w:fill="auto"/>
                  <w:vAlign w:val="center"/>
                </w:tcPr>
                <w:p w14:paraId="32439F4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0.030</w:t>
                  </w:r>
                </w:p>
              </w:tc>
              <w:tc>
                <w:tcPr>
                  <w:tcW w:w="429" w:type="pct"/>
                  <w:vAlign w:val="center"/>
                </w:tcPr>
                <w:p w14:paraId="67434920">
                  <w:pPr>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eastAsia="宋体" w:cs="Times New Roman"/>
                      <w:snapToGrid w:val="0"/>
                      <w:color w:val="auto"/>
                      <w:kern w:val="21"/>
                      <w:sz w:val="21"/>
                      <w:szCs w:val="21"/>
                      <w:highlight w:val="none"/>
                      <w:lang w:val="en-US" w:eastAsia="zh-CN"/>
                    </w:rPr>
                  </w:pPr>
                  <w:r>
                    <w:rPr>
                      <w:rFonts w:hint="eastAsia" w:ascii="Times New Roman" w:hAnsi="Times New Roman" w:eastAsia="宋体" w:cs="Times New Roman"/>
                      <w:snapToGrid w:val="0"/>
                      <w:color w:val="auto"/>
                      <w:kern w:val="21"/>
                      <w:sz w:val="21"/>
                      <w:szCs w:val="21"/>
                      <w:highlight w:val="none"/>
                      <w:lang w:val="en-US" w:eastAsia="zh-CN"/>
                    </w:rPr>
                    <w:t>/</w:t>
                  </w:r>
                </w:p>
              </w:tc>
              <w:tc>
                <w:tcPr>
                  <w:tcW w:w="565" w:type="pct"/>
                  <w:shd w:val="clear" w:color="auto" w:fill="auto"/>
                  <w:vAlign w:val="center"/>
                </w:tcPr>
                <w:p w14:paraId="4C5F081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0"/>
                      <w:sz w:val="21"/>
                      <w:szCs w:val="21"/>
                      <w:highlight w:val="none"/>
                      <w:lang w:val="en-US" w:eastAsia="zh-CN" w:bidi="ar-SA"/>
                    </w:rPr>
                  </w:pPr>
                  <w:r>
                    <w:rPr>
                      <w:rFonts w:hint="eastAsia" w:cs="Times New Roman" w:eastAsiaTheme="minorEastAsia"/>
                      <w:snapToGrid w:val="0"/>
                      <w:color w:val="auto"/>
                      <w:kern w:val="0"/>
                      <w:sz w:val="21"/>
                      <w:szCs w:val="21"/>
                      <w:highlight w:val="none"/>
                      <w:lang w:val="en-US" w:eastAsia="zh-CN"/>
                    </w:rPr>
                    <w:t>0</w:t>
                  </w:r>
                </w:p>
              </w:tc>
              <w:tc>
                <w:tcPr>
                  <w:tcW w:w="751" w:type="pct"/>
                  <w:shd w:val="clear" w:color="auto" w:fill="auto"/>
                  <w:vAlign w:val="center"/>
                </w:tcPr>
                <w:p w14:paraId="74C6FA8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0</w:t>
                  </w:r>
                </w:p>
              </w:tc>
              <w:tc>
                <w:tcPr>
                  <w:tcW w:w="662" w:type="pct"/>
                  <w:shd w:val="clear" w:color="auto" w:fill="auto"/>
                  <w:vAlign w:val="center"/>
                </w:tcPr>
                <w:p w14:paraId="1085FD8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
                      <w:sz w:val="21"/>
                      <w:szCs w:val="21"/>
                      <w:highlight w:val="none"/>
                      <w:lang w:val="en-US" w:eastAsia="zh-CN" w:bidi="ar-SA"/>
                    </w:rPr>
                  </w:pPr>
                  <w:r>
                    <w:rPr>
                      <w:rFonts w:hint="eastAsia" w:cs="Times New Roman" w:eastAsiaTheme="minorEastAsia"/>
                      <w:snapToGrid w:val="0"/>
                      <w:color w:val="auto"/>
                      <w:sz w:val="21"/>
                      <w:szCs w:val="21"/>
                      <w:highlight w:val="none"/>
                      <w:lang w:val="en-US" w:eastAsia="zh-CN"/>
                    </w:rPr>
                    <w:t>0.03</w:t>
                  </w:r>
                </w:p>
              </w:tc>
              <w:tc>
                <w:tcPr>
                  <w:tcW w:w="597" w:type="pct"/>
                  <w:shd w:val="clear" w:color="auto" w:fill="auto"/>
                  <w:vAlign w:val="center"/>
                </w:tcPr>
                <w:p w14:paraId="7F5B56CA">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
                      <w:sz w:val="21"/>
                      <w:szCs w:val="21"/>
                      <w:highlight w:val="none"/>
                      <w:lang w:val="en-US" w:eastAsia="zh-CN" w:bidi="ar-SA"/>
                    </w:rPr>
                  </w:pPr>
                  <w:r>
                    <w:rPr>
                      <w:rFonts w:hint="eastAsia" w:cs="Times New Roman" w:eastAsiaTheme="minorEastAsia"/>
                      <w:snapToGrid w:val="0"/>
                      <w:color w:val="auto"/>
                      <w:sz w:val="21"/>
                      <w:szCs w:val="21"/>
                      <w:highlight w:val="none"/>
                      <w:lang w:val="en-US" w:eastAsia="zh-CN"/>
                    </w:rPr>
                    <w:t>0</w:t>
                  </w:r>
                </w:p>
              </w:tc>
            </w:tr>
            <w:tr w14:paraId="03B35C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7BBE5523">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4FD51CE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厨余垃圾</w:t>
                  </w:r>
                </w:p>
              </w:tc>
              <w:tc>
                <w:tcPr>
                  <w:tcW w:w="715" w:type="pct"/>
                  <w:shd w:val="clear" w:color="auto" w:fill="auto"/>
                  <w:vAlign w:val="center"/>
                </w:tcPr>
                <w:p w14:paraId="3DC3514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1.670</w:t>
                  </w:r>
                </w:p>
              </w:tc>
              <w:tc>
                <w:tcPr>
                  <w:tcW w:w="429" w:type="pct"/>
                  <w:vAlign w:val="center"/>
                </w:tcPr>
                <w:p w14:paraId="09126FA2">
                  <w:pPr>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color w:val="auto"/>
                      <w:kern w:val="0"/>
                      <w:sz w:val="21"/>
                      <w:szCs w:val="21"/>
                      <w:highlight w:val="none"/>
                      <w:lang w:bidi="ar"/>
                    </w:rPr>
                    <w:t>/</w:t>
                  </w:r>
                </w:p>
              </w:tc>
              <w:tc>
                <w:tcPr>
                  <w:tcW w:w="565" w:type="pct"/>
                  <w:shd w:val="clear" w:color="auto" w:fill="auto"/>
                  <w:vAlign w:val="center"/>
                </w:tcPr>
                <w:p w14:paraId="02359400">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rPr>
                    <w:t>0</w:t>
                  </w:r>
                </w:p>
              </w:tc>
              <w:tc>
                <w:tcPr>
                  <w:tcW w:w="751" w:type="pct"/>
                  <w:shd w:val="clear" w:color="auto" w:fill="auto"/>
                  <w:vAlign w:val="center"/>
                </w:tcPr>
                <w:p w14:paraId="5C7B78A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0</w:t>
                  </w:r>
                </w:p>
              </w:tc>
              <w:tc>
                <w:tcPr>
                  <w:tcW w:w="662" w:type="pct"/>
                  <w:shd w:val="clear" w:color="auto" w:fill="auto"/>
                  <w:vAlign w:val="center"/>
                </w:tcPr>
                <w:p w14:paraId="07D152E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1.67</w:t>
                  </w:r>
                </w:p>
              </w:tc>
              <w:tc>
                <w:tcPr>
                  <w:tcW w:w="597" w:type="pct"/>
                  <w:shd w:val="clear" w:color="auto" w:fill="auto"/>
                  <w:vAlign w:val="center"/>
                </w:tcPr>
                <w:p w14:paraId="046722E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0</w:t>
                  </w:r>
                </w:p>
              </w:tc>
            </w:tr>
            <w:tr w14:paraId="3724A3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12F161A4">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513B85B4">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化粪池污泥</w:t>
                  </w:r>
                </w:p>
              </w:tc>
              <w:tc>
                <w:tcPr>
                  <w:tcW w:w="715" w:type="pct"/>
                  <w:shd w:val="clear" w:color="auto" w:fill="auto"/>
                  <w:vAlign w:val="center"/>
                </w:tcPr>
                <w:p w14:paraId="73851BE9">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0.906</w:t>
                  </w:r>
                </w:p>
              </w:tc>
              <w:tc>
                <w:tcPr>
                  <w:tcW w:w="429" w:type="pct"/>
                  <w:vAlign w:val="center"/>
                </w:tcPr>
                <w:p w14:paraId="548CAB76">
                  <w:pPr>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color w:val="auto"/>
                      <w:kern w:val="0"/>
                      <w:sz w:val="21"/>
                      <w:szCs w:val="21"/>
                      <w:highlight w:val="none"/>
                      <w:lang w:bidi="ar"/>
                    </w:rPr>
                    <w:t>/</w:t>
                  </w:r>
                </w:p>
              </w:tc>
              <w:tc>
                <w:tcPr>
                  <w:tcW w:w="565" w:type="pct"/>
                  <w:shd w:val="clear" w:color="auto" w:fill="auto"/>
                  <w:vAlign w:val="center"/>
                </w:tcPr>
                <w:p w14:paraId="4EA2221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0</w:t>
                  </w:r>
                </w:p>
              </w:tc>
              <w:tc>
                <w:tcPr>
                  <w:tcW w:w="751" w:type="pct"/>
                  <w:shd w:val="clear" w:color="auto" w:fill="auto"/>
                  <w:vAlign w:val="center"/>
                </w:tcPr>
                <w:p w14:paraId="3D03A7C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0</w:t>
                  </w:r>
                </w:p>
              </w:tc>
              <w:tc>
                <w:tcPr>
                  <w:tcW w:w="662" w:type="pct"/>
                  <w:shd w:val="clear" w:color="auto" w:fill="auto"/>
                  <w:vAlign w:val="center"/>
                </w:tcPr>
                <w:p w14:paraId="5049213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0.906</w:t>
                  </w:r>
                </w:p>
              </w:tc>
              <w:tc>
                <w:tcPr>
                  <w:tcW w:w="597" w:type="pct"/>
                  <w:shd w:val="clear" w:color="auto" w:fill="auto"/>
                  <w:vAlign w:val="center"/>
                </w:tcPr>
                <w:p w14:paraId="208C083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0</w:t>
                  </w:r>
                </w:p>
              </w:tc>
            </w:tr>
            <w:tr w14:paraId="0C94EE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13A87221">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402F11A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废水处理系统污泥</w:t>
                  </w:r>
                </w:p>
              </w:tc>
              <w:tc>
                <w:tcPr>
                  <w:tcW w:w="715" w:type="pct"/>
                  <w:shd w:val="clear" w:color="auto" w:fill="auto"/>
                  <w:vAlign w:val="center"/>
                </w:tcPr>
                <w:p w14:paraId="68C47626">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2.0</w:t>
                  </w:r>
                </w:p>
              </w:tc>
              <w:tc>
                <w:tcPr>
                  <w:tcW w:w="429" w:type="pct"/>
                  <w:vAlign w:val="center"/>
                </w:tcPr>
                <w:p w14:paraId="53F58B23">
                  <w:pPr>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color w:val="auto"/>
                      <w:kern w:val="0"/>
                      <w:sz w:val="21"/>
                      <w:szCs w:val="21"/>
                      <w:highlight w:val="none"/>
                      <w:lang w:bidi="ar"/>
                    </w:rPr>
                    <w:t>/</w:t>
                  </w:r>
                </w:p>
              </w:tc>
              <w:tc>
                <w:tcPr>
                  <w:tcW w:w="565" w:type="pct"/>
                  <w:shd w:val="clear" w:color="auto" w:fill="auto"/>
                  <w:vAlign w:val="center"/>
                </w:tcPr>
                <w:p w14:paraId="0891358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0</w:t>
                  </w:r>
                </w:p>
              </w:tc>
              <w:tc>
                <w:tcPr>
                  <w:tcW w:w="751" w:type="pct"/>
                  <w:shd w:val="clear" w:color="auto" w:fill="auto"/>
                  <w:vAlign w:val="center"/>
                </w:tcPr>
                <w:p w14:paraId="45C03E76">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-0.07</w:t>
                  </w:r>
                </w:p>
              </w:tc>
              <w:tc>
                <w:tcPr>
                  <w:tcW w:w="662" w:type="pct"/>
                  <w:shd w:val="clear" w:color="auto" w:fill="auto"/>
                  <w:vAlign w:val="center"/>
                </w:tcPr>
                <w:p w14:paraId="7B28FF58">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1.93</w:t>
                  </w:r>
                </w:p>
              </w:tc>
              <w:tc>
                <w:tcPr>
                  <w:tcW w:w="597" w:type="pct"/>
                  <w:shd w:val="clear" w:color="auto" w:fill="auto"/>
                  <w:vAlign w:val="center"/>
                </w:tcPr>
                <w:p w14:paraId="6ED8C1E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-0.07</w:t>
                  </w:r>
                </w:p>
              </w:tc>
            </w:tr>
            <w:tr w14:paraId="0B5C76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488D9383">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7A60F695">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生物质燃烧灰渣</w:t>
                  </w:r>
                </w:p>
              </w:tc>
              <w:tc>
                <w:tcPr>
                  <w:tcW w:w="715" w:type="pct"/>
                  <w:shd w:val="clear" w:color="auto" w:fill="auto"/>
                  <w:vAlign w:val="center"/>
                </w:tcPr>
                <w:p w14:paraId="74E0A4D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180</w:t>
                  </w:r>
                </w:p>
              </w:tc>
              <w:tc>
                <w:tcPr>
                  <w:tcW w:w="429" w:type="pct"/>
                  <w:vAlign w:val="center"/>
                </w:tcPr>
                <w:p w14:paraId="6920CFE7">
                  <w:pPr>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color w:val="auto"/>
                      <w:kern w:val="0"/>
                      <w:sz w:val="21"/>
                      <w:szCs w:val="21"/>
                      <w:highlight w:val="none"/>
                      <w:lang w:bidi="ar"/>
                    </w:rPr>
                    <w:t>/</w:t>
                  </w:r>
                </w:p>
              </w:tc>
              <w:tc>
                <w:tcPr>
                  <w:tcW w:w="565" w:type="pct"/>
                  <w:shd w:val="clear" w:color="auto" w:fill="auto"/>
                  <w:vAlign w:val="center"/>
                </w:tcPr>
                <w:p w14:paraId="3E930486">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rPr>
                    <w:t>0</w:t>
                  </w:r>
                </w:p>
              </w:tc>
              <w:tc>
                <w:tcPr>
                  <w:tcW w:w="751" w:type="pct"/>
                  <w:shd w:val="clear" w:color="auto" w:fill="auto"/>
                  <w:vAlign w:val="center"/>
                </w:tcPr>
                <w:p w14:paraId="292164C5">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159.13</w:t>
                  </w:r>
                </w:p>
              </w:tc>
              <w:tc>
                <w:tcPr>
                  <w:tcW w:w="662" w:type="pct"/>
                  <w:shd w:val="clear" w:color="auto" w:fill="auto"/>
                  <w:vAlign w:val="center"/>
                </w:tcPr>
                <w:p w14:paraId="0123961D">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20.87</w:t>
                  </w:r>
                </w:p>
              </w:tc>
              <w:tc>
                <w:tcPr>
                  <w:tcW w:w="597" w:type="pct"/>
                  <w:shd w:val="clear" w:color="auto" w:fill="auto"/>
                  <w:vAlign w:val="center"/>
                </w:tcPr>
                <w:p w14:paraId="4D428105">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-159.13</w:t>
                  </w:r>
                </w:p>
              </w:tc>
            </w:tr>
            <w:tr w14:paraId="4B5D92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753288D0">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2EB7798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收尘渣</w:t>
                  </w:r>
                </w:p>
              </w:tc>
              <w:tc>
                <w:tcPr>
                  <w:tcW w:w="715" w:type="pct"/>
                  <w:shd w:val="clear" w:color="auto" w:fill="auto"/>
                  <w:vAlign w:val="center"/>
                </w:tcPr>
                <w:p w14:paraId="4FBE853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7.000</w:t>
                  </w:r>
                </w:p>
              </w:tc>
              <w:tc>
                <w:tcPr>
                  <w:tcW w:w="429" w:type="pct"/>
                  <w:vAlign w:val="center"/>
                </w:tcPr>
                <w:p w14:paraId="5B095FE7">
                  <w:pPr>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color w:val="auto"/>
                      <w:kern w:val="0"/>
                      <w:sz w:val="21"/>
                      <w:szCs w:val="21"/>
                      <w:highlight w:val="none"/>
                      <w:lang w:bidi="ar"/>
                    </w:rPr>
                    <w:t>/</w:t>
                  </w:r>
                </w:p>
              </w:tc>
              <w:tc>
                <w:tcPr>
                  <w:tcW w:w="565" w:type="pct"/>
                  <w:shd w:val="clear" w:color="auto" w:fill="auto"/>
                  <w:vAlign w:val="center"/>
                </w:tcPr>
                <w:p w14:paraId="4E8DAAC4">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rPr>
                    <w:t>35.734</w:t>
                  </w:r>
                </w:p>
              </w:tc>
              <w:tc>
                <w:tcPr>
                  <w:tcW w:w="751" w:type="pct"/>
                  <w:shd w:val="clear" w:color="auto" w:fill="auto"/>
                  <w:vAlign w:val="center"/>
                </w:tcPr>
                <w:p w14:paraId="2BDD0F9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6.184</w:t>
                  </w:r>
                </w:p>
              </w:tc>
              <w:tc>
                <w:tcPr>
                  <w:tcW w:w="662" w:type="pct"/>
                  <w:shd w:val="clear" w:color="auto" w:fill="auto"/>
                  <w:vAlign w:val="center"/>
                </w:tcPr>
                <w:p w14:paraId="5AAB433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36.55</w:t>
                  </w:r>
                </w:p>
              </w:tc>
              <w:tc>
                <w:tcPr>
                  <w:tcW w:w="597" w:type="pct"/>
                  <w:shd w:val="clear" w:color="auto" w:fill="auto"/>
                  <w:vAlign w:val="center"/>
                </w:tcPr>
                <w:p w14:paraId="773F1D8D">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-6.184</w:t>
                  </w:r>
                </w:p>
              </w:tc>
            </w:tr>
            <w:tr w14:paraId="6AE0A6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5FC532EE">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2B3FCE4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废活性炭</w:t>
                  </w:r>
                </w:p>
              </w:tc>
              <w:tc>
                <w:tcPr>
                  <w:tcW w:w="715" w:type="pct"/>
                  <w:shd w:val="clear" w:color="auto" w:fill="auto"/>
                  <w:vAlign w:val="center"/>
                </w:tcPr>
                <w:p w14:paraId="49D9FA6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12.000</w:t>
                  </w:r>
                </w:p>
              </w:tc>
              <w:tc>
                <w:tcPr>
                  <w:tcW w:w="429" w:type="pct"/>
                  <w:vAlign w:val="center"/>
                </w:tcPr>
                <w:p w14:paraId="4A68DFA5">
                  <w:pPr>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color w:val="auto"/>
                      <w:kern w:val="0"/>
                      <w:sz w:val="21"/>
                      <w:szCs w:val="21"/>
                      <w:highlight w:val="none"/>
                      <w:lang w:bidi="ar"/>
                    </w:rPr>
                    <w:t>/</w:t>
                  </w:r>
                </w:p>
              </w:tc>
              <w:tc>
                <w:tcPr>
                  <w:tcW w:w="565" w:type="pct"/>
                  <w:shd w:val="clear" w:color="auto" w:fill="auto"/>
                  <w:vAlign w:val="center"/>
                </w:tcPr>
                <w:p w14:paraId="44D9D11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rPr>
                    <w:t>0</w:t>
                  </w:r>
                </w:p>
              </w:tc>
              <w:tc>
                <w:tcPr>
                  <w:tcW w:w="751" w:type="pct"/>
                  <w:shd w:val="clear" w:color="auto" w:fill="auto"/>
                  <w:vAlign w:val="center"/>
                </w:tcPr>
                <w:p w14:paraId="73387756">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0</w:t>
                  </w:r>
                </w:p>
              </w:tc>
              <w:tc>
                <w:tcPr>
                  <w:tcW w:w="662" w:type="pct"/>
                  <w:shd w:val="clear" w:color="auto" w:fill="auto"/>
                  <w:vAlign w:val="center"/>
                </w:tcPr>
                <w:p w14:paraId="58471FB8">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12</w:t>
                  </w:r>
                </w:p>
              </w:tc>
              <w:tc>
                <w:tcPr>
                  <w:tcW w:w="597" w:type="pct"/>
                  <w:shd w:val="clear" w:color="auto" w:fill="auto"/>
                  <w:vAlign w:val="center"/>
                </w:tcPr>
                <w:p w14:paraId="3B98AAE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0</w:t>
                  </w:r>
                </w:p>
              </w:tc>
            </w:tr>
            <w:tr w14:paraId="2941D6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47613746">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7792551D">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不合格产品</w:t>
                  </w:r>
                </w:p>
              </w:tc>
              <w:tc>
                <w:tcPr>
                  <w:tcW w:w="715" w:type="pct"/>
                  <w:shd w:val="clear" w:color="auto" w:fill="auto"/>
                  <w:vAlign w:val="center"/>
                </w:tcPr>
                <w:p w14:paraId="43D82DD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0.000</w:t>
                  </w:r>
                </w:p>
              </w:tc>
              <w:tc>
                <w:tcPr>
                  <w:tcW w:w="429" w:type="pct"/>
                  <w:vAlign w:val="center"/>
                </w:tcPr>
                <w:p w14:paraId="5762CDE5">
                  <w:pPr>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color w:val="auto"/>
                      <w:kern w:val="0"/>
                      <w:sz w:val="21"/>
                      <w:szCs w:val="21"/>
                      <w:highlight w:val="none"/>
                      <w:lang w:bidi="ar"/>
                    </w:rPr>
                    <w:t>/</w:t>
                  </w:r>
                </w:p>
              </w:tc>
              <w:tc>
                <w:tcPr>
                  <w:tcW w:w="565" w:type="pct"/>
                  <w:shd w:val="clear" w:color="auto" w:fill="auto"/>
                  <w:vAlign w:val="center"/>
                </w:tcPr>
                <w:p w14:paraId="7CE3340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rPr>
                    <w:t>440.998</w:t>
                  </w:r>
                </w:p>
              </w:tc>
              <w:tc>
                <w:tcPr>
                  <w:tcW w:w="751" w:type="pct"/>
                  <w:shd w:val="clear" w:color="auto" w:fill="auto"/>
                  <w:vAlign w:val="center"/>
                </w:tcPr>
                <w:p w14:paraId="3350B954">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0</w:t>
                  </w:r>
                </w:p>
              </w:tc>
              <w:tc>
                <w:tcPr>
                  <w:tcW w:w="662" w:type="pct"/>
                  <w:shd w:val="clear" w:color="auto" w:fill="auto"/>
                  <w:vAlign w:val="center"/>
                </w:tcPr>
                <w:p w14:paraId="3AE2A6D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440.998</w:t>
                  </w:r>
                </w:p>
              </w:tc>
              <w:tc>
                <w:tcPr>
                  <w:tcW w:w="597" w:type="pct"/>
                  <w:shd w:val="clear" w:color="auto" w:fill="auto"/>
                  <w:vAlign w:val="center"/>
                </w:tcPr>
                <w:p w14:paraId="2427E325">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+440.998</w:t>
                  </w:r>
                </w:p>
              </w:tc>
            </w:tr>
            <w:tr w14:paraId="4972BC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5DC0D26E">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4955BE5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ascii="Times New Roman" w:hAnsi="Times New Roman" w:cs="Times New Roman" w:eastAsiaTheme="minorEastAsia"/>
                      <w:snapToGrid w:val="0"/>
                      <w:color w:val="auto"/>
                      <w:kern w:val="21"/>
                      <w:sz w:val="21"/>
                      <w:szCs w:val="21"/>
                      <w:highlight w:val="none"/>
                      <w:lang w:val="en-US" w:eastAsia="zh-CN" w:bidi="ar-SA"/>
                    </w:rPr>
                    <w:t>废纳米膜</w:t>
                  </w:r>
                </w:p>
              </w:tc>
              <w:tc>
                <w:tcPr>
                  <w:tcW w:w="715" w:type="pct"/>
                  <w:shd w:val="clear" w:color="auto" w:fill="auto"/>
                  <w:vAlign w:val="center"/>
                </w:tcPr>
                <w:p w14:paraId="79751860">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0.000</w:t>
                  </w:r>
                </w:p>
              </w:tc>
              <w:tc>
                <w:tcPr>
                  <w:tcW w:w="429" w:type="pct"/>
                  <w:vAlign w:val="center"/>
                </w:tcPr>
                <w:p w14:paraId="1C352139">
                  <w:pPr>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color w:val="auto"/>
                      <w:kern w:val="0"/>
                      <w:sz w:val="21"/>
                      <w:szCs w:val="21"/>
                      <w:highlight w:val="none"/>
                      <w:lang w:bidi="ar"/>
                    </w:rPr>
                    <w:t>/</w:t>
                  </w:r>
                </w:p>
              </w:tc>
              <w:tc>
                <w:tcPr>
                  <w:tcW w:w="565" w:type="pct"/>
                  <w:shd w:val="clear" w:color="auto" w:fill="auto"/>
                  <w:vAlign w:val="center"/>
                </w:tcPr>
                <w:p w14:paraId="1B015E7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rPr>
                    <w:t>1.5</w:t>
                  </w:r>
                </w:p>
              </w:tc>
              <w:tc>
                <w:tcPr>
                  <w:tcW w:w="751" w:type="pct"/>
                  <w:shd w:val="clear" w:color="auto" w:fill="auto"/>
                  <w:vAlign w:val="center"/>
                </w:tcPr>
                <w:p w14:paraId="1E927D8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0</w:t>
                  </w:r>
                </w:p>
              </w:tc>
              <w:tc>
                <w:tcPr>
                  <w:tcW w:w="662" w:type="pct"/>
                  <w:shd w:val="clear" w:color="auto" w:fill="auto"/>
                  <w:vAlign w:val="center"/>
                </w:tcPr>
                <w:p w14:paraId="74E5C27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1.5</w:t>
                  </w:r>
                </w:p>
              </w:tc>
              <w:tc>
                <w:tcPr>
                  <w:tcW w:w="597" w:type="pct"/>
                  <w:shd w:val="clear" w:color="auto" w:fill="auto"/>
                  <w:vAlign w:val="center"/>
                </w:tcPr>
                <w:p w14:paraId="2D62FC38">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+1.5</w:t>
                  </w:r>
                </w:p>
              </w:tc>
            </w:tr>
            <w:tr w14:paraId="529880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51C395C4">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57555E3D">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ascii="Times New Roman" w:hAnsi="Times New Roman" w:cs="Times New Roman" w:eastAsiaTheme="minorEastAsia"/>
                      <w:snapToGrid w:val="0"/>
                      <w:color w:val="auto"/>
                      <w:kern w:val="21"/>
                      <w:sz w:val="21"/>
                      <w:szCs w:val="21"/>
                      <w:highlight w:val="none"/>
                      <w:lang w:val="en-US" w:eastAsia="zh-CN" w:bidi="ar-SA"/>
                    </w:rPr>
                    <w:t>废布袋</w:t>
                  </w:r>
                </w:p>
              </w:tc>
              <w:tc>
                <w:tcPr>
                  <w:tcW w:w="715" w:type="pct"/>
                  <w:shd w:val="clear" w:color="auto" w:fill="auto"/>
                  <w:vAlign w:val="center"/>
                </w:tcPr>
                <w:p w14:paraId="010D226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0.000</w:t>
                  </w:r>
                </w:p>
              </w:tc>
              <w:tc>
                <w:tcPr>
                  <w:tcW w:w="429" w:type="pct"/>
                  <w:vAlign w:val="center"/>
                </w:tcPr>
                <w:p w14:paraId="6FEE8863">
                  <w:pPr>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color w:val="auto"/>
                      <w:kern w:val="0"/>
                      <w:sz w:val="21"/>
                      <w:szCs w:val="21"/>
                      <w:highlight w:val="none"/>
                      <w:lang w:bidi="ar"/>
                    </w:rPr>
                    <w:t>/</w:t>
                  </w:r>
                </w:p>
              </w:tc>
              <w:tc>
                <w:tcPr>
                  <w:tcW w:w="565" w:type="pct"/>
                  <w:shd w:val="clear" w:color="auto" w:fill="auto"/>
                  <w:vAlign w:val="center"/>
                </w:tcPr>
                <w:p w14:paraId="064C66E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bidi="ar"/>
                    </w:rPr>
                    <w:t>0.002</w:t>
                  </w:r>
                </w:p>
              </w:tc>
              <w:tc>
                <w:tcPr>
                  <w:tcW w:w="751" w:type="pct"/>
                  <w:shd w:val="clear" w:color="auto" w:fill="auto"/>
                  <w:vAlign w:val="center"/>
                </w:tcPr>
                <w:p w14:paraId="3C13B409">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0</w:t>
                  </w:r>
                </w:p>
              </w:tc>
              <w:tc>
                <w:tcPr>
                  <w:tcW w:w="662" w:type="pct"/>
                  <w:shd w:val="clear" w:color="auto" w:fill="auto"/>
                  <w:vAlign w:val="center"/>
                </w:tcPr>
                <w:p w14:paraId="5AEE7F21">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0.002</w:t>
                  </w:r>
                </w:p>
              </w:tc>
              <w:tc>
                <w:tcPr>
                  <w:tcW w:w="597" w:type="pct"/>
                  <w:shd w:val="clear" w:color="auto" w:fill="auto"/>
                  <w:vAlign w:val="center"/>
                </w:tcPr>
                <w:p w14:paraId="0A90083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+0.002</w:t>
                  </w:r>
                </w:p>
              </w:tc>
            </w:tr>
            <w:tr w14:paraId="36E722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vAlign w:val="center"/>
                </w:tcPr>
                <w:p w14:paraId="3F93CE43">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p>
              </w:tc>
              <w:tc>
                <w:tcPr>
                  <w:tcW w:w="771" w:type="pct"/>
                  <w:shd w:val="clear" w:color="auto" w:fill="auto"/>
                  <w:vAlign w:val="center"/>
                </w:tcPr>
                <w:p w14:paraId="245CBA7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废包装物</w:t>
                  </w:r>
                </w:p>
              </w:tc>
              <w:tc>
                <w:tcPr>
                  <w:tcW w:w="715" w:type="pct"/>
                  <w:shd w:val="clear" w:color="auto" w:fill="auto"/>
                  <w:vAlign w:val="center"/>
                </w:tcPr>
                <w:p w14:paraId="146AC7D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p>
              </w:tc>
              <w:tc>
                <w:tcPr>
                  <w:tcW w:w="429" w:type="pct"/>
                  <w:vAlign w:val="center"/>
                </w:tcPr>
                <w:p w14:paraId="5F82588D">
                  <w:pPr>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eastAsia="宋体" w:cs="Times New Roman"/>
                      <w:snapToGrid w:val="0"/>
                      <w:color w:val="auto"/>
                      <w:kern w:val="21"/>
                      <w:sz w:val="21"/>
                      <w:szCs w:val="21"/>
                      <w:highlight w:val="none"/>
                    </w:rPr>
                  </w:pPr>
                </w:p>
              </w:tc>
              <w:tc>
                <w:tcPr>
                  <w:tcW w:w="565" w:type="pct"/>
                  <w:shd w:val="clear" w:color="auto" w:fill="auto"/>
                  <w:vAlign w:val="center"/>
                </w:tcPr>
                <w:p w14:paraId="66342DBA">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eastAsiaTheme="minorEastAsia"/>
                      <w:color w:val="auto"/>
                      <w:kern w:val="0"/>
                      <w:sz w:val="21"/>
                      <w:szCs w:val="21"/>
                      <w:highlight w:val="none"/>
                      <w:lang w:val="en-US" w:eastAsia="zh-CN"/>
                    </w:rPr>
                    <w:t>2.36</w:t>
                  </w:r>
                </w:p>
              </w:tc>
              <w:tc>
                <w:tcPr>
                  <w:tcW w:w="751" w:type="pct"/>
                  <w:shd w:val="clear" w:color="auto" w:fill="auto"/>
                  <w:vAlign w:val="center"/>
                </w:tcPr>
                <w:p w14:paraId="7ACB253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0</w:t>
                  </w:r>
                </w:p>
              </w:tc>
              <w:tc>
                <w:tcPr>
                  <w:tcW w:w="662" w:type="pct"/>
                  <w:shd w:val="clear" w:color="auto" w:fill="auto"/>
                  <w:vAlign w:val="center"/>
                </w:tcPr>
                <w:p w14:paraId="5E5F975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2.36</w:t>
                  </w:r>
                </w:p>
              </w:tc>
              <w:tc>
                <w:tcPr>
                  <w:tcW w:w="597" w:type="pct"/>
                  <w:shd w:val="clear" w:color="auto" w:fill="auto"/>
                  <w:vAlign w:val="center"/>
                </w:tcPr>
                <w:p w14:paraId="143E58F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 w:val="21"/>
                      <w:szCs w:val="21"/>
                      <w:highlight w:val="none"/>
                      <w:lang w:val="en-US" w:eastAsia="zh-CN"/>
                    </w:rPr>
                    <w:t>+2.36</w:t>
                  </w:r>
                </w:p>
              </w:tc>
            </w:tr>
            <w:tr w14:paraId="15F873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shd w:val="clear" w:color="auto" w:fill="auto"/>
                  <w:vAlign w:val="center"/>
                </w:tcPr>
                <w:p w14:paraId="7460BCAA">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危险</w:t>
                  </w:r>
                </w:p>
                <w:p w14:paraId="1D948680">
                  <w:pPr>
                    <w:keepNext/>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rPr>
                    <w:t>废物</w:t>
                  </w:r>
                </w:p>
              </w:tc>
              <w:tc>
                <w:tcPr>
                  <w:tcW w:w="771" w:type="pct"/>
                  <w:shd w:val="clear" w:color="auto" w:fill="auto"/>
                  <w:vAlign w:val="center"/>
                </w:tcPr>
                <w:p w14:paraId="6A36E9B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废机油</w:t>
                  </w:r>
                </w:p>
              </w:tc>
              <w:tc>
                <w:tcPr>
                  <w:tcW w:w="715" w:type="pct"/>
                  <w:shd w:val="clear" w:color="auto" w:fill="auto"/>
                  <w:vAlign w:val="center"/>
                </w:tcPr>
                <w:p w14:paraId="3F899099">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0.050</w:t>
                  </w:r>
                </w:p>
              </w:tc>
              <w:tc>
                <w:tcPr>
                  <w:tcW w:w="429" w:type="pct"/>
                  <w:shd w:val="clear" w:color="auto" w:fill="auto"/>
                  <w:vAlign w:val="center"/>
                </w:tcPr>
                <w:p w14:paraId="7F2667D3">
                  <w:pPr>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bidi="ar"/>
                    </w:rPr>
                    <w:t>/</w:t>
                  </w:r>
                </w:p>
              </w:tc>
              <w:tc>
                <w:tcPr>
                  <w:tcW w:w="565" w:type="pct"/>
                  <w:shd w:val="clear" w:color="auto" w:fill="auto"/>
                  <w:vAlign w:val="center"/>
                </w:tcPr>
                <w:p w14:paraId="332849D0">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0.01</w:t>
                  </w:r>
                </w:p>
              </w:tc>
              <w:tc>
                <w:tcPr>
                  <w:tcW w:w="751" w:type="pct"/>
                  <w:shd w:val="clear" w:color="auto" w:fill="auto"/>
                  <w:vAlign w:val="center"/>
                </w:tcPr>
                <w:p w14:paraId="1DBE1DC4">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0</w:t>
                  </w:r>
                </w:p>
              </w:tc>
              <w:tc>
                <w:tcPr>
                  <w:tcW w:w="662" w:type="pct"/>
                  <w:shd w:val="clear" w:color="auto" w:fill="auto"/>
                  <w:vAlign w:val="center"/>
                </w:tcPr>
                <w:p w14:paraId="55EE0619">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0.06</w:t>
                  </w:r>
                </w:p>
              </w:tc>
              <w:tc>
                <w:tcPr>
                  <w:tcW w:w="597" w:type="pct"/>
                  <w:shd w:val="clear" w:color="auto" w:fill="auto"/>
                  <w:vAlign w:val="center"/>
                </w:tcPr>
                <w:p w14:paraId="5340E8F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eastAsia" w:cs="Times New Roman" w:eastAsiaTheme="minorEastAsia"/>
                      <w:snapToGrid w:val="0"/>
                      <w:color w:val="auto"/>
                      <w:kern w:val="21"/>
                      <w:sz w:val="21"/>
                      <w:szCs w:val="21"/>
                      <w:highlight w:val="none"/>
                      <w:lang w:val="en-US" w:eastAsia="zh-CN"/>
                    </w:rPr>
                    <w:t>+0.01</w:t>
                  </w:r>
                </w:p>
              </w:tc>
            </w:tr>
          </w:tbl>
          <w:p w14:paraId="5C2028ED">
            <w:pPr>
              <w:keepNext w:val="0"/>
              <w:keepLines w:val="0"/>
              <w:pageBreakBefore w:val="0"/>
              <w:kinsoku/>
              <w:wordWrap/>
              <w:overflowPunct/>
              <w:topLinePunct w:val="0"/>
              <w:autoSpaceDE/>
              <w:autoSpaceDN/>
              <w:bidi w:val="0"/>
              <w:spacing w:line="440" w:lineRule="exact"/>
              <w:textAlignment w:val="auto"/>
              <w:rPr>
                <w:b/>
                <w:color w:val="auto"/>
                <w:kern w:val="0"/>
                <w:sz w:val="24"/>
                <w:highlight w:val="none"/>
              </w:rPr>
            </w:pPr>
            <w:r>
              <w:rPr>
                <w:rFonts w:hint="eastAsia"/>
                <w:b/>
                <w:bCs/>
                <w:color w:val="auto"/>
                <w:kern w:val="0"/>
                <w:sz w:val="24"/>
                <w:highlight w:val="none"/>
                <w:lang w:val="en-US" w:eastAsia="zh-CN"/>
              </w:rPr>
              <w:t>6、</w:t>
            </w:r>
            <w:r>
              <w:rPr>
                <w:rFonts w:hint="eastAsia"/>
                <w:b/>
                <w:bCs/>
                <w:color w:val="auto"/>
                <w:kern w:val="0"/>
                <w:sz w:val="24"/>
                <w:highlight w:val="none"/>
              </w:rPr>
              <w:t>运营期土壤、地下水环境影响及保护</w:t>
            </w:r>
            <w:r>
              <w:rPr>
                <w:b/>
                <w:bCs/>
                <w:color w:val="auto"/>
                <w:kern w:val="0"/>
                <w:sz w:val="24"/>
                <w:highlight w:val="none"/>
              </w:rPr>
              <w:t>措施</w:t>
            </w:r>
          </w:p>
          <w:p w14:paraId="58CF05EE">
            <w:pPr>
              <w:keepNext w:val="0"/>
              <w:keepLines w:val="0"/>
              <w:pageBreakBefore w:val="0"/>
              <w:kinsoku/>
              <w:wordWrap/>
              <w:overflowPunct/>
              <w:topLinePunct w:val="0"/>
              <w:autoSpaceDE/>
              <w:autoSpaceDN/>
              <w:bidi w:val="0"/>
              <w:adjustRightInd w:val="0"/>
              <w:snapToGrid w:val="0"/>
              <w:spacing w:line="440" w:lineRule="exact"/>
              <w:ind w:firstLine="480" w:firstLineChars="200"/>
              <w:textAlignment w:val="auto"/>
              <w:rPr>
                <w:color w:val="auto"/>
                <w:sz w:val="24"/>
                <w:highlight w:val="none"/>
              </w:rPr>
            </w:pPr>
            <w:r>
              <w:rPr>
                <w:rFonts w:hint="eastAsia"/>
                <w:color w:val="auto"/>
                <w:sz w:val="24"/>
                <w:highlight w:val="none"/>
              </w:rPr>
              <w:t>本项目不开展地下水、土壤环境影响评价，</w:t>
            </w:r>
            <w:r>
              <w:rPr>
                <w:rFonts w:hint="eastAsia"/>
                <w:color w:val="auto"/>
                <w:sz w:val="24"/>
                <w:highlight w:val="none"/>
                <w:lang w:val="en-US" w:eastAsia="zh-CN"/>
              </w:rPr>
              <w:t>本</w:t>
            </w:r>
            <w:r>
              <w:rPr>
                <w:color w:val="auto"/>
                <w:sz w:val="24"/>
                <w:highlight w:val="none"/>
              </w:rPr>
              <w:t>项目原辅材料及工艺，</w:t>
            </w:r>
            <w:r>
              <w:rPr>
                <w:rFonts w:hint="eastAsia"/>
                <w:color w:val="auto"/>
                <w:sz w:val="24"/>
                <w:highlight w:val="none"/>
              </w:rPr>
              <w:t>项目不涉及重金属和持久性有机污染物，但项目危险废物暂存间内废矿物油类</w:t>
            </w:r>
            <w:r>
              <w:rPr>
                <w:color w:val="auto"/>
                <w:sz w:val="24"/>
                <w:highlight w:val="none"/>
              </w:rPr>
              <w:t>泄漏</w:t>
            </w:r>
            <w:r>
              <w:rPr>
                <w:rFonts w:hint="eastAsia"/>
                <w:color w:val="auto"/>
                <w:sz w:val="24"/>
                <w:highlight w:val="none"/>
              </w:rPr>
              <w:t>及发酵区渗滤液</w:t>
            </w:r>
            <w:r>
              <w:rPr>
                <w:color w:val="auto"/>
                <w:sz w:val="24"/>
                <w:highlight w:val="none"/>
              </w:rPr>
              <w:t>可能会以垂直入渗的方式对周边土壤和地下水环境进行影响，</w:t>
            </w:r>
            <w:r>
              <w:rPr>
                <w:rFonts w:hint="eastAsia"/>
                <w:color w:val="auto"/>
                <w:sz w:val="24"/>
                <w:highlight w:val="none"/>
              </w:rPr>
              <w:t>本次对防止地下水、土壤污染提出</w:t>
            </w:r>
            <w:r>
              <w:rPr>
                <w:rFonts w:hint="eastAsia"/>
                <w:color w:val="auto"/>
                <w:sz w:val="24"/>
                <w:highlight w:val="none"/>
                <w:lang w:val="en-US" w:eastAsia="zh-CN"/>
              </w:rPr>
              <w:t>以下</w:t>
            </w:r>
            <w:r>
              <w:rPr>
                <w:rFonts w:hint="eastAsia"/>
                <w:color w:val="auto"/>
                <w:sz w:val="24"/>
                <w:highlight w:val="none"/>
              </w:rPr>
              <w:t>防护措施。</w:t>
            </w:r>
          </w:p>
          <w:p w14:paraId="192362A4">
            <w:pPr>
              <w:keepNext w:val="0"/>
              <w:keepLines w:val="0"/>
              <w:pageBreakBefore w:val="0"/>
              <w:kinsoku/>
              <w:wordWrap/>
              <w:overflowPunct/>
              <w:topLinePunct w:val="0"/>
              <w:autoSpaceDE/>
              <w:autoSpaceDN/>
              <w:bidi w:val="0"/>
              <w:spacing w:line="440" w:lineRule="exact"/>
              <w:ind w:firstLine="482" w:firstLineChars="200"/>
              <w:textAlignment w:val="auto"/>
              <w:rPr>
                <w:rFonts w:hint="default"/>
                <w:b/>
                <w:color w:val="auto"/>
                <w:kern w:val="0"/>
                <w:sz w:val="24"/>
                <w:highlight w:val="none"/>
                <w:lang w:val="en-US"/>
              </w:rPr>
            </w:pPr>
            <w:r>
              <w:rPr>
                <w:rFonts w:hint="eastAsia"/>
                <w:b/>
                <w:color w:val="auto"/>
                <w:kern w:val="0"/>
                <w:sz w:val="24"/>
                <w:highlight w:val="none"/>
                <w:lang w:eastAsia="zh-CN"/>
              </w:rPr>
              <w:t>（</w:t>
            </w:r>
            <w:r>
              <w:rPr>
                <w:rFonts w:hint="eastAsia"/>
                <w:b/>
                <w:color w:val="auto"/>
                <w:kern w:val="0"/>
                <w:sz w:val="24"/>
                <w:highlight w:val="none"/>
                <w:lang w:val="en-US" w:eastAsia="zh-CN"/>
              </w:rPr>
              <w:t>1</w:t>
            </w:r>
            <w:r>
              <w:rPr>
                <w:rFonts w:hint="eastAsia"/>
                <w:b/>
                <w:color w:val="auto"/>
                <w:kern w:val="0"/>
                <w:sz w:val="24"/>
                <w:highlight w:val="none"/>
                <w:lang w:eastAsia="zh-CN"/>
              </w:rPr>
              <w:t>）</w:t>
            </w:r>
            <w:r>
              <w:rPr>
                <w:rFonts w:hint="eastAsia"/>
                <w:b/>
                <w:color w:val="auto"/>
                <w:kern w:val="0"/>
                <w:sz w:val="24"/>
                <w:highlight w:val="none"/>
                <w:lang w:val="en-US" w:eastAsia="zh-CN"/>
              </w:rPr>
              <w:t>源头控制</w:t>
            </w:r>
          </w:p>
          <w:p w14:paraId="688FD529">
            <w:pPr>
              <w:keepNext w:val="0"/>
              <w:keepLines w:val="0"/>
              <w:pageBreakBefore w:val="0"/>
              <w:widowControl/>
              <w:kinsoku/>
              <w:wordWrap/>
              <w:overflowPunct/>
              <w:topLinePunct w:val="0"/>
              <w:autoSpaceDE/>
              <w:autoSpaceDN/>
              <w:bidi w:val="0"/>
              <w:snapToGrid w:val="0"/>
              <w:spacing w:line="440" w:lineRule="exact"/>
              <w:ind w:firstLine="480" w:firstLineChars="200"/>
              <w:jc w:val="left"/>
              <w:textAlignment w:val="auto"/>
              <w:rPr>
                <w:color w:val="auto"/>
                <w:sz w:val="24"/>
                <w:highlight w:val="none"/>
              </w:rPr>
            </w:pPr>
            <w:r>
              <w:rPr>
                <w:color w:val="auto"/>
                <w:kern w:val="0"/>
                <w:sz w:val="24"/>
                <w:highlight w:val="none"/>
                <w:lang w:bidi="ar"/>
              </w:rPr>
              <w:t>①节约用水，减少废水产生量。</w:t>
            </w:r>
          </w:p>
          <w:p w14:paraId="61E98DED">
            <w:pPr>
              <w:keepNext w:val="0"/>
              <w:keepLines w:val="0"/>
              <w:pageBreakBefore w:val="0"/>
              <w:kinsoku/>
              <w:wordWrap/>
              <w:overflowPunct/>
              <w:topLinePunct w:val="0"/>
              <w:autoSpaceDE/>
              <w:autoSpaceDN/>
              <w:bidi w:val="0"/>
              <w:spacing w:line="440" w:lineRule="exact"/>
              <w:ind w:firstLine="480" w:firstLineChars="200"/>
              <w:textAlignment w:val="auto"/>
              <w:rPr>
                <w:rFonts w:hint="eastAsia"/>
                <w:bCs/>
                <w:color w:val="auto"/>
                <w:kern w:val="0"/>
                <w:sz w:val="24"/>
                <w:highlight w:val="none"/>
              </w:rPr>
            </w:pPr>
            <w:r>
              <w:rPr>
                <w:color w:val="auto"/>
                <w:kern w:val="0"/>
                <w:sz w:val="24"/>
                <w:highlight w:val="none"/>
                <w:lang w:bidi="ar"/>
              </w:rPr>
              <w:t>②</w:t>
            </w:r>
            <w:r>
              <w:rPr>
                <w:rFonts w:hint="eastAsia"/>
                <w:bCs/>
                <w:color w:val="auto"/>
                <w:kern w:val="0"/>
                <w:sz w:val="24"/>
                <w:highlight w:val="none"/>
              </w:rPr>
              <w:t>按照国家相关规范要求，对工艺、设备、原辅材料贮存区、产品储存等采取相应的措施，以防止和降低污染物的跑、冒、滴、漏，将污染物泄漏的环境风险事故降低到最低程度；废水管网敷设应采用“可视化”原则，尽可能架空或者管沟敷设，做到污染物“早发现、早处理”，以减少由于埋地管道泄漏而可能造成的地下水污染。</w:t>
            </w:r>
          </w:p>
          <w:p w14:paraId="274A975A">
            <w:pPr>
              <w:keepNext w:val="0"/>
              <w:keepLines w:val="0"/>
              <w:pageBreakBefore w:val="0"/>
              <w:kinsoku/>
              <w:wordWrap/>
              <w:overflowPunct/>
              <w:topLinePunct w:val="0"/>
              <w:autoSpaceDE/>
              <w:autoSpaceDN/>
              <w:bidi w:val="0"/>
              <w:spacing w:line="440" w:lineRule="exact"/>
              <w:ind w:firstLine="480" w:firstLineChars="200"/>
              <w:textAlignment w:val="auto"/>
              <w:rPr>
                <w:rFonts w:hint="eastAsia"/>
                <w:b/>
                <w:color w:val="auto"/>
                <w:kern w:val="0"/>
                <w:sz w:val="24"/>
                <w:highlight w:val="none"/>
                <w:lang w:eastAsia="zh-CN"/>
              </w:rPr>
            </w:pPr>
            <w:r>
              <w:rPr>
                <w:rFonts w:hint="eastAsia"/>
                <w:color w:val="auto"/>
                <w:kern w:val="0"/>
                <w:sz w:val="24"/>
                <w:highlight w:val="none"/>
                <w:lang w:bidi="ar"/>
              </w:rPr>
              <w:t>③</w:t>
            </w:r>
            <w:r>
              <w:rPr>
                <w:color w:val="auto"/>
                <w:kern w:val="0"/>
                <w:sz w:val="24"/>
                <w:highlight w:val="none"/>
                <w:lang w:bidi="ar"/>
              </w:rPr>
              <w:t>定期对污水处理设施的各个池子及处理构筑物</w:t>
            </w:r>
            <w:r>
              <w:rPr>
                <w:rFonts w:hint="eastAsia"/>
                <w:color w:val="auto"/>
                <w:kern w:val="0"/>
                <w:sz w:val="24"/>
                <w:highlight w:val="none"/>
                <w:lang w:bidi="ar"/>
              </w:rPr>
              <w:t>、危险废物贮存库</w:t>
            </w:r>
            <w:r>
              <w:rPr>
                <w:color w:val="auto"/>
                <w:kern w:val="0"/>
                <w:sz w:val="24"/>
                <w:highlight w:val="none"/>
                <w:lang w:bidi="ar"/>
              </w:rPr>
              <w:t>进行巡检、调节、保养、维修，及时发现可能引起事故的异常运行苗头，消除事故隐患，将污染物跑冒、滴漏降到最低限度。</w:t>
            </w:r>
          </w:p>
          <w:p w14:paraId="7AF4FFDE">
            <w:pPr>
              <w:keepNext w:val="0"/>
              <w:keepLines w:val="0"/>
              <w:pageBreakBefore w:val="0"/>
              <w:kinsoku/>
              <w:wordWrap/>
              <w:overflowPunct/>
              <w:topLinePunct w:val="0"/>
              <w:autoSpaceDE/>
              <w:autoSpaceDN/>
              <w:bidi w:val="0"/>
              <w:spacing w:line="440" w:lineRule="exact"/>
              <w:ind w:firstLine="482" w:firstLineChars="200"/>
              <w:textAlignment w:val="auto"/>
              <w:rPr>
                <w:rFonts w:hint="default"/>
                <w:b/>
                <w:color w:val="auto"/>
                <w:kern w:val="0"/>
                <w:sz w:val="24"/>
                <w:highlight w:val="none"/>
                <w:lang w:val="en-US"/>
              </w:rPr>
            </w:pPr>
            <w:r>
              <w:rPr>
                <w:rFonts w:hint="eastAsia"/>
                <w:b/>
                <w:color w:val="auto"/>
                <w:kern w:val="0"/>
                <w:sz w:val="24"/>
                <w:highlight w:val="none"/>
                <w:lang w:eastAsia="zh-CN"/>
              </w:rPr>
              <w:t>（</w:t>
            </w:r>
            <w:r>
              <w:rPr>
                <w:rFonts w:hint="eastAsia"/>
                <w:b/>
                <w:color w:val="auto"/>
                <w:kern w:val="0"/>
                <w:sz w:val="24"/>
                <w:highlight w:val="none"/>
                <w:lang w:val="en-US" w:eastAsia="zh-CN"/>
              </w:rPr>
              <w:t>2</w:t>
            </w:r>
            <w:r>
              <w:rPr>
                <w:rFonts w:hint="eastAsia"/>
                <w:b/>
                <w:color w:val="auto"/>
                <w:kern w:val="0"/>
                <w:sz w:val="24"/>
                <w:highlight w:val="none"/>
                <w:lang w:eastAsia="zh-CN"/>
              </w:rPr>
              <w:t>）</w:t>
            </w:r>
            <w:r>
              <w:rPr>
                <w:rFonts w:hint="eastAsia"/>
                <w:b/>
                <w:color w:val="auto"/>
                <w:kern w:val="0"/>
                <w:sz w:val="24"/>
                <w:highlight w:val="none"/>
                <w:lang w:val="en-US" w:eastAsia="zh-CN"/>
              </w:rPr>
              <w:t>分区防渗</w:t>
            </w:r>
          </w:p>
          <w:p w14:paraId="096F2157">
            <w:pPr>
              <w:keepNext w:val="0"/>
              <w:keepLines w:val="0"/>
              <w:pageBreakBefore w:val="0"/>
              <w:kinsoku/>
              <w:wordWrap/>
              <w:overflowPunct/>
              <w:topLinePunct w:val="0"/>
              <w:autoSpaceDE/>
              <w:autoSpaceDN/>
              <w:bidi w:val="0"/>
              <w:spacing w:line="440" w:lineRule="exact"/>
              <w:ind w:firstLine="480" w:firstLineChars="200"/>
              <w:textAlignment w:val="auto"/>
              <w:rPr>
                <w:rFonts w:hint="eastAsia"/>
                <w:bCs/>
                <w:color w:val="auto"/>
                <w:kern w:val="0"/>
                <w:sz w:val="24"/>
                <w:highlight w:val="none"/>
              </w:rPr>
            </w:pPr>
            <w:r>
              <w:rPr>
                <w:rFonts w:hint="eastAsia"/>
                <w:bCs/>
                <w:color w:val="auto"/>
                <w:kern w:val="0"/>
                <w:sz w:val="24"/>
                <w:highlight w:val="none"/>
              </w:rPr>
              <w:t>拟建项目分区防渗分为重点防渗区</w:t>
            </w:r>
            <w:r>
              <w:rPr>
                <w:rFonts w:hint="eastAsia"/>
                <w:bCs/>
                <w:color w:val="auto"/>
                <w:kern w:val="0"/>
                <w:sz w:val="24"/>
                <w:highlight w:val="none"/>
                <w:lang w:eastAsia="zh-CN"/>
              </w:rPr>
              <w:t>、</w:t>
            </w:r>
            <w:r>
              <w:rPr>
                <w:rFonts w:hint="eastAsia"/>
                <w:bCs/>
                <w:color w:val="auto"/>
                <w:kern w:val="0"/>
                <w:sz w:val="24"/>
                <w:highlight w:val="none"/>
                <w:lang w:val="en-US" w:eastAsia="zh-CN"/>
              </w:rPr>
              <w:t>一般防渗区</w:t>
            </w:r>
            <w:r>
              <w:rPr>
                <w:rFonts w:hint="eastAsia"/>
                <w:bCs/>
                <w:color w:val="auto"/>
                <w:kern w:val="0"/>
                <w:sz w:val="24"/>
                <w:highlight w:val="none"/>
              </w:rPr>
              <w:t>和简单防渗</w:t>
            </w:r>
            <w:r>
              <w:rPr>
                <w:rFonts w:hint="eastAsia"/>
                <w:bCs/>
                <w:color w:val="auto"/>
                <w:kern w:val="0"/>
                <w:sz w:val="24"/>
                <w:highlight w:val="none"/>
                <w:lang w:val="en-US" w:eastAsia="zh-CN"/>
              </w:rPr>
              <w:t>区</w:t>
            </w:r>
            <w:r>
              <w:rPr>
                <w:rFonts w:hint="eastAsia"/>
                <w:bCs/>
                <w:color w:val="auto"/>
                <w:kern w:val="0"/>
                <w:sz w:val="24"/>
                <w:highlight w:val="none"/>
              </w:rPr>
              <w:t>。</w:t>
            </w:r>
          </w:p>
          <w:p w14:paraId="077C5F13">
            <w:pPr>
              <w:keepNext w:val="0"/>
              <w:keepLines w:val="0"/>
              <w:pageBreakBefore w:val="0"/>
              <w:kinsoku/>
              <w:wordWrap/>
              <w:overflowPunct/>
              <w:topLinePunct w:val="0"/>
              <w:autoSpaceDE/>
              <w:autoSpaceDN/>
              <w:bidi w:val="0"/>
              <w:spacing w:line="440" w:lineRule="exact"/>
              <w:ind w:firstLine="480" w:firstLineChars="200"/>
              <w:textAlignment w:val="auto"/>
              <w:rPr>
                <w:bCs/>
                <w:color w:val="auto"/>
                <w:kern w:val="0"/>
                <w:sz w:val="24"/>
                <w:highlight w:val="none"/>
              </w:rPr>
            </w:pPr>
            <w:r>
              <w:rPr>
                <w:rFonts w:hint="eastAsia"/>
                <w:bCs/>
                <w:color w:val="auto"/>
                <w:kern w:val="0"/>
                <w:sz w:val="24"/>
                <w:highlight w:val="none"/>
              </w:rPr>
              <w:t>具体分区防渗情况见下表。</w:t>
            </w:r>
          </w:p>
          <w:p w14:paraId="4958105A">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b/>
                <w:color w:val="auto"/>
                <w:kern w:val="0"/>
                <w:szCs w:val="21"/>
                <w:highlight w:val="none"/>
              </w:rPr>
            </w:pPr>
            <w:r>
              <w:rPr>
                <w:rFonts w:hint="eastAsia"/>
                <w:b/>
                <w:color w:val="auto"/>
                <w:kern w:val="0"/>
                <w:szCs w:val="21"/>
                <w:highlight w:val="none"/>
              </w:rPr>
              <w:t>表4-</w:t>
            </w:r>
            <w:r>
              <w:rPr>
                <w:rFonts w:hint="eastAsia"/>
                <w:b/>
                <w:color w:val="auto"/>
                <w:kern w:val="0"/>
                <w:szCs w:val="21"/>
                <w:highlight w:val="none"/>
                <w:lang w:val="en-US" w:eastAsia="zh-CN"/>
              </w:rPr>
              <w:t xml:space="preserve">30  </w:t>
            </w:r>
            <w:r>
              <w:rPr>
                <w:rFonts w:hint="eastAsia"/>
                <w:b/>
                <w:color w:val="auto"/>
                <w:kern w:val="0"/>
                <w:szCs w:val="21"/>
                <w:highlight w:val="none"/>
              </w:rPr>
              <w:t>拟建项目场地防渗一览表</w:t>
            </w:r>
          </w:p>
          <w:tbl>
            <w:tblPr>
              <w:tblStyle w:val="27"/>
              <w:tblW w:w="87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2"/>
              <w:gridCol w:w="2559"/>
              <w:gridCol w:w="3494"/>
              <w:gridCol w:w="868"/>
            </w:tblGrid>
            <w:tr w14:paraId="314CD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02" w:type="dxa"/>
                  <w:vAlign w:val="center"/>
                </w:tcPr>
                <w:p w14:paraId="52782C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color w:val="auto"/>
                      <w:kern w:val="0"/>
                      <w:sz w:val="21"/>
                      <w:szCs w:val="21"/>
                      <w:highlight w:val="none"/>
                    </w:rPr>
                  </w:pPr>
                  <w:r>
                    <w:rPr>
                      <w:rFonts w:hint="default" w:ascii="Times New Roman" w:hAnsi="Times New Roman" w:cs="Times New Roman" w:eastAsiaTheme="minorEastAsia"/>
                      <w:b/>
                      <w:color w:val="auto"/>
                      <w:kern w:val="0"/>
                      <w:sz w:val="21"/>
                      <w:szCs w:val="21"/>
                      <w:highlight w:val="none"/>
                    </w:rPr>
                    <w:t>防渗级别</w:t>
                  </w:r>
                </w:p>
              </w:tc>
              <w:tc>
                <w:tcPr>
                  <w:tcW w:w="2559" w:type="dxa"/>
                  <w:vAlign w:val="center"/>
                </w:tcPr>
                <w:p w14:paraId="67459D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color w:val="auto"/>
                      <w:kern w:val="0"/>
                      <w:sz w:val="21"/>
                      <w:szCs w:val="21"/>
                      <w:highlight w:val="none"/>
                    </w:rPr>
                  </w:pPr>
                  <w:r>
                    <w:rPr>
                      <w:rFonts w:hint="default" w:ascii="Times New Roman" w:hAnsi="Times New Roman" w:cs="Times New Roman" w:eastAsiaTheme="minorEastAsia"/>
                      <w:b/>
                      <w:color w:val="auto"/>
                      <w:kern w:val="0"/>
                      <w:sz w:val="21"/>
                      <w:szCs w:val="21"/>
                      <w:highlight w:val="none"/>
                    </w:rPr>
                    <w:t>位置</w:t>
                  </w:r>
                </w:p>
              </w:tc>
              <w:tc>
                <w:tcPr>
                  <w:tcW w:w="3494" w:type="dxa"/>
                  <w:vAlign w:val="center"/>
                </w:tcPr>
                <w:p w14:paraId="74BC63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color w:val="auto"/>
                      <w:kern w:val="0"/>
                      <w:sz w:val="21"/>
                      <w:szCs w:val="21"/>
                      <w:highlight w:val="none"/>
                    </w:rPr>
                  </w:pPr>
                  <w:r>
                    <w:rPr>
                      <w:rFonts w:hint="default" w:ascii="Times New Roman" w:hAnsi="Times New Roman" w:cs="Times New Roman" w:eastAsiaTheme="minorEastAsia"/>
                      <w:b/>
                      <w:color w:val="auto"/>
                      <w:kern w:val="0"/>
                      <w:sz w:val="21"/>
                      <w:szCs w:val="21"/>
                      <w:highlight w:val="none"/>
                    </w:rPr>
                    <w:t>要求</w:t>
                  </w:r>
                </w:p>
              </w:tc>
              <w:tc>
                <w:tcPr>
                  <w:tcW w:w="868" w:type="dxa"/>
                  <w:vAlign w:val="center"/>
                </w:tcPr>
                <w:p w14:paraId="7A33D3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color w:val="auto"/>
                      <w:kern w:val="0"/>
                      <w:sz w:val="21"/>
                      <w:szCs w:val="21"/>
                      <w:highlight w:val="none"/>
                    </w:rPr>
                  </w:pPr>
                  <w:r>
                    <w:rPr>
                      <w:rFonts w:hint="default" w:ascii="Times New Roman" w:hAnsi="Times New Roman" w:cs="Times New Roman" w:eastAsiaTheme="minorEastAsia"/>
                      <w:b/>
                      <w:color w:val="auto"/>
                      <w:kern w:val="0"/>
                      <w:sz w:val="21"/>
                      <w:szCs w:val="21"/>
                      <w:highlight w:val="none"/>
                    </w:rPr>
                    <w:t>备注</w:t>
                  </w:r>
                </w:p>
              </w:tc>
            </w:tr>
            <w:tr w14:paraId="61BB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02" w:type="dxa"/>
                  <w:vMerge w:val="restart"/>
                  <w:vAlign w:val="center"/>
                </w:tcPr>
                <w:p w14:paraId="6B5E1A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r>
                    <w:rPr>
                      <w:rFonts w:hint="default" w:ascii="Times New Roman" w:hAnsi="Times New Roman" w:cs="Times New Roman" w:eastAsiaTheme="minorEastAsia"/>
                      <w:bCs/>
                      <w:color w:val="auto"/>
                      <w:kern w:val="0"/>
                      <w:sz w:val="21"/>
                      <w:szCs w:val="21"/>
                      <w:highlight w:val="none"/>
                    </w:rPr>
                    <w:t>重点防渗区域</w:t>
                  </w:r>
                </w:p>
              </w:tc>
              <w:tc>
                <w:tcPr>
                  <w:tcW w:w="2559" w:type="dxa"/>
                  <w:vAlign w:val="center"/>
                </w:tcPr>
                <w:p w14:paraId="143707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r>
                    <w:rPr>
                      <w:rFonts w:hint="default" w:ascii="Times New Roman" w:hAnsi="Times New Roman" w:cs="Times New Roman" w:eastAsiaTheme="minorEastAsia"/>
                      <w:bCs/>
                      <w:color w:val="auto"/>
                      <w:kern w:val="0"/>
                      <w:sz w:val="21"/>
                      <w:szCs w:val="21"/>
                      <w:highlight w:val="none"/>
                    </w:rPr>
                    <w:t>危险废物贮存间</w:t>
                  </w:r>
                </w:p>
              </w:tc>
              <w:tc>
                <w:tcPr>
                  <w:tcW w:w="3494" w:type="dxa"/>
                  <w:vMerge w:val="restart"/>
                  <w:vAlign w:val="center"/>
                </w:tcPr>
                <w:p w14:paraId="1E1D5D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r>
                    <w:rPr>
                      <w:rFonts w:hint="default" w:ascii="Times New Roman" w:hAnsi="Times New Roman" w:cs="Times New Roman" w:eastAsiaTheme="minorEastAsia"/>
                      <w:bCs/>
                      <w:color w:val="auto"/>
                      <w:kern w:val="0"/>
                      <w:sz w:val="21"/>
                      <w:szCs w:val="21"/>
                      <w:highlight w:val="none"/>
                    </w:rPr>
                    <w:t>等效粘土防渗层Mb≥6.0m，防渗系数≤1.0×10</w:t>
                  </w:r>
                  <w:r>
                    <w:rPr>
                      <w:rFonts w:hint="default" w:ascii="Times New Roman" w:hAnsi="Times New Roman" w:cs="Times New Roman" w:eastAsiaTheme="minorEastAsia"/>
                      <w:bCs/>
                      <w:color w:val="auto"/>
                      <w:kern w:val="0"/>
                      <w:sz w:val="21"/>
                      <w:szCs w:val="21"/>
                      <w:highlight w:val="none"/>
                      <w:vertAlign w:val="superscript"/>
                    </w:rPr>
                    <w:t>-7</w:t>
                  </w:r>
                  <w:r>
                    <w:rPr>
                      <w:rFonts w:hint="default" w:ascii="Times New Roman" w:hAnsi="Times New Roman" w:cs="Times New Roman" w:eastAsiaTheme="minorEastAsia"/>
                      <w:bCs/>
                      <w:color w:val="auto"/>
                      <w:kern w:val="0"/>
                      <w:sz w:val="21"/>
                      <w:szCs w:val="21"/>
                      <w:highlight w:val="none"/>
                    </w:rPr>
                    <w:t>cm/s，或参照GB 18598-2019执行</w:t>
                  </w:r>
                </w:p>
              </w:tc>
              <w:tc>
                <w:tcPr>
                  <w:tcW w:w="868" w:type="dxa"/>
                  <w:vAlign w:val="center"/>
                </w:tcPr>
                <w:p w14:paraId="67A5E1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r>
                    <w:rPr>
                      <w:rFonts w:hint="default" w:ascii="Times New Roman" w:hAnsi="Times New Roman" w:cs="Times New Roman" w:eastAsiaTheme="minorEastAsia"/>
                      <w:bCs/>
                      <w:color w:val="auto"/>
                      <w:kern w:val="0"/>
                      <w:sz w:val="21"/>
                      <w:szCs w:val="21"/>
                      <w:highlight w:val="none"/>
                    </w:rPr>
                    <w:t>已建</w:t>
                  </w:r>
                </w:p>
              </w:tc>
            </w:tr>
            <w:tr w14:paraId="7336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02" w:type="dxa"/>
                  <w:vMerge w:val="continue"/>
                  <w:vAlign w:val="center"/>
                </w:tcPr>
                <w:p w14:paraId="25EB1A2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highlight w:val="none"/>
                    </w:rPr>
                  </w:pPr>
                </w:p>
              </w:tc>
              <w:tc>
                <w:tcPr>
                  <w:tcW w:w="2559" w:type="dxa"/>
                  <w:vAlign w:val="center"/>
                </w:tcPr>
                <w:p w14:paraId="623479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r>
                    <w:rPr>
                      <w:rFonts w:hint="default" w:ascii="Times New Roman" w:hAnsi="Times New Roman" w:cs="Times New Roman" w:eastAsiaTheme="minorEastAsia"/>
                      <w:bCs/>
                      <w:color w:val="auto"/>
                      <w:kern w:val="0"/>
                      <w:sz w:val="21"/>
                      <w:szCs w:val="21"/>
                      <w:highlight w:val="none"/>
                    </w:rPr>
                    <w:t>渗滤液收集池</w:t>
                  </w:r>
                </w:p>
              </w:tc>
              <w:tc>
                <w:tcPr>
                  <w:tcW w:w="3494" w:type="dxa"/>
                  <w:vMerge w:val="continue"/>
                  <w:vAlign w:val="center"/>
                </w:tcPr>
                <w:p w14:paraId="7E58A1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p>
              </w:tc>
              <w:tc>
                <w:tcPr>
                  <w:tcW w:w="868" w:type="dxa"/>
                  <w:vAlign w:val="center"/>
                </w:tcPr>
                <w:p w14:paraId="69B713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cs="Times New Roman" w:eastAsiaTheme="minorEastAsia"/>
                      <w:bCs/>
                      <w:color w:val="auto"/>
                      <w:kern w:val="0"/>
                      <w:sz w:val="21"/>
                      <w:szCs w:val="21"/>
                      <w:highlight w:val="none"/>
                      <w:lang w:val="en-US" w:eastAsia="zh-CN"/>
                    </w:rPr>
                  </w:pPr>
                  <w:r>
                    <w:rPr>
                      <w:rFonts w:hint="eastAsia" w:ascii="Times New Roman" w:hAnsi="Times New Roman" w:cs="Times New Roman" w:eastAsiaTheme="minorEastAsia"/>
                      <w:bCs/>
                      <w:color w:val="auto"/>
                      <w:kern w:val="0"/>
                      <w:sz w:val="21"/>
                      <w:szCs w:val="21"/>
                      <w:highlight w:val="none"/>
                      <w:lang w:val="en-US" w:eastAsia="zh-CN"/>
                    </w:rPr>
                    <w:t>新建</w:t>
                  </w:r>
                </w:p>
              </w:tc>
            </w:tr>
            <w:tr w14:paraId="7AA4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02" w:type="dxa"/>
                  <w:vAlign w:val="center"/>
                </w:tcPr>
                <w:p w14:paraId="7F1473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r>
                    <w:rPr>
                      <w:rFonts w:hint="default" w:ascii="Times New Roman" w:hAnsi="Times New Roman" w:cs="Times New Roman" w:eastAsiaTheme="minorEastAsia"/>
                      <w:bCs/>
                      <w:color w:val="auto"/>
                      <w:kern w:val="0"/>
                      <w:sz w:val="21"/>
                      <w:szCs w:val="21"/>
                      <w:highlight w:val="none"/>
                    </w:rPr>
                    <w:t>一般防渗区域</w:t>
                  </w:r>
                </w:p>
              </w:tc>
              <w:tc>
                <w:tcPr>
                  <w:tcW w:w="2559" w:type="dxa"/>
                  <w:vAlign w:val="center"/>
                </w:tcPr>
                <w:p w14:paraId="4EAB932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lang w:val="en-US" w:eastAsia="zh-CN"/>
                    </w:rPr>
                  </w:pPr>
                  <w:r>
                    <w:rPr>
                      <w:rFonts w:hint="default" w:ascii="Times New Roman" w:hAnsi="Times New Roman" w:cs="Times New Roman" w:eastAsiaTheme="minorEastAsia"/>
                      <w:bCs/>
                      <w:color w:val="auto"/>
                      <w:kern w:val="0"/>
                      <w:sz w:val="21"/>
                      <w:szCs w:val="21"/>
                      <w:highlight w:val="none"/>
                    </w:rPr>
                    <w:t>生产区，原辅料区</w:t>
                  </w:r>
                  <w:r>
                    <w:rPr>
                      <w:rFonts w:hint="eastAsia" w:ascii="Times New Roman" w:hAnsi="Times New Roman" w:cs="Times New Roman" w:eastAsiaTheme="minorEastAsia"/>
                      <w:bCs/>
                      <w:color w:val="auto"/>
                      <w:kern w:val="0"/>
                      <w:sz w:val="21"/>
                      <w:szCs w:val="21"/>
                      <w:highlight w:val="none"/>
                      <w:lang w:eastAsia="zh-CN"/>
                    </w:rPr>
                    <w:t>、</w:t>
                  </w:r>
                  <w:r>
                    <w:rPr>
                      <w:rFonts w:hint="default" w:ascii="Times New Roman" w:hAnsi="Times New Roman" w:cs="Times New Roman" w:eastAsiaTheme="minorEastAsia"/>
                      <w:bCs/>
                      <w:color w:val="auto"/>
                      <w:kern w:val="0"/>
                      <w:sz w:val="21"/>
                      <w:szCs w:val="21"/>
                      <w:highlight w:val="none"/>
                    </w:rPr>
                    <w:t>实验室</w:t>
                  </w:r>
                  <w:r>
                    <w:rPr>
                      <w:rFonts w:hint="eastAsia" w:ascii="Times New Roman" w:hAnsi="Times New Roman" w:cs="Times New Roman" w:eastAsiaTheme="minorEastAsia"/>
                      <w:bCs/>
                      <w:color w:val="auto"/>
                      <w:kern w:val="0"/>
                      <w:sz w:val="21"/>
                      <w:szCs w:val="21"/>
                      <w:highlight w:val="none"/>
                      <w:lang w:eastAsia="zh-CN"/>
                    </w:rPr>
                    <w:t>、</w:t>
                  </w:r>
                  <w:r>
                    <w:rPr>
                      <w:rFonts w:hint="eastAsia" w:ascii="Times New Roman" w:hAnsi="Times New Roman" w:cs="Times New Roman" w:eastAsiaTheme="minorEastAsia"/>
                      <w:bCs/>
                      <w:color w:val="auto"/>
                      <w:kern w:val="0"/>
                      <w:sz w:val="21"/>
                      <w:szCs w:val="21"/>
                      <w:highlight w:val="none"/>
                      <w:lang w:val="en-US" w:eastAsia="zh-CN"/>
                    </w:rPr>
                    <w:t>一般固废暂存区</w:t>
                  </w:r>
                </w:p>
              </w:tc>
              <w:tc>
                <w:tcPr>
                  <w:tcW w:w="3494" w:type="dxa"/>
                  <w:vAlign w:val="center"/>
                </w:tcPr>
                <w:p w14:paraId="27393F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r>
                    <w:rPr>
                      <w:rFonts w:hint="default" w:ascii="Times New Roman" w:hAnsi="Times New Roman" w:cs="Times New Roman" w:eastAsiaTheme="minorEastAsia"/>
                      <w:bCs/>
                      <w:color w:val="auto"/>
                      <w:kern w:val="0"/>
                      <w:sz w:val="21"/>
                      <w:szCs w:val="21"/>
                      <w:highlight w:val="none"/>
                    </w:rPr>
                    <w:t>等效粘土防渗层Mb≥1.5m，防渗系数≤1.0×10</w:t>
                  </w:r>
                  <w:r>
                    <w:rPr>
                      <w:rFonts w:hint="default" w:ascii="Times New Roman" w:hAnsi="Times New Roman" w:cs="Times New Roman" w:eastAsiaTheme="minorEastAsia"/>
                      <w:bCs/>
                      <w:color w:val="auto"/>
                      <w:kern w:val="0"/>
                      <w:sz w:val="21"/>
                      <w:szCs w:val="21"/>
                      <w:highlight w:val="none"/>
                      <w:vertAlign w:val="superscript"/>
                    </w:rPr>
                    <w:t>-7</w:t>
                  </w:r>
                  <w:r>
                    <w:rPr>
                      <w:rFonts w:hint="default" w:ascii="Times New Roman" w:hAnsi="Times New Roman" w:cs="Times New Roman" w:eastAsiaTheme="minorEastAsia"/>
                      <w:bCs/>
                      <w:color w:val="auto"/>
                      <w:kern w:val="0"/>
                      <w:sz w:val="21"/>
                      <w:szCs w:val="21"/>
                      <w:highlight w:val="none"/>
                    </w:rPr>
                    <w:t>cm/s，或参照GB 18598-2019执行</w:t>
                  </w:r>
                </w:p>
              </w:tc>
              <w:tc>
                <w:tcPr>
                  <w:tcW w:w="868" w:type="dxa"/>
                  <w:vAlign w:val="center"/>
                </w:tcPr>
                <w:p w14:paraId="5A57F0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r>
                    <w:rPr>
                      <w:rFonts w:hint="default" w:ascii="Times New Roman" w:hAnsi="Times New Roman" w:cs="Times New Roman" w:eastAsiaTheme="minorEastAsia"/>
                      <w:bCs/>
                      <w:color w:val="auto"/>
                      <w:kern w:val="0"/>
                      <w:sz w:val="21"/>
                      <w:szCs w:val="21"/>
                      <w:highlight w:val="none"/>
                    </w:rPr>
                    <w:t>新建</w:t>
                  </w:r>
                </w:p>
              </w:tc>
            </w:tr>
            <w:tr w14:paraId="7B2E1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02" w:type="dxa"/>
                  <w:vAlign w:val="center"/>
                </w:tcPr>
                <w:p w14:paraId="1D7D32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r>
                    <w:rPr>
                      <w:rFonts w:hint="default" w:ascii="Times New Roman" w:hAnsi="Times New Roman" w:cs="Times New Roman" w:eastAsiaTheme="minorEastAsia"/>
                      <w:bCs/>
                      <w:color w:val="auto"/>
                      <w:kern w:val="0"/>
                      <w:sz w:val="21"/>
                      <w:szCs w:val="21"/>
                      <w:highlight w:val="none"/>
                    </w:rPr>
                    <w:t>简单防渗区域</w:t>
                  </w:r>
                </w:p>
              </w:tc>
              <w:tc>
                <w:tcPr>
                  <w:tcW w:w="2559" w:type="dxa"/>
                  <w:vAlign w:val="center"/>
                </w:tcPr>
                <w:p w14:paraId="66F6FF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r>
                    <w:rPr>
                      <w:rFonts w:hint="default" w:ascii="Times New Roman" w:hAnsi="Times New Roman" w:cs="Times New Roman" w:eastAsiaTheme="minorEastAsia"/>
                      <w:bCs/>
                      <w:color w:val="auto"/>
                      <w:kern w:val="0"/>
                      <w:sz w:val="21"/>
                      <w:szCs w:val="21"/>
                      <w:highlight w:val="none"/>
                    </w:rPr>
                    <w:t>办公室及其他区域</w:t>
                  </w:r>
                </w:p>
              </w:tc>
              <w:tc>
                <w:tcPr>
                  <w:tcW w:w="3494" w:type="dxa"/>
                  <w:vAlign w:val="center"/>
                </w:tcPr>
                <w:p w14:paraId="2CA97B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r>
                    <w:rPr>
                      <w:rFonts w:hint="default" w:ascii="Times New Roman" w:hAnsi="Times New Roman" w:cs="Times New Roman" w:eastAsiaTheme="minorEastAsia"/>
                      <w:bCs/>
                      <w:color w:val="auto"/>
                      <w:kern w:val="0"/>
                      <w:sz w:val="21"/>
                      <w:szCs w:val="21"/>
                      <w:highlight w:val="none"/>
                    </w:rPr>
                    <w:t>一般地面硬化</w:t>
                  </w:r>
                </w:p>
              </w:tc>
              <w:tc>
                <w:tcPr>
                  <w:tcW w:w="868" w:type="dxa"/>
                  <w:vAlign w:val="center"/>
                </w:tcPr>
                <w:p w14:paraId="7CE869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Cs/>
                      <w:color w:val="auto"/>
                      <w:kern w:val="0"/>
                      <w:sz w:val="21"/>
                      <w:szCs w:val="21"/>
                      <w:highlight w:val="none"/>
                    </w:rPr>
                  </w:pPr>
                  <w:r>
                    <w:rPr>
                      <w:rFonts w:hint="default" w:ascii="Times New Roman" w:hAnsi="Times New Roman" w:cs="Times New Roman" w:eastAsiaTheme="minorEastAsia"/>
                      <w:bCs/>
                      <w:color w:val="auto"/>
                      <w:kern w:val="0"/>
                      <w:sz w:val="21"/>
                      <w:szCs w:val="21"/>
                      <w:highlight w:val="none"/>
                    </w:rPr>
                    <w:t>已建</w:t>
                  </w:r>
                </w:p>
              </w:tc>
            </w:tr>
          </w:tbl>
          <w:p w14:paraId="3271F58E">
            <w:pPr>
              <w:keepNext w:val="0"/>
              <w:keepLines w:val="0"/>
              <w:pageBreakBefore w:val="0"/>
              <w:widowControl w:val="0"/>
              <w:kinsoku/>
              <w:wordWrap/>
              <w:overflowPunct/>
              <w:topLinePunct w:val="0"/>
              <w:autoSpaceDE/>
              <w:autoSpaceDN/>
              <w:bidi w:val="0"/>
              <w:adjustRightInd/>
              <w:snapToGrid/>
              <w:spacing w:line="430" w:lineRule="exact"/>
              <w:ind w:left="420" w:leftChars="200"/>
              <w:textAlignment w:val="auto"/>
              <w:rPr>
                <w:b/>
                <w:color w:val="auto"/>
                <w:kern w:val="0"/>
                <w:sz w:val="24"/>
                <w:highlight w:val="none"/>
              </w:rPr>
            </w:pPr>
            <w:r>
              <w:rPr>
                <w:rFonts w:hint="eastAsia"/>
                <w:b/>
                <w:color w:val="auto"/>
                <w:kern w:val="0"/>
                <w:sz w:val="24"/>
                <w:highlight w:val="none"/>
                <w:lang w:eastAsia="zh-CN"/>
              </w:rPr>
              <w:t>（</w:t>
            </w:r>
            <w:r>
              <w:rPr>
                <w:rFonts w:hint="eastAsia"/>
                <w:b/>
                <w:color w:val="auto"/>
                <w:kern w:val="0"/>
                <w:sz w:val="24"/>
                <w:highlight w:val="none"/>
                <w:lang w:val="en-US" w:eastAsia="zh-CN"/>
              </w:rPr>
              <w:t>3</w:t>
            </w:r>
            <w:r>
              <w:rPr>
                <w:rFonts w:hint="eastAsia"/>
                <w:b/>
                <w:color w:val="auto"/>
                <w:kern w:val="0"/>
                <w:sz w:val="24"/>
                <w:highlight w:val="none"/>
                <w:lang w:eastAsia="zh-CN"/>
              </w:rPr>
              <w:t>）</w:t>
            </w:r>
            <w:r>
              <w:rPr>
                <w:rFonts w:hint="eastAsia"/>
                <w:b/>
                <w:color w:val="auto"/>
                <w:kern w:val="0"/>
                <w:sz w:val="24"/>
                <w:highlight w:val="none"/>
              </w:rPr>
              <w:t>其他措施</w:t>
            </w:r>
          </w:p>
          <w:p w14:paraId="58E611F1">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color w:val="auto"/>
                <w:sz w:val="24"/>
                <w:highlight w:val="none"/>
              </w:rPr>
            </w:pPr>
            <w:r>
              <w:rPr>
                <w:rFonts w:hint="eastAsia"/>
                <w:color w:val="auto"/>
                <w:sz w:val="24"/>
                <w:highlight w:val="none"/>
              </w:rPr>
              <w:t>①原料库区、成品库区设置托板，采用高密度聚乙烯或聚丙烯材质，防止原料、产品直接接触地面；</w:t>
            </w:r>
          </w:p>
          <w:p w14:paraId="0D4B1DB9">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color w:val="auto"/>
                <w:sz w:val="24"/>
                <w:highlight w:val="none"/>
              </w:rPr>
            </w:pPr>
            <w:r>
              <w:rPr>
                <w:rFonts w:hint="eastAsia"/>
                <w:color w:val="auto"/>
                <w:sz w:val="24"/>
                <w:highlight w:val="none"/>
              </w:rPr>
              <w:t>②原料、产品堆存位置避开窗户下方、出入口附近等区域，降低雨淋、受潮风险。</w:t>
            </w:r>
          </w:p>
          <w:p w14:paraId="15C00D83">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color w:val="auto"/>
                <w:sz w:val="24"/>
                <w:highlight w:val="none"/>
              </w:rPr>
            </w:pPr>
            <w:r>
              <w:rPr>
                <w:rFonts w:hint="eastAsia"/>
                <w:color w:val="auto"/>
                <w:sz w:val="24"/>
                <w:highlight w:val="none"/>
              </w:rPr>
              <w:t>③提高原料、产品周转次数，减少在项目区内的存在量；</w:t>
            </w:r>
          </w:p>
          <w:p w14:paraId="03D32320">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color w:val="auto"/>
                <w:sz w:val="24"/>
                <w:highlight w:val="none"/>
              </w:rPr>
            </w:pPr>
            <w:r>
              <w:rPr>
                <w:rFonts w:hint="eastAsia"/>
                <w:color w:val="auto"/>
                <w:sz w:val="24"/>
                <w:highlight w:val="none"/>
              </w:rPr>
              <w:t>④保持生产区域地面干爽，地面清洁采用笤帚、吸尘器进行干式清洁，禁止采用冲洗等方式。</w:t>
            </w:r>
          </w:p>
          <w:p w14:paraId="55F72F82">
            <w:pPr>
              <w:keepNext w:val="0"/>
              <w:keepLines w:val="0"/>
              <w:pageBreakBefore w:val="0"/>
              <w:widowControl w:val="0"/>
              <w:kinsoku/>
              <w:wordWrap/>
              <w:overflowPunct/>
              <w:topLinePunct w:val="0"/>
              <w:autoSpaceDE/>
              <w:autoSpaceDN/>
              <w:bidi w:val="0"/>
              <w:adjustRightInd/>
              <w:snapToGrid/>
              <w:spacing w:line="430" w:lineRule="exact"/>
              <w:ind w:left="0" w:leftChars="0" w:firstLine="480" w:firstLineChars="200"/>
              <w:textAlignment w:val="auto"/>
              <w:rPr>
                <w:rFonts w:hint="eastAsia"/>
                <w:color w:val="auto"/>
                <w:sz w:val="24"/>
                <w:highlight w:val="none"/>
              </w:rPr>
            </w:pPr>
            <w:r>
              <w:rPr>
                <w:rFonts w:hint="eastAsia"/>
                <w:color w:val="auto"/>
                <w:sz w:val="24"/>
                <w:highlight w:val="none"/>
              </w:rPr>
              <w:t>⑤生产区域目前已采取硬化措施，生产过程中发生地面硬化破损情况时，及时采取修复。</w:t>
            </w:r>
          </w:p>
          <w:p w14:paraId="6E046800">
            <w:pPr>
              <w:keepNext w:val="0"/>
              <w:keepLines w:val="0"/>
              <w:pageBreakBefore w:val="0"/>
              <w:widowControl w:val="0"/>
              <w:kinsoku/>
              <w:wordWrap/>
              <w:overflowPunct/>
              <w:topLinePunct w:val="0"/>
              <w:autoSpaceDE/>
              <w:autoSpaceDN/>
              <w:bidi w:val="0"/>
              <w:adjustRightInd/>
              <w:snapToGrid/>
              <w:spacing w:line="430" w:lineRule="exact"/>
              <w:ind w:left="0" w:leftChars="0" w:firstLine="480" w:firstLineChars="200"/>
              <w:textAlignment w:val="auto"/>
              <w:rPr>
                <w:rFonts w:hint="eastAsia"/>
                <w:color w:val="auto"/>
                <w:sz w:val="24"/>
                <w:highlight w:val="none"/>
              </w:rPr>
            </w:pPr>
            <w:r>
              <w:rPr>
                <w:rFonts w:hint="eastAsia"/>
                <w:color w:val="auto"/>
                <w:sz w:val="24"/>
                <w:highlight w:val="none"/>
              </w:rPr>
              <w:t>综上所述，在采取加强厂区巡检，对跑冒滴漏做到及时发现、及时控制；严格</w:t>
            </w:r>
            <w:r>
              <w:rPr>
                <w:rFonts w:hint="eastAsia"/>
                <w:color w:val="auto"/>
                <w:sz w:val="24"/>
                <w:highlight w:val="none"/>
                <w:lang w:val="en-US" w:eastAsia="zh-CN"/>
              </w:rPr>
              <w:t>采取</w:t>
            </w:r>
            <w:r>
              <w:rPr>
                <w:rFonts w:hint="eastAsia"/>
                <w:color w:val="auto"/>
                <w:sz w:val="24"/>
                <w:highlight w:val="none"/>
              </w:rPr>
              <w:t>分区防渗等的管理，防渗层破裂后及时补救、更换的措施后，对地下水和土壤环境造成的影响较小，处于可接受的范围。</w:t>
            </w:r>
          </w:p>
          <w:p w14:paraId="06E66080">
            <w:pPr>
              <w:keepNext w:val="0"/>
              <w:keepLines w:val="0"/>
              <w:pageBreakBefore w:val="0"/>
              <w:widowControl w:val="0"/>
              <w:numPr>
                <w:ilvl w:val="0"/>
                <w:numId w:val="0"/>
              </w:numPr>
              <w:kinsoku/>
              <w:wordWrap/>
              <w:overflowPunct/>
              <w:topLinePunct w:val="0"/>
              <w:autoSpaceDE/>
              <w:autoSpaceDN/>
              <w:bidi w:val="0"/>
              <w:adjustRightInd/>
              <w:snapToGrid/>
              <w:spacing w:line="430" w:lineRule="exact"/>
              <w:textAlignment w:val="auto"/>
              <w:rPr>
                <w:b/>
                <w:color w:val="auto"/>
                <w:kern w:val="0"/>
                <w:sz w:val="24"/>
                <w:highlight w:val="none"/>
              </w:rPr>
            </w:pPr>
            <w:r>
              <w:rPr>
                <w:rFonts w:hint="eastAsia" w:cs="Times New Roman"/>
                <w:b/>
                <w:color w:val="auto"/>
                <w:kern w:val="0"/>
                <w:sz w:val="24"/>
                <w:szCs w:val="24"/>
                <w:highlight w:val="none"/>
                <w:lang w:val="en-US" w:eastAsia="zh-CN" w:bidi="ar-SA"/>
              </w:rPr>
              <w:t>7</w:t>
            </w:r>
            <w:r>
              <w:rPr>
                <w:rFonts w:hint="eastAsia" w:ascii="Times New Roman" w:hAnsi="Times New Roman" w:eastAsia="宋体" w:cs="Times New Roman"/>
                <w:b/>
                <w:color w:val="auto"/>
                <w:kern w:val="0"/>
                <w:sz w:val="24"/>
                <w:szCs w:val="24"/>
                <w:highlight w:val="none"/>
                <w:lang w:val="en-US" w:eastAsia="zh-CN" w:bidi="ar-SA"/>
              </w:rPr>
              <w:t>、</w:t>
            </w:r>
            <w:r>
              <w:rPr>
                <w:rFonts w:hint="eastAsia"/>
                <w:b/>
                <w:color w:val="auto"/>
                <w:kern w:val="0"/>
                <w:sz w:val="24"/>
                <w:highlight w:val="none"/>
              </w:rPr>
              <w:t>环境风险</w:t>
            </w:r>
          </w:p>
          <w:p w14:paraId="4F10D2E9">
            <w:pPr>
              <w:keepNext w:val="0"/>
              <w:keepLines w:val="0"/>
              <w:pageBreakBefore w:val="0"/>
              <w:widowControl w:val="0"/>
              <w:kinsoku/>
              <w:wordWrap/>
              <w:overflowPunct/>
              <w:topLinePunct w:val="0"/>
              <w:autoSpaceDE/>
              <w:autoSpaceDN/>
              <w:bidi w:val="0"/>
              <w:adjustRightInd/>
              <w:snapToGrid/>
              <w:spacing w:line="430" w:lineRule="exact"/>
              <w:ind w:left="0" w:leftChars="0" w:firstLine="482" w:firstLineChars="200"/>
              <w:textAlignment w:val="auto"/>
              <w:rPr>
                <w:b/>
                <w:color w:val="auto"/>
                <w:kern w:val="0"/>
                <w:sz w:val="24"/>
                <w:highlight w:val="none"/>
              </w:rPr>
            </w:pPr>
            <w:r>
              <w:rPr>
                <w:rFonts w:hint="eastAsia"/>
                <w:b/>
                <w:color w:val="auto"/>
                <w:kern w:val="0"/>
                <w:sz w:val="24"/>
                <w:highlight w:val="none"/>
                <w:lang w:eastAsia="zh-CN"/>
              </w:rPr>
              <w:t>（</w:t>
            </w:r>
            <w:r>
              <w:rPr>
                <w:rFonts w:hint="eastAsia"/>
                <w:b/>
                <w:color w:val="auto"/>
                <w:kern w:val="0"/>
                <w:sz w:val="24"/>
                <w:highlight w:val="none"/>
                <w:lang w:val="en-US" w:eastAsia="zh-CN"/>
              </w:rPr>
              <w:t>1</w:t>
            </w:r>
            <w:r>
              <w:rPr>
                <w:rFonts w:hint="eastAsia"/>
                <w:b/>
                <w:color w:val="auto"/>
                <w:kern w:val="0"/>
                <w:sz w:val="24"/>
                <w:highlight w:val="none"/>
                <w:lang w:eastAsia="zh-CN"/>
              </w:rPr>
              <w:t>）</w:t>
            </w:r>
            <w:r>
              <w:rPr>
                <w:rFonts w:hint="eastAsia"/>
                <w:b/>
                <w:color w:val="auto"/>
                <w:kern w:val="0"/>
                <w:sz w:val="24"/>
                <w:highlight w:val="none"/>
              </w:rPr>
              <w:t>风险识别</w:t>
            </w:r>
          </w:p>
          <w:p w14:paraId="41DBDE22">
            <w:pPr>
              <w:keepNext w:val="0"/>
              <w:keepLines w:val="0"/>
              <w:pageBreakBefore w:val="0"/>
              <w:widowControl w:val="0"/>
              <w:kinsoku/>
              <w:wordWrap/>
              <w:overflowPunct/>
              <w:topLinePunct w:val="0"/>
              <w:autoSpaceDE/>
              <w:autoSpaceDN/>
              <w:bidi w:val="0"/>
              <w:adjustRightInd/>
              <w:snapToGrid/>
              <w:spacing w:line="430" w:lineRule="exact"/>
              <w:ind w:left="0" w:leftChars="0" w:firstLine="480" w:firstLineChars="200"/>
              <w:textAlignment w:val="auto"/>
              <w:rPr>
                <w:rFonts w:hint="eastAsia"/>
                <w:bCs/>
                <w:color w:val="auto"/>
                <w:kern w:val="0"/>
                <w:sz w:val="24"/>
                <w:highlight w:val="none"/>
              </w:rPr>
            </w:pPr>
            <w:r>
              <w:rPr>
                <w:rFonts w:hint="eastAsia"/>
                <w:b w:val="0"/>
                <w:bCs/>
                <w:color w:val="auto"/>
                <w:kern w:val="0"/>
                <w:sz w:val="24"/>
                <w:highlight w:val="none"/>
                <w:lang w:val="en-US" w:eastAsia="zh-CN"/>
              </w:rPr>
              <w:t>本次针对</w:t>
            </w:r>
            <w:r>
              <w:rPr>
                <w:rFonts w:hint="eastAsia"/>
                <w:bCs/>
                <w:color w:val="auto"/>
                <w:kern w:val="0"/>
                <w:sz w:val="24"/>
                <w:highlight w:val="none"/>
              </w:rPr>
              <w:t>主要原辅材料、燃料、中间产品、副产品、最终产品、污染物、泄漏、火灾和爆炸伴生/次生物等</w:t>
            </w:r>
            <w:r>
              <w:rPr>
                <w:rFonts w:hint="eastAsia"/>
                <w:bCs/>
                <w:color w:val="auto"/>
                <w:kern w:val="0"/>
                <w:sz w:val="24"/>
                <w:highlight w:val="none"/>
                <w:lang w:val="en-US" w:eastAsia="zh-CN"/>
              </w:rPr>
              <w:t>进行风险识别</w:t>
            </w:r>
            <w:r>
              <w:rPr>
                <w:rFonts w:hint="eastAsia"/>
                <w:bCs/>
                <w:color w:val="auto"/>
                <w:kern w:val="0"/>
                <w:sz w:val="24"/>
                <w:highlight w:val="none"/>
              </w:rPr>
              <w:t>。</w:t>
            </w:r>
          </w:p>
          <w:p w14:paraId="5D6AF0BE">
            <w:pPr>
              <w:keepNext w:val="0"/>
              <w:keepLines w:val="0"/>
              <w:pageBreakBefore w:val="0"/>
              <w:widowControl w:val="0"/>
              <w:kinsoku/>
              <w:wordWrap/>
              <w:overflowPunct/>
              <w:topLinePunct w:val="0"/>
              <w:autoSpaceDE/>
              <w:autoSpaceDN/>
              <w:bidi w:val="0"/>
              <w:adjustRightInd/>
              <w:snapToGrid/>
              <w:spacing w:line="430" w:lineRule="exact"/>
              <w:ind w:left="0" w:leftChars="0" w:firstLine="480" w:firstLineChars="200"/>
              <w:textAlignment w:val="auto"/>
              <w:rPr>
                <w:rFonts w:hint="eastAsia"/>
                <w:color w:val="auto"/>
                <w:sz w:val="24"/>
                <w:szCs w:val="24"/>
                <w:highlight w:val="none"/>
                <w:vertAlign w:val="baseline"/>
                <w:lang w:val="en-US" w:eastAsia="zh-CN"/>
              </w:rPr>
            </w:pPr>
            <w:r>
              <w:rPr>
                <w:rFonts w:hint="eastAsia"/>
                <w:b w:val="0"/>
                <w:bCs/>
                <w:color w:val="auto"/>
                <w:kern w:val="0"/>
                <w:sz w:val="24"/>
                <w:highlight w:val="none"/>
                <w:lang w:val="en-US" w:eastAsia="zh-CN"/>
              </w:rPr>
              <w:t>根据调查，现有项目已于2024年12月26日编制完成《云南錦创环境科技有限公司突发环境事件应急预案》，并于2024年12月27日于昆明市生态环境局寻甸分局备案，备案号为530-129-2024-146-M。《云南錦创环境科技有限公司突发环境事件应急预案》识别出的风险物质为</w:t>
            </w:r>
            <w:r>
              <w:rPr>
                <w:rFonts w:hint="eastAsia"/>
                <w:color w:val="auto"/>
                <w:kern w:val="1"/>
                <w:sz w:val="24"/>
                <w:szCs w:val="24"/>
                <w:highlight w:val="none"/>
              </w:rPr>
              <w:t>CH</w:t>
            </w:r>
            <w:r>
              <w:rPr>
                <w:rFonts w:hint="eastAsia"/>
                <w:color w:val="auto"/>
                <w:kern w:val="1"/>
                <w:sz w:val="24"/>
                <w:szCs w:val="24"/>
                <w:highlight w:val="none"/>
                <w:vertAlign w:val="subscript"/>
              </w:rPr>
              <w:t>4、</w:t>
            </w:r>
            <w:r>
              <w:rPr>
                <w:rFonts w:hint="eastAsia"/>
                <w:color w:val="auto"/>
                <w:kern w:val="1"/>
                <w:sz w:val="24"/>
                <w:szCs w:val="24"/>
                <w:highlight w:val="none"/>
              </w:rPr>
              <w:t>H</w:t>
            </w:r>
            <w:r>
              <w:rPr>
                <w:rFonts w:hint="eastAsia"/>
                <w:color w:val="auto"/>
                <w:kern w:val="1"/>
                <w:sz w:val="24"/>
                <w:szCs w:val="24"/>
                <w:highlight w:val="none"/>
                <w:vertAlign w:val="subscript"/>
              </w:rPr>
              <w:t>2</w:t>
            </w:r>
            <w:r>
              <w:rPr>
                <w:rFonts w:hint="eastAsia"/>
                <w:color w:val="auto"/>
                <w:kern w:val="1"/>
                <w:sz w:val="24"/>
                <w:szCs w:val="24"/>
                <w:highlight w:val="none"/>
              </w:rPr>
              <w:t>S、</w:t>
            </w:r>
            <w:r>
              <w:rPr>
                <w:rFonts w:hint="eastAsia"/>
                <w:color w:val="auto"/>
                <w:sz w:val="24"/>
                <w:szCs w:val="24"/>
                <w:highlight w:val="none"/>
              </w:rPr>
              <w:t>SO</w:t>
            </w:r>
            <w:r>
              <w:rPr>
                <w:rFonts w:hint="eastAsia"/>
                <w:color w:val="auto"/>
                <w:sz w:val="24"/>
                <w:szCs w:val="24"/>
                <w:highlight w:val="none"/>
                <w:vertAlign w:val="subscript"/>
              </w:rPr>
              <w:t>2</w:t>
            </w:r>
            <w:r>
              <w:rPr>
                <w:rFonts w:hint="eastAsia"/>
                <w:color w:val="auto"/>
                <w:sz w:val="24"/>
                <w:szCs w:val="24"/>
                <w:highlight w:val="none"/>
                <w:vertAlign w:val="baseline"/>
                <w:lang w:eastAsia="zh-CN"/>
              </w:rPr>
              <w:t>、</w:t>
            </w:r>
            <w:r>
              <w:rPr>
                <w:rFonts w:hint="eastAsia"/>
                <w:color w:val="auto"/>
                <w:sz w:val="24"/>
                <w:szCs w:val="24"/>
                <w:highlight w:val="none"/>
                <w:vertAlign w:val="baseline"/>
                <w:lang w:val="en-US" w:eastAsia="zh-CN"/>
              </w:rPr>
              <w:t>废矿物油。</w:t>
            </w:r>
          </w:p>
          <w:p w14:paraId="366B97C4">
            <w:pPr>
              <w:keepNext w:val="0"/>
              <w:keepLines w:val="0"/>
              <w:pageBreakBefore w:val="0"/>
              <w:widowControl w:val="0"/>
              <w:kinsoku/>
              <w:wordWrap/>
              <w:overflowPunct/>
              <w:topLinePunct w:val="0"/>
              <w:autoSpaceDE/>
              <w:autoSpaceDN/>
              <w:bidi w:val="0"/>
              <w:adjustRightInd/>
              <w:snapToGrid/>
              <w:spacing w:line="430" w:lineRule="exact"/>
              <w:ind w:left="0" w:leftChars="0" w:firstLine="480" w:firstLineChars="200"/>
              <w:textAlignment w:val="auto"/>
              <w:rPr>
                <w:rFonts w:hint="eastAsia"/>
                <w:b w:val="0"/>
                <w:bCs/>
                <w:color w:val="auto"/>
                <w:kern w:val="0"/>
                <w:sz w:val="24"/>
                <w:highlight w:val="none"/>
                <w:lang w:val="en-US" w:eastAsia="zh-CN"/>
              </w:rPr>
            </w:pPr>
            <w:r>
              <w:rPr>
                <w:rFonts w:hint="eastAsia"/>
                <w:color w:val="auto"/>
                <w:sz w:val="24"/>
                <w:szCs w:val="24"/>
                <w:highlight w:val="none"/>
                <w:vertAlign w:val="baseline"/>
                <w:lang w:val="en-US" w:eastAsia="zh-CN"/>
              </w:rPr>
              <w:t>根据《建设项目环境风险评价技术导则》（HJ169-2018）附录B辨别</w:t>
            </w:r>
            <w:r>
              <w:rPr>
                <w:rFonts w:hint="eastAsia"/>
                <w:b w:val="0"/>
                <w:bCs/>
                <w:color w:val="auto"/>
                <w:kern w:val="0"/>
                <w:sz w:val="24"/>
                <w:highlight w:val="none"/>
                <w:lang w:val="en-US" w:eastAsia="zh-CN"/>
              </w:rPr>
              <w:t>，本项目风险物质主要为</w:t>
            </w:r>
            <w:r>
              <w:rPr>
                <w:rFonts w:hint="eastAsia"/>
                <w:color w:val="auto"/>
                <w:sz w:val="24"/>
                <w:szCs w:val="24"/>
                <w:highlight w:val="none"/>
                <w:vertAlign w:val="baseline"/>
                <w:lang w:val="en-US" w:eastAsia="zh-CN"/>
              </w:rPr>
              <w:t>冰醋酸和硫酸铵，其临界值（以纯物质计）均为10t，其中堆肥</w:t>
            </w:r>
            <w:r>
              <w:rPr>
                <w:rFonts w:hint="eastAsia"/>
                <w:b w:val="0"/>
                <w:bCs/>
                <w:color w:val="auto"/>
                <w:kern w:val="0"/>
                <w:sz w:val="24"/>
                <w:highlight w:val="none"/>
                <w:lang w:val="en-US" w:eastAsia="zh-CN"/>
              </w:rPr>
              <w:t>生产过程中产生的渗滤液COD产生浓度为6000mg/L、NH</w:t>
            </w:r>
            <w:r>
              <w:rPr>
                <w:rFonts w:hint="eastAsia"/>
                <w:b w:val="0"/>
                <w:bCs/>
                <w:color w:val="auto"/>
                <w:kern w:val="0"/>
                <w:sz w:val="24"/>
                <w:highlight w:val="none"/>
                <w:vertAlign w:val="subscript"/>
                <w:lang w:val="en-US" w:eastAsia="zh-CN"/>
              </w:rPr>
              <w:t>3</w:t>
            </w:r>
            <w:r>
              <w:rPr>
                <w:rFonts w:hint="eastAsia"/>
                <w:b w:val="0"/>
                <w:bCs/>
                <w:color w:val="auto"/>
                <w:kern w:val="0"/>
                <w:sz w:val="24"/>
                <w:highlight w:val="none"/>
                <w:lang w:val="en-US" w:eastAsia="zh-CN"/>
              </w:rPr>
              <w:t>-N产生浓度为600mg/L，不属于COD浓度≥10000mg/L的有机废液和NH</w:t>
            </w:r>
            <w:r>
              <w:rPr>
                <w:rFonts w:hint="eastAsia"/>
                <w:b w:val="0"/>
                <w:bCs/>
                <w:color w:val="auto"/>
                <w:kern w:val="0"/>
                <w:sz w:val="24"/>
                <w:highlight w:val="none"/>
                <w:vertAlign w:val="subscript"/>
                <w:lang w:val="en-US" w:eastAsia="zh-CN"/>
              </w:rPr>
              <w:t>3</w:t>
            </w:r>
            <w:r>
              <w:rPr>
                <w:rFonts w:hint="eastAsia"/>
                <w:b w:val="0"/>
                <w:bCs/>
                <w:color w:val="auto"/>
                <w:kern w:val="0"/>
                <w:sz w:val="24"/>
                <w:highlight w:val="none"/>
                <w:lang w:val="en-US" w:eastAsia="zh-CN"/>
              </w:rPr>
              <w:t>-N≥2000mg/L的废液。</w:t>
            </w:r>
          </w:p>
          <w:p w14:paraId="1E50FBF2">
            <w:pPr>
              <w:keepNext w:val="0"/>
              <w:keepLines w:val="0"/>
              <w:pageBreakBefore w:val="0"/>
              <w:widowControl w:val="0"/>
              <w:kinsoku/>
              <w:wordWrap/>
              <w:overflowPunct/>
              <w:topLinePunct w:val="0"/>
              <w:autoSpaceDE/>
              <w:autoSpaceDN/>
              <w:bidi w:val="0"/>
              <w:adjustRightInd/>
              <w:snapToGrid/>
              <w:spacing w:line="430" w:lineRule="exact"/>
              <w:ind w:left="0" w:leftChars="0" w:firstLine="480" w:firstLineChars="200"/>
              <w:textAlignment w:val="auto"/>
              <w:rPr>
                <w:rFonts w:hint="eastAsia"/>
                <w:bCs/>
                <w:color w:val="auto"/>
                <w:kern w:val="0"/>
                <w:sz w:val="24"/>
                <w:highlight w:val="none"/>
                <w:lang w:val="en-US" w:eastAsia="zh-CN"/>
              </w:rPr>
            </w:pPr>
            <w:r>
              <w:rPr>
                <w:rFonts w:hint="eastAsia"/>
                <w:color w:val="auto"/>
                <w:sz w:val="24"/>
                <w:szCs w:val="24"/>
                <w:highlight w:val="none"/>
                <w:vertAlign w:val="baseline"/>
                <w:lang w:val="en-US" w:eastAsia="zh-CN"/>
              </w:rPr>
              <w:t>综上，结合</w:t>
            </w:r>
            <w:r>
              <w:rPr>
                <w:rFonts w:hint="eastAsia"/>
                <w:b w:val="0"/>
                <w:bCs/>
                <w:color w:val="auto"/>
                <w:kern w:val="0"/>
                <w:sz w:val="24"/>
                <w:highlight w:val="none"/>
                <w:lang w:val="en-US" w:eastAsia="zh-CN"/>
              </w:rPr>
              <w:t>《云南錦创环境科技有限公司突发环境事件应急预案》和</w:t>
            </w:r>
            <w:r>
              <w:rPr>
                <w:rFonts w:hint="eastAsia"/>
                <w:color w:val="auto"/>
                <w:sz w:val="24"/>
                <w:szCs w:val="24"/>
                <w:highlight w:val="none"/>
                <w:vertAlign w:val="baseline"/>
                <w:lang w:val="en-US" w:eastAsia="zh-CN"/>
              </w:rPr>
              <w:t>《建设项目环境风险评价技术导则》（HJ169-2018）附录B，本项目建设完成，全厂风险物质为</w:t>
            </w:r>
            <w:r>
              <w:rPr>
                <w:rFonts w:hint="eastAsia"/>
                <w:color w:val="auto"/>
                <w:kern w:val="1"/>
                <w:szCs w:val="21"/>
                <w:highlight w:val="none"/>
              </w:rPr>
              <w:t>CH</w:t>
            </w:r>
            <w:r>
              <w:rPr>
                <w:rFonts w:hint="eastAsia"/>
                <w:color w:val="auto"/>
                <w:kern w:val="1"/>
                <w:szCs w:val="21"/>
                <w:highlight w:val="none"/>
                <w:vertAlign w:val="subscript"/>
              </w:rPr>
              <w:t>4、</w:t>
            </w:r>
            <w:r>
              <w:rPr>
                <w:rFonts w:hint="eastAsia"/>
                <w:color w:val="auto"/>
                <w:kern w:val="1"/>
                <w:sz w:val="24"/>
                <w:highlight w:val="none"/>
              </w:rPr>
              <w:t>H</w:t>
            </w:r>
            <w:r>
              <w:rPr>
                <w:rFonts w:hint="eastAsia"/>
                <w:color w:val="auto"/>
                <w:kern w:val="1"/>
                <w:sz w:val="24"/>
                <w:highlight w:val="none"/>
                <w:vertAlign w:val="subscript"/>
              </w:rPr>
              <w:t>2</w:t>
            </w:r>
            <w:r>
              <w:rPr>
                <w:rFonts w:hint="eastAsia"/>
                <w:color w:val="auto"/>
                <w:kern w:val="1"/>
                <w:sz w:val="24"/>
                <w:highlight w:val="none"/>
              </w:rPr>
              <w:t>S、</w:t>
            </w:r>
            <w:r>
              <w:rPr>
                <w:rFonts w:hint="eastAsia"/>
                <w:color w:val="auto"/>
                <w:highlight w:val="none"/>
              </w:rPr>
              <w:t>SO</w:t>
            </w:r>
            <w:r>
              <w:rPr>
                <w:rFonts w:hint="eastAsia"/>
                <w:color w:val="auto"/>
                <w:highlight w:val="none"/>
                <w:vertAlign w:val="subscript"/>
              </w:rPr>
              <w:t>2</w:t>
            </w:r>
            <w:r>
              <w:rPr>
                <w:rFonts w:hint="eastAsia"/>
                <w:color w:val="auto"/>
                <w:highlight w:val="none"/>
                <w:vertAlign w:val="baseline"/>
                <w:lang w:eastAsia="zh-CN"/>
              </w:rPr>
              <w:t>、</w:t>
            </w:r>
            <w:r>
              <w:rPr>
                <w:rFonts w:hint="eastAsia"/>
                <w:color w:val="auto"/>
                <w:highlight w:val="none"/>
                <w:vertAlign w:val="baseline"/>
                <w:lang w:val="en-US" w:eastAsia="zh-CN"/>
              </w:rPr>
              <w:t>废矿物油、</w:t>
            </w:r>
            <w:r>
              <w:rPr>
                <w:rFonts w:hint="eastAsia"/>
                <w:bCs/>
                <w:color w:val="auto"/>
                <w:kern w:val="0"/>
                <w:sz w:val="24"/>
                <w:highlight w:val="none"/>
              </w:rPr>
              <w:t>冰醋酸</w:t>
            </w:r>
            <w:r>
              <w:rPr>
                <w:rFonts w:hint="eastAsia"/>
                <w:bCs/>
                <w:color w:val="auto"/>
                <w:kern w:val="0"/>
                <w:sz w:val="24"/>
                <w:highlight w:val="none"/>
                <w:lang w:val="en-US" w:eastAsia="zh-CN"/>
              </w:rPr>
              <w:t>和硫酸铵。</w:t>
            </w:r>
          </w:p>
          <w:p w14:paraId="468AD399">
            <w:pPr>
              <w:keepNext w:val="0"/>
              <w:keepLines w:val="0"/>
              <w:pageBreakBefore w:val="0"/>
              <w:widowControl w:val="0"/>
              <w:kinsoku/>
              <w:wordWrap/>
              <w:overflowPunct/>
              <w:topLinePunct w:val="0"/>
              <w:autoSpaceDE/>
              <w:autoSpaceDN/>
              <w:bidi w:val="0"/>
              <w:adjustRightInd/>
              <w:snapToGrid/>
              <w:spacing w:line="430" w:lineRule="exact"/>
              <w:ind w:left="0" w:leftChars="0" w:firstLine="480" w:firstLineChars="200"/>
              <w:textAlignment w:val="auto"/>
              <w:rPr>
                <w:b/>
                <w:color w:val="auto"/>
                <w:sz w:val="24"/>
                <w:szCs w:val="24"/>
                <w:highlight w:val="none"/>
              </w:rPr>
            </w:pPr>
            <w:r>
              <w:rPr>
                <w:rFonts w:hint="eastAsia"/>
                <w:bCs/>
                <w:color w:val="auto"/>
                <w:kern w:val="0"/>
                <w:sz w:val="24"/>
                <w:szCs w:val="24"/>
                <w:highlight w:val="none"/>
                <w:lang w:val="en-US" w:eastAsia="zh-CN"/>
              </w:rPr>
              <w:t>全厂</w:t>
            </w:r>
            <w:r>
              <w:rPr>
                <w:rFonts w:hint="eastAsia"/>
                <w:bCs/>
                <w:color w:val="auto"/>
                <w:kern w:val="0"/>
                <w:sz w:val="24"/>
                <w:szCs w:val="24"/>
                <w:highlight w:val="none"/>
              </w:rPr>
              <w:t>危险物质及危险性识别如下</w:t>
            </w:r>
          </w:p>
          <w:p w14:paraId="7B7923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color w:val="auto"/>
                <w:szCs w:val="21"/>
                <w:highlight w:val="none"/>
              </w:rPr>
            </w:pPr>
            <w:r>
              <w:rPr>
                <w:b/>
                <w:color w:val="auto"/>
                <w:szCs w:val="21"/>
                <w:highlight w:val="none"/>
              </w:rPr>
              <w:t>表</w:t>
            </w:r>
            <w:r>
              <w:rPr>
                <w:rFonts w:hint="eastAsia"/>
                <w:b/>
                <w:color w:val="auto"/>
                <w:szCs w:val="21"/>
                <w:highlight w:val="none"/>
              </w:rPr>
              <w:t>4</w:t>
            </w:r>
            <w:r>
              <w:rPr>
                <w:b/>
                <w:color w:val="auto"/>
                <w:szCs w:val="21"/>
                <w:highlight w:val="none"/>
              </w:rPr>
              <w:t>-</w:t>
            </w:r>
            <w:r>
              <w:rPr>
                <w:rFonts w:hint="eastAsia"/>
                <w:b/>
                <w:color w:val="auto"/>
                <w:szCs w:val="21"/>
                <w:highlight w:val="none"/>
                <w:lang w:val="en-US" w:eastAsia="zh-CN"/>
              </w:rPr>
              <w:t>3</w:t>
            </w:r>
            <w:r>
              <w:rPr>
                <w:rFonts w:hint="eastAsia"/>
                <w:b/>
                <w:color w:val="auto"/>
                <w:szCs w:val="21"/>
                <w:highlight w:val="none"/>
              </w:rPr>
              <w:t>1</w:t>
            </w:r>
            <w:r>
              <w:rPr>
                <w:b/>
                <w:color w:val="auto"/>
                <w:szCs w:val="21"/>
                <w:highlight w:val="none"/>
              </w:rPr>
              <w:t xml:space="preserve"> </w:t>
            </w:r>
            <w:r>
              <w:rPr>
                <w:rFonts w:hint="eastAsia"/>
                <w:b/>
                <w:color w:val="auto"/>
                <w:szCs w:val="21"/>
                <w:highlight w:val="none"/>
                <w:lang w:val="en-US" w:eastAsia="zh-CN"/>
              </w:rPr>
              <w:t xml:space="preserve"> </w:t>
            </w:r>
            <w:r>
              <w:rPr>
                <w:rFonts w:hint="eastAsia"/>
                <w:b/>
                <w:color w:val="auto"/>
                <w:szCs w:val="21"/>
                <w:highlight w:val="none"/>
              </w:rPr>
              <w:t>废矿物油理化性质表</w:t>
            </w:r>
            <w:r>
              <w:rPr>
                <w:b/>
                <w:bCs/>
                <w:color w:val="auto"/>
                <w:szCs w:val="16"/>
                <w:highlight w:val="none"/>
              </w:rPr>
              <w:t>及危险特性表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338"/>
              <w:gridCol w:w="3116"/>
              <w:gridCol w:w="3475"/>
            </w:tblGrid>
            <w:tr w14:paraId="29479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vMerge w:val="restart"/>
                  <w:tcBorders>
                    <w:tl2br w:val="nil"/>
                    <w:tr2bl w:val="nil"/>
                  </w:tcBorders>
                  <w:vAlign w:val="center"/>
                </w:tcPr>
                <w:p w14:paraId="714C63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highlight w:val="none"/>
                      <w:lang w:val="zh-CN"/>
                    </w:rPr>
                  </w:pPr>
                  <w:r>
                    <w:rPr>
                      <w:color w:val="auto"/>
                      <w:highlight w:val="none"/>
                      <w:lang w:val="zh-CN"/>
                    </w:rPr>
                    <w:t>标识</w:t>
                  </w:r>
                </w:p>
              </w:tc>
              <w:tc>
                <w:tcPr>
                  <w:tcW w:w="7929" w:type="dxa"/>
                  <w:gridSpan w:val="3"/>
                  <w:tcBorders>
                    <w:tl2br w:val="nil"/>
                    <w:tr2bl w:val="nil"/>
                  </w:tcBorders>
                  <w:vAlign w:val="center"/>
                </w:tcPr>
                <w:p w14:paraId="1A863262">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中文名：废矿物油</w:t>
                  </w:r>
                </w:p>
              </w:tc>
            </w:tr>
            <w:tr w14:paraId="69AF2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vMerge w:val="continue"/>
                  <w:tcBorders>
                    <w:tl2br w:val="nil"/>
                    <w:tr2bl w:val="nil"/>
                  </w:tcBorders>
                  <w:vAlign w:val="center"/>
                </w:tcPr>
                <w:p w14:paraId="3B4C2F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highlight w:val="none"/>
                      <w:lang w:val="zh-CN"/>
                    </w:rPr>
                  </w:pPr>
                </w:p>
              </w:tc>
              <w:tc>
                <w:tcPr>
                  <w:tcW w:w="7929" w:type="dxa"/>
                  <w:gridSpan w:val="3"/>
                  <w:tcBorders>
                    <w:tl2br w:val="nil"/>
                    <w:tr2bl w:val="nil"/>
                  </w:tcBorders>
                  <w:vAlign w:val="center"/>
                </w:tcPr>
                <w:p w14:paraId="74BF4B0D">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危险性类别：第</w:t>
                  </w:r>
                  <w:r>
                    <w:rPr>
                      <w:color w:val="auto"/>
                      <w:highlight w:val="none"/>
                    </w:rPr>
                    <w:t>3.2类中闪点易燃液体</w:t>
                  </w:r>
                </w:p>
              </w:tc>
            </w:tr>
            <w:tr w14:paraId="79138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vMerge w:val="restart"/>
                  <w:tcBorders>
                    <w:tl2br w:val="nil"/>
                    <w:tr2bl w:val="nil"/>
                  </w:tcBorders>
                  <w:vAlign w:val="center"/>
                </w:tcPr>
                <w:p w14:paraId="7F6ED6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highlight w:val="none"/>
                      <w:lang w:val="zh-CN"/>
                    </w:rPr>
                  </w:pPr>
                  <w:r>
                    <w:rPr>
                      <w:color w:val="auto"/>
                      <w:highlight w:val="none"/>
                      <w:lang w:val="zh-CN"/>
                    </w:rPr>
                    <w:t>理化性质</w:t>
                  </w:r>
                </w:p>
              </w:tc>
              <w:tc>
                <w:tcPr>
                  <w:tcW w:w="7929" w:type="dxa"/>
                  <w:gridSpan w:val="3"/>
                  <w:tcBorders>
                    <w:tl2br w:val="nil"/>
                    <w:tr2bl w:val="nil"/>
                  </w:tcBorders>
                  <w:vAlign w:val="center"/>
                </w:tcPr>
                <w:p w14:paraId="5A1BD6FD">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外观与性状：为黄色油状液体</w:t>
                  </w:r>
                </w:p>
              </w:tc>
            </w:tr>
            <w:tr w14:paraId="3112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vMerge w:val="continue"/>
                  <w:tcBorders>
                    <w:tl2br w:val="nil"/>
                    <w:tr2bl w:val="nil"/>
                  </w:tcBorders>
                  <w:vAlign w:val="center"/>
                </w:tcPr>
                <w:p w14:paraId="7C9372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highlight w:val="none"/>
                      <w:lang w:val="zh-CN"/>
                    </w:rPr>
                  </w:pPr>
                </w:p>
              </w:tc>
              <w:tc>
                <w:tcPr>
                  <w:tcW w:w="4454" w:type="dxa"/>
                  <w:gridSpan w:val="2"/>
                  <w:tcBorders>
                    <w:tl2br w:val="nil"/>
                    <w:tr2bl w:val="nil"/>
                  </w:tcBorders>
                  <w:vAlign w:val="center"/>
                </w:tcPr>
                <w:p w14:paraId="3F96CB06">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闪点（℃）：</w:t>
                  </w:r>
                  <w:r>
                    <w:rPr>
                      <w:color w:val="auto"/>
                      <w:highlight w:val="none"/>
                    </w:rPr>
                    <w:t>135</w:t>
                  </w:r>
                </w:p>
              </w:tc>
              <w:tc>
                <w:tcPr>
                  <w:tcW w:w="3475" w:type="dxa"/>
                  <w:tcBorders>
                    <w:tl2br w:val="nil"/>
                    <w:tr2bl w:val="nil"/>
                  </w:tcBorders>
                  <w:vAlign w:val="center"/>
                </w:tcPr>
                <w:p w14:paraId="16F7876A">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rPr>
                  </w:pPr>
                  <w:r>
                    <w:rPr>
                      <w:color w:val="auto"/>
                      <w:highlight w:val="none"/>
                      <w:lang w:val="zh-CN"/>
                    </w:rPr>
                    <w:t>沸点（℃）</w:t>
                  </w:r>
                  <w:r>
                    <w:rPr>
                      <w:color w:val="auto"/>
                      <w:highlight w:val="none"/>
                    </w:rPr>
                    <w:t>:179-210</w:t>
                  </w:r>
                </w:p>
              </w:tc>
            </w:tr>
            <w:tr w14:paraId="35FC3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vMerge w:val="continue"/>
                  <w:tcBorders>
                    <w:tl2br w:val="nil"/>
                    <w:tr2bl w:val="nil"/>
                  </w:tcBorders>
                  <w:vAlign w:val="center"/>
                </w:tcPr>
                <w:p w14:paraId="33774C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highlight w:val="none"/>
                      <w:lang w:val="zh-CN"/>
                    </w:rPr>
                  </w:pPr>
                </w:p>
              </w:tc>
              <w:tc>
                <w:tcPr>
                  <w:tcW w:w="7929" w:type="dxa"/>
                  <w:gridSpan w:val="3"/>
                  <w:tcBorders>
                    <w:tl2br w:val="nil"/>
                    <w:tr2bl w:val="nil"/>
                  </w:tcBorders>
                  <w:vAlign w:val="center"/>
                </w:tcPr>
                <w:p w14:paraId="02C0B569">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溶解性：不</w:t>
                  </w:r>
                  <w:r>
                    <w:rPr>
                      <w:rFonts w:hint="eastAsia"/>
                      <w:color w:val="auto"/>
                      <w:highlight w:val="none"/>
                      <w:lang w:val="zh-CN"/>
                    </w:rPr>
                    <w:t>溶于</w:t>
                  </w:r>
                  <w:r>
                    <w:rPr>
                      <w:color w:val="auto"/>
                      <w:highlight w:val="none"/>
                      <w:lang w:val="zh-CN"/>
                    </w:rPr>
                    <w:t>水，溶于有机溶剂</w:t>
                  </w:r>
                </w:p>
              </w:tc>
            </w:tr>
            <w:tr w14:paraId="463E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vMerge w:val="continue"/>
                  <w:tcBorders>
                    <w:tl2br w:val="nil"/>
                    <w:tr2bl w:val="nil"/>
                  </w:tcBorders>
                  <w:vAlign w:val="center"/>
                </w:tcPr>
                <w:p w14:paraId="28E77E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highlight w:val="none"/>
                      <w:lang w:val="zh-CN"/>
                    </w:rPr>
                  </w:pPr>
                </w:p>
              </w:tc>
              <w:tc>
                <w:tcPr>
                  <w:tcW w:w="7929" w:type="dxa"/>
                  <w:gridSpan w:val="3"/>
                  <w:tcBorders>
                    <w:tl2br w:val="nil"/>
                    <w:tr2bl w:val="nil"/>
                  </w:tcBorders>
                  <w:vAlign w:val="center"/>
                </w:tcPr>
                <w:p w14:paraId="53DFA809">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相对密度：</w:t>
                  </w:r>
                  <w:r>
                    <w:rPr>
                      <w:color w:val="auto"/>
                      <w:highlight w:val="none"/>
                    </w:rPr>
                    <w:t>0.85</w:t>
                  </w:r>
                </w:p>
              </w:tc>
            </w:tr>
            <w:tr w14:paraId="4D09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vMerge w:val="restart"/>
                  <w:tcBorders>
                    <w:tl2br w:val="nil"/>
                    <w:tr2bl w:val="nil"/>
                  </w:tcBorders>
                  <w:vAlign w:val="center"/>
                </w:tcPr>
                <w:p w14:paraId="5DB064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highlight w:val="none"/>
                      <w:lang w:val="zh-CN"/>
                    </w:rPr>
                  </w:pPr>
                  <w:r>
                    <w:rPr>
                      <w:color w:val="auto"/>
                      <w:highlight w:val="none"/>
                      <w:lang w:val="zh-CN"/>
                    </w:rPr>
                    <w:t>燃烧爆炸危险性</w:t>
                  </w:r>
                </w:p>
              </w:tc>
              <w:tc>
                <w:tcPr>
                  <w:tcW w:w="7929" w:type="dxa"/>
                  <w:gridSpan w:val="3"/>
                  <w:tcBorders>
                    <w:tl2br w:val="nil"/>
                    <w:tr2bl w:val="nil"/>
                  </w:tcBorders>
                  <w:vAlign w:val="center"/>
                </w:tcPr>
                <w:p w14:paraId="5306F59D">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燃烧性：可燃</w:t>
                  </w:r>
                </w:p>
              </w:tc>
            </w:tr>
            <w:tr w14:paraId="322A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vMerge w:val="continue"/>
                  <w:tcBorders>
                    <w:tl2br w:val="nil"/>
                    <w:tr2bl w:val="nil"/>
                  </w:tcBorders>
                  <w:vAlign w:val="center"/>
                </w:tcPr>
                <w:p w14:paraId="7AC90D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highlight w:val="none"/>
                      <w:lang w:val="zh-CN"/>
                    </w:rPr>
                  </w:pPr>
                </w:p>
              </w:tc>
              <w:tc>
                <w:tcPr>
                  <w:tcW w:w="4454" w:type="dxa"/>
                  <w:gridSpan w:val="2"/>
                  <w:tcBorders>
                    <w:tl2br w:val="nil"/>
                    <w:tr2bl w:val="nil"/>
                  </w:tcBorders>
                  <w:vAlign w:val="center"/>
                </w:tcPr>
                <w:p w14:paraId="0E268374">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rPr>
                  </w:pPr>
                  <w:r>
                    <w:rPr>
                      <w:color w:val="auto"/>
                      <w:highlight w:val="none"/>
                      <w:lang w:val="zh-CN"/>
                    </w:rPr>
                    <w:t>爆炸下限（%）：</w:t>
                  </w:r>
                  <w:r>
                    <w:rPr>
                      <w:color w:val="auto"/>
                      <w:highlight w:val="none"/>
                    </w:rPr>
                    <w:t>3.8</w:t>
                  </w:r>
                </w:p>
              </w:tc>
              <w:tc>
                <w:tcPr>
                  <w:tcW w:w="3475" w:type="dxa"/>
                  <w:tcBorders>
                    <w:tl2br w:val="nil"/>
                    <w:tr2bl w:val="nil"/>
                  </w:tcBorders>
                  <w:vAlign w:val="center"/>
                </w:tcPr>
                <w:p w14:paraId="768D9F6D">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爆炸上限（%）：</w:t>
                  </w:r>
                  <w:r>
                    <w:rPr>
                      <w:color w:val="auto"/>
                      <w:highlight w:val="none"/>
                    </w:rPr>
                    <w:t>10.2</w:t>
                  </w:r>
                </w:p>
              </w:tc>
            </w:tr>
            <w:tr w14:paraId="5AF76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vMerge w:val="continue"/>
                  <w:tcBorders>
                    <w:tl2br w:val="nil"/>
                    <w:tr2bl w:val="nil"/>
                  </w:tcBorders>
                  <w:vAlign w:val="center"/>
                </w:tcPr>
                <w:p w14:paraId="12FAEE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highlight w:val="none"/>
                      <w:lang w:val="zh-CN"/>
                    </w:rPr>
                  </w:pPr>
                </w:p>
              </w:tc>
              <w:tc>
                <w:tcPr>
                  <w:tcW w:w="1338" w:type="dxa"/>
                  <w:tcBorders>
                    <w:tl2br w:val="nil"/>
                    <w:tr2bl w:val="nil"/>
                  </w:tcBorders>
                  <w:vAlign w:val="center"/>
                </w:tcPr>
                <w:p w14:paraId="3F95A6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highlight w:val="none"/>
                    </w:rPr>
                  </w:pPr>
                  <w:r>
                    <w:rPr>
                      <w:color w:val="auto"/>
                      <w:highlight w:val="none"/>
                    </w:rPr>
                    <w:t>危险特性</w:t>
                  </w:r>
                </w:p>
              </w:tc>
              <w:tc>
                <w:tcPr>
                  <w:tcW w:w="6591" w:type="dxa"/>
                  <w:gridSpan w:val="2"/>
                  <w:tcBorders>
                    <w:tl2br w:val="nil"/>
                    <w:tr2bl w:val="nil"/>
                  </w:tcBorders>
                  <w:vAlign w:val="center"/>
                </w:tcPr>
                <w:p w14:paraId="6B2A9087">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废矿物油与含矿物油废物含有多环芳烃（PAHs）、苯系物、重金属等多种有毒性物质，如随意倾倒不仅会对水体和土壤造成严重污染，也会对人体健康造成严重危害。如果把废矿物油倒入土壤，可导致植物死亡，被污染土壤内微生物灭绝。废矿物油内的有毒物质可通过人体和动物的表皮渗透到血液中，并在体内积累，会导致各种细胞丧失正常功能，是公认的致癌和致突变化合物。</w:t>
                  </w:r>
                </w:p>
              </w:tc>
            </w:tr>
            <w:tr w14:paraId="644F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vMerge w:val="continue"/>
                  <w:tcBorders>
                    <w:tl2br w:val="nil"/>
                    <w:tr2bl w:val="nil"/>
                  </w:tcBorders>
                  <w:vAlign w:val="center"/>
                </w:tcPr>
                <w:p w14:paraId="60FCD7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highlight w:val="none"/>
                      <w:lang w:val="zh-CN"/>
                    </w:rPr>
                  </w:pPr>
                </w:p>
              </w:tc>
              <w:tc>
                <w:tcPr>
                  <w:tcW w:w="1338" w:type="dxa"/>
                  <w:tcBorders>
                    <w:tl2br w:val="nil"/>
                    <w:tr2bl w:val="nil"/>
                  </w:tcBorders>
                  <w:vAlign w:val="center"/>
                </w:tcPr>
                <w:p w14:paraId="5ED9BB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highlight w:val="none"/>
                      <w:lang w:val="zh-CN"/>
                    </w:rPr>
                  </w:pPr>
                  <w:r>
                    <w:rPr>
                      <w:color w:val="auto"/>
                      <w:highlight w:val="none"/>
                      <w:lang w:val="zh-CN"/>
                    </w:rPr>
                    <w:t>应急措施</w:t>
                  </w:r>
                </w:p>
              </w:tc>
              <w:tc>
                <w:tcPr>
                  <w:tcW w:w="6591" w:type="dxa"/>
                  <w:gridSpan w:val="2"/>
                  <w:tcBorders>
                    <w:tl2br w:val="nil"/>
                    <w:tr2bl w:val="nil"/>
                  </w:tcBorders>
                  <w:vAlign w:val="center"/>
                </w:tcPr>
                <w:p w14:paraId="620327AE">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1、及时封堵住桶口，使油液与空气隔离；</w:t>
                  </w:r>
                </w:p>
                <w:p w14:paraId="2E163400">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2、小面积起火使用沙土、灭火器对火源进行扑救；</w:t>
                  </w:r>
                </w:p>
                <w:p w14:paraId="24D5AC28">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3、严禁用水灭火；</w:t>
                  </w:r>
                </w:p>
                <w:p w14:paraId="343A514D">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4、转移火源周围物品；</w:t>
                  </w:r>
                </w:p>
                <w:p w14:paraId="3C4DB77D">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5、通知其它员工协助扑灭，启动车间消防应急预案并报告上级领导；</w:t>
                  </w:r>
                </w:p>
                <w:p w14:paraId="0C84F8F3">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6、火势</w:t>
                  </w:r>
                  <w:r>
                    <w:rPr>
                      <w:rFonts w:hint="eastAsia"/>
                      <w:color w:val="auto"/>
                      <w:highlight w:val="none"/>
                      <w:lang w:val="zh-CN"/>
                    </w:rPr>
                    <w:t>难以</w:t>
                  </w:r>
                  <w:r>
                    <w:rPr>
                      <w:color w:val="auto"/>
                      <w:highlight w:val="none"/>
                      <w:lang w:val="zh-CN"/>
                    </w:rPr>
                    <w:t>控制时报警并紧急疏散撤离。</w:t>
                  </w:r>
                </w:p>
              </w:tc>
            </w:tr>
            <w:tr w14:paraId="20D60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tcBorders>
                    <w:tl2br w:val="nil"/>
                    <w:tr2bl w:val="nil"/>
                  </w:tcBorders>
                  <w:vAlign w:val="center"/>
                </w:tcPr>
                <w:p w14:paraId="4F82EB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highlight w:val="none"/>
                      <w:lang w:val="zh-CN"/>
                    </w:rPr>
                  </w:pPr>
                  <w:r>
                    <w:rPr>
                      <w:color w:val="auto"/>
                      <w:highlight w:val="none"/>
                      <w:lang w:val="zh-CN"/>
                    </w:rPr>
                    <w:t>泄漏应急处理</w:t>
                  </w:r>
                </w:p>
              </w:tc>
              <w:tc>
                <w:tcPr>
                  <w:tcW w:w="7929" w:type="dxa"/>
                  <w:gridSpan w:val="3"/>
                  <w:tcBorders>
                    <w:tl2br w:val="nil"/>
                    <w:tr2bl w:val="nil"/>
                  </w:tcBorders>
                  <w:vAlign w:val="center"/>
                </w:tcPr>
                <w:p w14:paraId="6C831DCA">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1、及时</w:t>
                  </w:r>
                  <w:r>
                    <w:rPr>
                      <w:rFonts w:hint="eastAsia"/>
                      <w:color w:val="auto"/>
                      <w:highlight w:val="none"/>
                      <w:lang w:val="zh-CN"/>
                    </w:rPr>
                    <w:t>更换</w:t>
                  </w:r>
                  <w:r>
                    <w:rPr>
                      <w:color w:val="auto"/>
                      <w:highlight w:val="none"/>
                      <w:lang w:val="zh-CN"/>
                    </w:rPr>
                    <w:t>新的油桶；</w:t>
                  </w:r>
                </w:p>
                <w:p w14:paraId="7D1AAF30">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2、把地面上能铲起的油液铲起；</w:t>
                  </w:r>
                </w:p>
                <w:p w14:paraId="03BFB85B">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3、打开门使空气流通；</w:t>
                  </w:r>
                </w:p>
                <w:p w14:paraId="6D102E88">
                  <w:pPr>
                    <w:keepNext w:val="0"/>
                    <w:keepLines w:val="0"/>
                    <w:pageBreakBefore w:val="0"/>
                    <w:widowControl w:val="0"/>
                    <w:kinsoku/>
                    <w:wordWrap/>
                    <w:overflowPunct/>
                    <w:topLinePunct w:val="0"/>
                    <w:autoSpaceDE/>
                    <w:autoSpaceDN/>
                    <w:bidi w:val="0"/>
                    <w:adjustRightInd/>
                    <w:snapToGrid/>
                    <w:spacing w:line="320" w:lineRule="exact"/>
                    <w:textAlignment w:val="auto"/>
                    <w:rPr>
                      <w:color w:val="auto"/>
                      <w:highlight w:val="none"/>
                      <w:lang w:val="zh-CN"/>
                    </w:rPr>
                  </w:pPr>
                  <w:r>
                    <w:rPr>
                      <w:color w:val="auto"/>
                      <w:highlight w:val="none"/>
                      <w:lang w:val="zh-CN"/>
                    </w:rPr>
                    <w:t>4、确认油液不再</w:t>
                  </w:r>
                  <w:r>
                    <w:rPr>
                      <w:rFonts w:hint="eastAsia"/>
                      <w:color w:val="auto"/>
                      <w:highlight w:val="none"/>
                      <w:lang w:val="zh-CN"/>
                    </w:rPr>
                    <w:t>泄漏</w:t>
                  </w:r>
                  <w:r>
                    <w:rPr>
                      <w:color w:val="auto"/>
                      <w:highlight w:val="none"/>
                      <w:lang w:val="zh-CN"/>
                    </w:rPr>
                    <w:t>空气中没有多大气味后，才能关闭门。</w:t>
                  </w:r>
                </w:p>
              </w:tc>
            </w:tr>
          </w:tbl>
          <w:p w14:paraId="4F1B3B97">
            <w:pPr>
              <w:pStyle w:val="2"/>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b/>
                <w:bCs/>
                <w:color w:val="auto"/>
                <w:sz w:val="21"/>
                <w:szCs w:val="16"/>
                <w:highlight w:val="none"/>
              </w:rPr>
            </w:pPr>
            <w:r>
              <w:rPr>
                <w:rFonts w:hint="eastAsia"/>
                <w:b/>
                <w:bCs/>
                <w:color w:val="auto"/>
                <w:sz w:val="21"/>
                <w:szCs w:val="16"/>
                <w:highlight w:val="none"/>
              </w:rPr>
              <w:t>表4-</w:t>
            </w:r>
            <w:r>
              <w:rPr>
                <w:rFonts w:hint="eastAsia"/>
                <w:b/>
                <w:bCs/>
                <w:color w:val="auto"/>
                <w:sz w:val="21"/>
                <w:szCs w:val="16"/>
                <w:highlight w:val="none"/>
                <w:lang w:val="en-US" w:eastAsia="zh-CN"/>
              </w:rPr>
              <w:t>3</w:t>
            </w:r>
            <w:r>
              <w:rPr>
                <w:rFonts w:hint="eastAsia"/>
                <w:b/>
                <w:bCs/>
                <w:color w:val="auto"/>
                <w:sz w:val="21"/>
                <w:szCs w:val="16"/>
                <w:highlight w:val="none"/>
              </w:rPr>
              <w:t>2</w:t>
            </w:r>
            <w:r>
              <w:rPr>
                <w:rFonts w:hint="eastAsia"/>
                <w:b/>
                <w:bCs/>
                <w:color w:val="auto"/>
                <w:sz w:val="21"/>
                <w:szCs w:val="16"/>
                <w:highlight w:val="none"/>
                <w:lang w:val="en-US" w:eastAsia="zh-CN"/>
              </w:rPr>
              <w:t xml:space="preserve">  </w:t>
            </w:r>
            <w:r>
              <w:rPr>
                <w:rFonts w:hint="eastAsia"/>
                <w:b/>
                <w:bCs/>
                <w:color w:val="auto"/>
                <w:sz w:val="21"/>
                <w:szCs w:val="16"/>
                <w:highlight w:val="none"/>
              </w:rPr>
              <w:t>甲</w:t>
            </w:r>
            <w:r>
              <w:rPr>
                <w:b/>
                <w:bCs/>
                <w:color w:val="auto"/>
                <w:sz w:val="21"/>
                <w:szCs w:val="16"/>
                <w:highlight w:val="none"/>
              </w:rPr>
              <w:t>烷理化性质及危险特性表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
              <w:gridCol w:w="4103"/>
              <w:gridCol w:w="4055"/>
            </w:tblGrid>
            <w:tr w14:paraId="5EA5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restart"/>
                  <w:tcBorders>
                    <w:tl2br w:val="nil"/>
                    <w:tr2bl w:val="nil"/>
                  </w:tcBorders>
                  <w:vAlign w:val="center"/>
                </w:tcPr>
                <w:p w14:paraId="62C9EC04">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r>
                    <w:rPr>
                      <w:color w:val="auto"/>
                      <w:szCs w:val="21"/>
                      <w:highlight w:val="none"/>
                    </w:rPr>
                    <w:t>标识</w:t>
                  </w:r>
                </w:p>
              </w:tc>
              <w:tc>
                <w:tcPr>
                  <w:tcW w:w="2362" w:type="pct"/>
                  <w:tcBorders>
                    <w:tl2br w:val="nil"/>
                    <w:tr2bl w:val="nil"/>
                  </w:tcBorders>
                  <w:vAlign w:val="center"/>
                </w:tcPr>
                <w:p w14:paraId="77703F53">
                  <w:pPr>
                    <w:keepNext w:val="0"/>
                    <w:keepLines w:val="0"/>
                    <w:pageBreakBefore w:val="0"/>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szCs w:val="21"/>
                      <w:highlight w:val="none"/>
                    </w:rPr>
                    <w:t>中文名：甲烷</w:t>
                  </w:r>
                </w:p>
              </w:tc>
              <w:tc>
                <w:tcPr>
                  <w:tcW w:w="2333" w:type="pct"/>
                  <w:tcBorders>
                    <w:tl2br w:val="nil"/>
                    <w:tr2bl w:val="nil"/>
                  </w:tcBorders>
                  <w:vAlign w:val="center"/>
                </w:tcPr>
                <w:p w14:paraId="283A463E">
                  <w:pPr>
                    <w:keepNext w:val="0"/>
                    <w:keepLines w:val="0"/>
                    <w:pageBreakBefore w:val="0"/>
                    <w:kinsoku/>
                    <w:wordWrap/>
                    <w:overflowPunct/>
                    <w:topLinePunct w:val="0"/>
                    <w:autoSpaceDE/>
                    <w:autoSpaceDN/>
                    <w:bidi w:val="0"/>
                    <w:adjustRightInd/>
                    <w:snapToGrid/>
                    <w:spacing w:line="320" w:lineRule="exact"/>
                    <w:jc w:val="left"/>
                    <w:textAlignment w:val="auto"/>
                    <w:rPr>
                      <w:color w:val="auto"/>
                      <w:szCs w:val="21"/>
                      <w:highlight w:val="none"/>
                    </w:rPr>
                  </w:pPr>
                  <w:r>
                    <w:rPr>
                      <w:color w:val="auto"/>
                      <w:szCs w:val="21"/>
                      <w:highlight w:val="none"/>
                    </w:rPr>
                    <w:t>英文名：methane、Marsh gas</w:t>
                  </w:r>
                </w:p>
              </w:tc>
            </w:tr>
            <w:tr w14:paraId="35843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10ECCB76">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2362" w:type="pct"/>
                  <w:tcBorders>
                    <w:tl2br w:val="nil"/>
                    <w:tr2bl w:val="nil"/>
                  </w:tcBorders>
                  <w:vAlign w:val="center"/>
                </w:tcPr>
                <w:p w14:paraId="674620E4">
                  <w:pPr>
                    <w:keepNext w:val="0"/>
                    <w:keepLines w:val="0"/>
                    <w:pageBreakBefore w:val="0"/>
                    <w:kinsoku/>
                    <w:wordWrap/>
                    <w:overflowPunct/>
                    <w:topLinePunct w:val="0"/>
                    <w:autoSpaceDE/>
                    <w:autoSpaceDN/>
                    <w:bidi w:val="0"/>
                    <w:adjustRightInd/>
                    <w:snapToGrid/>
                    <w:spacing w:line="320" w:lineRule="exact"/>
                    <w:jc w:val="left"/>
                    <w:textAlignment w:val="auto"/>
                    <w:rPr>
                      <w:color w:val="auto"/>
                      <w:szCs w:val="21"/>
                      <w:highlight w:val="none"/>
                    </w:rPr>
                  </w:pPr>
                  <w:r>
                    <w:rPr>
                      <w:color w:val="auto"/>
                      <w:szCs w:val="21"/>
                      <w:highlight w:val="none"/>
                    </w:rPr>
                    <w:t>分子式：CH</w:t>
                  </w:r>
                  <w:r>
                    <w:rPr>
                      <w:color w:val="auto"/>
                      <w:szCs w:val="21"/>
                      <w:highlight w:val="none"/>
                      <w:vertAlign w:val="subscript"/>
                    </w:rPr>
                    <w:t>4</w:t>
                  </w:r>
                </w:p>
              </w:tc>
              <w:tc>
                <w:tcPr>
                  <w:tcW w:w="2333" w:type="pct"/>
                  <w:tcBorders>
                    <w:tl2br w:val="nil"/>
                    <w:tr2bl w:val="nil"/>
                  </w:tcBorders>
                  <w:vAlign w:val="center"/>
                </w:tcPr>
                <w:p w14:paraId="0868BF6C">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分子量：16.04</w:t>
                  </w:r>
                </w:p>
              </w:tc>
            </w:tr>
            <w:tr w14:paraId="4CFF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2C56C11B">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2362" w:type="pct"/>
                  <w:tcBorders>
                    <w:tl2br w:val="nil"/>
                    <w:tr2bl w:val="nil"/>
                  </w:tcBorders>
                  <w:vAlign w:val="center"/>
                </w:tcPr>
                <w:p w14:paraId="173AE355">
                  <w:pPr>
                    <w:keepNext w:val="0"/>
                    <w:keepLines w:val="0"/>
                    <w:pageBreakBefore w:val="0"/>
                    <w:kinsoku/>
                    <w:wordWrap/>
                    <w:overflowPunct/>
                    <w:topLinePunct w:val="0"/>
                    <w:autoSpaceDE/>
                    <w:autoSpaceDN/>
                    <w:bidi w:val="0"/>
                    <w:adjustRightInd/>
                    <w:snapToGrid/>
                    <w:spacing w:line="320" w:lineRule="exact"/>
                    <w:jc w:val="left"/>
                    <w:textAlignment w:val="auto"/>
                    <w:rPr>
                      <w:color w:val="auto"/>
                      <w:szCs w:val="21"/>
                      <w:highlight w:val="none"/>
                    </w:rPr>
                  </w:pPr>
                  <w:r>
                    <w:rPr>
                      <w:color w:val="auto"/>
                      <w:kern w:val="0"/>
                      <w:szCs w:val="21"/>
                      <w:highlight w:val="none"/>
                    </w:rPr>
                    <w:t>危规号：21007</w:t>
                  </w:r>
                </w:p>
              </w:tc>
              <w:tc>
                <w:tcPr>
                  <w:tcW w:w="2333" w:type="pct"/>
                  <w:tcBorders>
                    <w:tl2br w:val="nil"/>
                    <w:tr2bl w:val="nil"/>
                  </w:tcBorders>
                  <w:vAlign w:val="center"/>
                </w:tcPr>
                <w:p w14:paraId="492FE209">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CAS号：74-82-8</w:t>
                  </w:r>
                </w:p>
              </w:tc>
            </w:tr>
            <w:tr w14:paraId="70CA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restart"/>
                  <w:tcBorders>
                    <w:tl2br w:val="nil"/>
                    <w:tr2bl w:val="nil"/>
                  </w:tcBorders>
                  <w:vAlign w:val="center"/>
                </w:tcPr>
                <w:p w14:paraId="789D0415">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r>
                    <w:rPr>
                      <w:color w:val="auto"/>
                      <w:szCs w:val="21"/>
                      <w:highlight w:val="none"/>
                    </w:rPr>
                    <w:t>理化性质</w:t>
                  </w:r>
                </w:p>
              </w:tc>
              <w:tc>
                <w:tcPr>
                  <w:tcW w:w="4696" w:type="pct"/>
                  <w:gridSpan w:val="2"/>
                  <w:tcBorders>
                    <w:tl2br w:val="nil"/>
                    <w:tr2bl w:val="nil"/>
                  </w:tcBorders>
                  <w:vAlign w:val="center"/>
                </w:tcPr>
                <w:p w14:paraId="3AB299FB">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szCs w:val="21"/>
                      <w:highlight w:val="none"/>
                    </w:rPr>
                    <w:t>外观与性状：无色无臭气体。</w:t>
                  </w:r>
                </w:p>
              </w:tc>
            </w:tr>
            <w:tr w14:paraId="15B6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131C49C4">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4696" w:type="pct"/>
                  <w:gridSpan w:val="2"/>
                  <w:tcBorders>
                    <w:tl2br w:val="nil"/>
                    <w:tr2bl w:val="nil"/>
                  </w:tcBorders>
                  <w:vAlign w:val="center"/>
                </w:tcPr>
                <w:p w14:paraId="3F46AF0F">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溶解性：微溶于水，溶于醇、乙醚。</w:t>
                  </w:r>
                </w:p>
              </w:tc>
            </w:tr>
            <w:tr w14:paraId="4BFF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18E02861">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2362" w:type="pct"/>
                  <w:tcBorders>
                    <w:tl2br w:val="nil"/>
                    <w:tr2bl w:val="nil"/>
                  </w:tcBorders>
                  <w:vAlign w:val="center"/>
                </w:tcPr>
                <w:p w14:paraId="6A79E142">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熔点（℃）：-182.5</w:t>
                  </w:r>
                </w:p>
              </w:tc>
              <w:tc>
                <w:tcPr>
                  <w:tcW w:w="2333" w:type="pct"/>
                  <w:tcBorders>
                    <w:tl2br w:val="nil"/>
                    <w:tr2bl w:val="nil"/>
                  </w:tcBorders>
                  <w:vAlign w:val="center"/>
                </w:tcPr>
                <w:p w14:paraId="60C3A0E1">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沸点（℃）：-161.5</w:t>
                  </w:r>
                </w:p>
              </w:tc>
            </w:tr>
            <w:tr w14:paraId="3680E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2BA5686E">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2362" w:type="pct"/>
                  <w:tcBorders>
                    <w:tl2br w:val="nil"/>
                    <w:tr2bl w:val="nil"/>
                  </w:tcBorders>
                  <w:vAlign w:val="center"/>
                </w:tcPr>
                <w:p w14:paraId="03A410B1">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相对密度（水＝1）：0.42（-164℃）</w:t>
                  </w:r>
                </w:p>
              </w:tc>
              <w:tc>
                <w:tcPr>
                  <w:tcW w:w="2333" w:type="pct"/>
                  <w:tcBorders>
                    <w:tl2br w:val="nil"/>
                    <w:tr2bl w:val="nil"/>
                  </w:tcBorders>
                  <w:vAlign w:val="center"/>
                </w:tcPr>
                <w:p w14:paraId="482109C7">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相对密度（空气＝1）：0.55</w:t>
                  </w:r>
                </w:p>
              </w:tc>
            </w:tr>
            <w:tr w14:paraId="13622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0A762520">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2362" w:type="pct"/>
                  <w:tcBorders>
                    <w:tl2br w:val="nil"/>
                    <w:tr2bl w:val="nil"/>
                  </w:tcBorders>
                  <w:vAlign w:val="center"/>
                </w:tcPr>
                <w:p w14:paraId="717AE47C">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饱和蒸汽压（KPa）：53.32（-168.8℃）</w:t>
                  </w:r>
                </w:p>
              </w:tc>
              <w:tc>
                <w:tcPr>
                  <w:tcW w:w="2333" w:type="pct"/>
                  <w:tcBorders>
                    <w:tl2br w:val="nil"/>
                    <w:tr2bl w:val="nil"/>
                  </w:tcBorders>
                  <w:vAlign w:val="center"/>
                </w:tcPr>
                <w:p w14:paraId="129C5B2A">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禁忌物：强氧化剂、氟、氯。</w:t>
                  </w:r>
                </w:p>
              </w:tc>
            </w:tr>
            <w:tr w14:paraId="1A7C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37648C8D">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2362" w:type="pct"/>
                  <w:tcBorders>
                    <w:tl2br w:val="nil"/>
                    <w:tr2bl w:val="nil"/>
                  </w:tcBorders>
                  <w:vAlign w:val="center"/>
                </w:tcPr>
                <w:p w14:paraId="2770CD9F">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临界压力（MPa）：4.59</w:t>
                  </w:r>
                </w:p>
              </w:tc>
              <w:tc>
                <w:tcPr>
                  <w:tcW w:w="2333" w:type="pct"/>
                  <w:tcBorders>
                    <w:tl2br w:val="nil"/>
                    <w:tr2bl w:val="nil"/>
                  </w:tcBorders>
                  <w:vAlign w:val="center"/>
                </w:tcPr>
                <w:p w14:paraId="2D8D22C8">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临界温度（℃）：-82.6</w:t>
                  </w:r>
                </w:p>
              </w:tc>
            </w:tr>
            <w:tr w14:paraId="1BAE7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2606755E">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2362" w:type="pct"/>
                  <w:tcBorders>
                    <w:tl2br w:val="nil"/>
                    <w:tr2bl w:val="nil"/>
                  </w:tcBorders>
                  <w:vAlign w:val="center"/>
                </w:tcPr>
                <w:p w14:paraId="60D15244">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稳定性：</w:t>
                  </w:r>
                </w:p>
              </w:tc>
              <w:tc>
                <w:tcPr>
                  <w:tcW w:w="2333" w:type="pct"/>
                  <w:tcBorders>
                    <w:tl2br w:val="nil"/>
                    <w:tr2bl w:val="nil"/>
                  </w:tcBorders>
                  <w:vAlign w:val="center"/>
                </w:tcPr>
                <w:p w14:paraId="594DE09B">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聚合危害：</w:t>
                  </w:r>
                </w:p>
              </w:tc>
            </w:tr>
            <w:tr w14:paraId="636A3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restart"/>
                  <w:tcBorders>
                    <w:tl2br w:val="nil"/>
                    <w:tr2bl w:val="nil"/>
                  </w:tcBorders>
                  <w:vAlign w:val="center"/>
                </w:tcPr>
                <w:p w14:paraId="0ED8A569">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r>
                    <w:rPr>
                      <w:color w:val="auto"/>
                      <w:szCs w:val="21"/>
                      <w:highlight w:val="none"/>
                    </w:rPr>
                    <w:t>危险特性</w:t>
                  </w:r>
                </w:p>
              </w:tc>
              <w:tc>
                <w:tcPr>
                  <w:tcW w:w="4696" w:type="pct"/>
                  <w:gridSpan w:val="2"/>
                  <w:tcBorders>
                    <w:tl2br w:val="nil"/>
                    <w:tr2bl w:val="nil"/>
                  </w:tcBorders>
                  <w:vAlign w:val="center"/>
                </w:tcPr>
                <w:p w14:paraId="284E6AF6">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燃烧性：易燃、</w:t>
                  </w:r>
                  <w:r>
                    <w:rPr>
                      <w:rFonts w:hint="eastAsia"/>
                      <w:color w:val="auto"/>
                      <w:kern w:val="0"/>
                      <w:szCs w:val="21"/>
                      <w:highlight w:val="none"/>
                    </w:rPr>
                    <w:t>具有</w:t>
                  </w:r>
                  <w:r>
                    <w:rPr>
                      <w:color w:val="auto"/>
                      <w:kern w:val="0"/>
                      <w:szCs w:val="21"/>
                      <w:highlight w:val="none"/>
                    </w:rPr>
                    <w:t>窒息性。</w:t>
                  </w:r>
                </w:p>
              </w:tc>
            </w:tr>
            <w:tr w14:paraId="4F17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7C49E19F">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2362" w:type="pct"/>
                  <w:tcBorders>
                    <w:tl2br w:val="nil"/>
                    <w:tr2bl w:val="nil"/>
                  </w:tcBorders>
                  <w:vAlign w:val="center"/>
                </w:tcPr>
                <w:p w14:paraId="396192B0">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引燃温度（℃）：538</w:t>
                  </w:r>
                </w:p>
              </w:tc>
              <w:tc>
                <w:tcPr>
                  <w:tcW w:w="2333" w:type="pct"/>
                  <w:tcBorders>
                    <w:tl2br w:val="nil"/>
                    <w:tr2bl w:val="nil"/>
                  </w:tcBorders>
                  <w:vAlign w:val="center"/>
                </w:tcPr>
                <w:p w14:paraId="6F454293">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闪点（℃）：-188</w:t>
                  </w:r>
                </w:p>
              </w:tc>
            </w:tr>
            <w:tr w14:paraId="56B8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66531104">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2362" w:type="pct"/>
                  <w:tcBorders>
                    <w:tl2br w:val="nil"/>
                    <w:tr2bl w:val="nil"/>
                  </w:tcBorders>
                  <w:vAlign w:val="center"/>
                </w:tcPr>
                <w:p w14:paraId="1BC0C2FD">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爆炸下限（％）：5.3</w:t>
                  </w:r>
                </w:p>
              </w:tc>
              <w:tc>
                <w:tcPr>
                  <w:tcW w:w="2333" w:type="pct"/>
                  <w:tcBorders>
                    <w:tl2br w:val="nil"/>
                    <w:tr2bl w:val="nil"/>
                  </w:tcBorders>
                  <w:vAlign w:val="center"/>
                </w:tcPr>
                <w:p w14:paraId="4D05130A">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爆炸上限（％）：15</w:t>
                  </w:r>
                </w:p>
              </w:tc>
            </w:tr>
            <w:tr w14:paraId="0963E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770102F1">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2362" w:type="pct"/>
                  <w:tcBorders>
                    <w:tl2br w:val="nil"/>
                    <w:tr2bl w:val="nil"/>
                  </w:tcBorders>
                  <w:vAlign w:val="center"/>
                </w:tcPr>
                <w:p w14:paraId="7CDADCC5">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最小点火能（mJ）：</w:t>
                  </w:r>
                </w:p>
              </w:tc>
              <w:tc>
                <w:tcPr>
                  <w:tcW w:w="2333" w:type="pct"/>
                  <w:tcBorders>
                    <w:tl2br w:val="nil"/>
                    <w:tr2bl w:val="nil"/>
                  </w:tcBorders>
                  <w:vAlign w:val="center"/>
                </w:tcPr>
                <w:p w14:paraId="73547044">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最大爆炸压力（MPa）：</w:t>
                  </w:r>
                </w:p>
              </w:tc>
            </w:tr>
            <w:tr w14:paraId="60EB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589DEBAE">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2362" w:type="pct"/>
                  <w:tcBorders>
                    <w:tl2br w:val="nil"/>
                    <w:tr2bl w:val="nil"/>
                  </w:tcBorders>
                  <w:vAlign w:val="center"/>
                </w:tcPr>
                <w:p w14:paraId="3D676227">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燃烧热（KJ/mol）：889.5</w:t>
                  </w:r>
                </w:p>
              </w:tc>
              <w:tc>
                <w:tcPr>
                  <w:tcW w:w="2333" w:type="pct"/>
                  <w:tcBorders>
                    <w:tl2br w:val="nil"/>
                    <w:tr2bl w:val="nil"/>
                  </w:tcBorders>
                  <w:vAlign w:val="center"/>
                </w:tcPr>
                <w:p w14:paraId="422D5A3E">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燃烧分解产物：一氧化碳、二氧化碳</w:t>
                  </w:r>
                </w:p>
              </w:tc>
            </w:tr>
            <w:tr w14:paraId="7D84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54434BAB">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4696" w:type="pct"/>
                  <w:gridSpan w:val="2"/>
                  <w:tcBorders>
                    <w:tl2br w:val="nil"/>
                    <w:tr2bl w:val="nil"/>
                  </w:tcBorders>
                  <w:vAlign w:val="center"/>
                </w:tcPr>
                <w:p w14:paraId="34BACE2A">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危险特性：易燃，与空气混合能形成爆炸性混合物，遇热源和明火有燃烧爆炸的危险。与五氧化溴、氯气、次氯酸、三氟化氮、液氮、二氟化氧及其他强氧化剂接触剧烈反应。</w:t>
                  </w:r>
                </w:p>
              </w:tc>
            </w:tr>
            <w:tr w14:paraId="4ABE5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4C5E7314">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4696" w:type="pct"/>
                  <w:gridSpan w:val="2"/>
                  <w:tcBorders>
                    <w:tl2br w:val="nil"/>
                    <w:tr2bl w:val="nil"/>
                  </w:tcBorders>
                  <w:vAlign w:val="center"/>
                </w:tcPr>
                <w:p w14:paraId="5E71B1C9">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灭火方法：</w:t>
                  </w:r>
                  <w:r>
                    <w:rPr>
                      <w:color w:val="auto"/>
                      <w:szCs w:val="21"/>
                      <w:highlight w:val="none"/>
                      <w:shd w:val="clear" w:color="080000" w:fill="FFFFFF"/>
                    </w:rPr>
                    <w:t>切断气源。若不能切断气源，则不允许熄灭泄漏处的火焰。喷水冷却容器，可能的话将容器从火场移至空旷处。</w:t>
                  </w:r>
                </w:p>
              </w:tc>
            </w:tr>
            <w:tr w14:paraId="27A9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044DCF46">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4696" w:type="pct"/>
                  <w:gridSpan w:val="2"/>
                  <w:tcBorders>
                    <w:tl2br w:val="nil"/>
                    <w:tr2bl w:val="nil"/>
                  </w:tcBorders>
                  <w:vAlign w:val="center"/>
                </w:tcPr>
                <w:p w14:paraId="381563FB">
                  <w:pPr>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r>
                    <w:rPr>
                      <w:color w:val="auto"/>
                      <w:szCs w:val="21"/>
                      <w:highlight w:val="none"/>
                    </w:rPr>
                    <w:t>灭火剂：</w:t>
                  </w:r>
                  <w:r>
                    <w:rPr>
                      <w:color w:val="auto"/>
                      <w:szCs w:val="21"/>
                      <w:highlight w:val="none"/>
                      <w:shd w:val="clear" w:color="080000" w:fill="FFFFFF"/>
                    </w:rPr>
                    <w:t>雾状水、泡沫、二氧化碳、干粉。</w:t>
                  </w:r>
                </w:p>
              </w:tc>
            </w:tr>
            <w:tr w14:paraId="169E1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tcBorders>
                    <w:tl2br w:val="nil"/>
                    <w:tr2bl w:val="nil"/>
                  </w:tcBorders>
                  <w:vAlign w:val="center"/>
                </w:tcPr>
                <w:p w14:paraId="29C0AFEC">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r>
                    <w:rPr>
                      <w:color w:val="auto"/>
                      <w:szCs w:val="21"/>
                      <w:highlight w:val="none"/>
                    </w:rPr>
                    <w:t>毒性</w:t>
                  </w:r>
                </w:p>
              </w:tc>
              <w:tc>
                <w:tcPr>
                  <w:tcW w:w="4696" w:type="pct"/>
                  <w:gridSpan w:val="2"/>
                  <w:tcBorders>
                    <w:tl2br w:val="nil"/>
                    <w:tr2bl w:val="nil"/>
                  </w:tcBorders>
                  <w:vAlign w:val="center"/>
                </w:tcPr>
                <w:p w14:paraId="6029BF55">
                  <w:pPr>
                    <w:keepNext w:val="0"/>
                    <w:keepLines w:val="0"/>
                    <w:pageBreakBefore w:val="0"/>
                    <w:widowControl/>
                    <w:kinsoku/>
                    <w:wordWrap/>
                    <w:overflowPunct/>
                    <w:topLinePunct w:val="0"/>
                    <w:autoSpaceDE/>
                    <w:autoSpaceDN/>
                    <w:bidi w:val="0"/>
                    <w:adjustRightInd/>
                    <w:snapToGrid/>
                    <w:spacing w:line="320" w:lineRule="exact"/>
                    <w:textAlignment w:val="auto"/>
                    <w:rPr>
                      <w:color w:val="auto"/>
                      <w:kern w:val="0"/>
                      <w:szCs w:val="21"/>
                      <w:highlight w:val="none"/>
                    </w:rPr>
                  </w:pPr>
                  <w:r>
                    <w:rPr>
                      <w:color w:val="auto"/>
                      <w:kern w:val="0"/>
                      <w:szCs w:val="21"/>
                      <w:highlight w:val="none"/>
                    </w:rPr>
                    <w:t>急性毒性：LD</w:t>
                  </w:r>
                  <w:r>
                    <w:rPr>
                      <w:color w:val="auto"/>
                      <w:kern w:val="0"/>
                      <w:szCs w:val="21"/>
                      <w:highlight w:val="none"/>
                      <w:vertAlign w:val="subscript"/>
                    </w:rPr>
                    <w:t>50</w:t>
                  </w:r>
                  <w:r>
                    <w:rPr>
                      <w:color w:val="auto"/>
                      <w:kern w:val="0"/>
                      <w:szCs w:val="21"/>
                      <w:highlight w:val="none"/>
                    </w:rPr>
                    <w:t>：无资料；LC</w:t>
                  </w:r>
                  <w:r>
                    <w:rPr>
                      <w:color w:val="auto"/>
                      <w:kern w:val="0"/>
                      <w:szCs w:val="21"/>
                      <w:highlight w:val="none"/>
                      <w:vertAlign w:val="subscript"/>
                    </w:rPr>
                    <w:t>50</w:t>
                  </w:r>
                  <w:r>
                    <w:rPr>
                      <w:color w:val="auto"/>
                      <w:kern w:val="0"/>
                      <w:szCs w:val="21"/>
                      <w:highlight w:val="none"/>
                    </w:rPr>
                    <w:t>：无资料。</w:t>
                  </w:r>
                </w:p>
                <w:p w14:paraId="3C9E0E79">
                  <w:pPr>
                    <w:keepNext w:val="0"/>
                    <w:keepLines w:val="0"/>
                    <w:pageBreakBefore w:val="0"/>
                    <w:widowControl/>
                    <w:kinsoku/>
                    <w:wordWrap/>
                    <w:overflowPunct/>
                    <w:topLinePunct w:val="0"/>
                    <w:autoSpaceDE/>
                    <w:autoSpaceDN/>
                    <w:bidi w:val="0"/>
                    <w:adjustRightInd/>
                    <w:snapToGrid/>
                    <w:spacing w:line="320" w:lineRule="exact"/>
                    <w:textAlignment w:val="auto"/>
                    <w:rPr>
                      <w:color w:val="auto"/>
                      <w:kern w:val="0"/>
                      <w:szCs w:val="21"/>
                      <w:highlight w:val="none"/>
                    </w:rPr>
                  </w:pPr>
                  <w:r>
                    <w:rPr>
                      <w:color w:val="auto"/>
                      <w:kern w:val="0"/>
                      <w:szCs w:val="21"/>
                      <w:highlight w:val="none"/>
                    </w:rPr>
                    <w:t>刺激性：</w:t>
                  </w:r>
                </w:p>
              </w:tc>
            </w:tr>
            <w:tr w14:paraId="2BCF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restart"/>
                  <w:tcBorders>
                    <w:tl2br w:val="nil"/>
                    <w:tr2bl w:val="nil"/>
                  </w:tcBorders>
                  <w:vAlign w:val="center"/>
                </w:tcPr>
                <w:p w14:paraId="49B30A0E">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r>
                    <w:rPr>
                      <w:color w:val="auto"/>
                      <w:szCs w:val="21"/>
                      <w:highlight w:val="none"/>
                    </w:rPr>
                    <w:t>危害</w:t>
                  </w:r>
                </w:p>
              </w:tc>
              <w:tc>
                <w:tcPr>
                  <w:tcW w:w="4696" w:type="pct"/>
                  <w:gridSpan w:val="2"/>
                  <w:tcBorders>
                    <w:tl2br w:val="nil"/>
                    <w:tr2bl w:val="nil"/>
                  </w:tcBorders>
                  <w:vAlign w:val="center"/>
                </w:tcPr>
                <w:p w14:paraId="7495A45B">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szCs w:val="21"/>
                      <w:highlight w:val="none"/>
                    </w:rPr>
                    <w:t>侵入途径：吸入</w:t>
                  </w:r>
                </w:p>
              </w:tc>
            </w:tr>
            <w:tr w14:paraId="1EEB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48B5A96F">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4696" w:type="pct"/>
                  <w:gridSpan w:val="2"/>
                  <w:tcBorders>
                    <w:tl2br w:val="nil"/>
                    <w:tr2bl w:val="nil"/>
                  </w:tcBorders>
                  <w:vAlign w:val="center"/>
                </w:tcPr>
                <w:p w14:paraId="7C31D5FF">
                  <w:pPr>
                    <w:keepNext w:val="0"/>
                    <w:keepLines w:val="0"/>
                    <w:pageBreakBefore w:val="0"/>
                    <w:kinsoku/>
                    <w:wordWrap/>
                    <w:overflowPunct/>
                    <w:topLinePunct w:val="0"/>
                    <w:autoSpaceDE/>
                    <w:autoSpaceDN/>
                    <w:bidi w:val="0"/>
                    <w:adjustRightInd/>
                    <w:snapToGrid/>
                    <w:spacing w:line="320" w:lineRule="exact"/>
                    <w:textAlignment w:val="auto"/>
                    <w:rPr>
                      <w:color w:val="auto"/>
                      <w:kern w:val="0"/>
                      <w:szCs w:val="21"/>
                      <w:highlight w:val="none"/>
                    </w:rPr>
                  </w:pPr>
                  <w:r>
                    <w:rPr>
                      <w:color w:val="auto"/>
                      <w:szCs w:val="21"/>
                      <w:highlight w:val="none"/>
                    </w:rPr>
                    <w:t>健康危害：</w:t>
                  </w:r>
                  <w:r>
                    <w:rPr>
                      <w:color w:val="auto"/>
                      <w:szCs w:val="21"/>
                      <w:highlight w:val="none"/>
                      <w:shd w:val="clear" w:color="080000" w:fill="FFFFFF"/>
                    </w:rPr>
                    <w:t>甲烷对人基本无毒，但浓度过高时，使空气中氧含量明显降低，使人窒息。当空气中甲烷达25％～30％时，可引起头痛、头晕、乏力、注意力不集中、呼吸和心跳加速、共济失调。若不及时脱离，可致窒息死亡。皮肤接触液化本品，可致冻伤。 </w:t>
                  </w:r>
                </w:p>
              </w:tc>
            </w:tr>
            <w:tr w14:paraId="538E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vMerge w:val="continue"/>
                  <w:tcBorders>
                    <w:tl2br w:val="nil"/>
                    <w:tr2bl w:val="nil"/>
                  </w:tcBorders>
                  <w:vAlign w:val="center"/>
                </w:tcPr>
                <w:p w14:paraId="4D94B737">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p>
              </w:tc>
              <w:tc>
                <w:tcPr>
                  <w:tcW w:w="4696" w:type="pct"/>
                  <w:gridSpan w:val="2"/>
                  <w:tcBorders>
                    <w:tl2br w:val="nil"/>
                    <w:tr2bl w:val="nil"/>
                  </w:tcBorders>
                  <w:vAlign w:val="center"/>
                </w:tcPr>
                <w:p w14:paraId="5D45A314">
                  <w:pPr>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r>
                    <w:rPr>
                      <w:color w:val="auto"/>
                      <w:szCs w:val="21"/>
                      <w:highlight w:val="none"/>
                    </w:rPr>
                    <w:t>环境危害：</w:t>
                  </w:r>
                  <w:r>
                    <w:rPr>
                      <w:color w:val="auto"/>
                      <w:szCs w:val="21"/>
                      <w:highlight w:val="none"/>
                      <w:shd w:val="clear" w:color="080000" w:fill="FFFFFF"/>
                    </w:rPr>
                    <w:t>该物质对环境可能有危害，对鱼类和水体要给予特别注意。还应特别注意对地表水、土壤、大气和饮用水的污染。</w:t>
                  </w:r>
                </w:p>
              </w:tc>
            </w:tr>
            <w:tr w14:paraId="4A01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tcBorders>
                    <w:tl2br w:val="nil"/>
                    <w:tr2bl w:val="nil"/>
                  </w:tcBorders>
                  <w:vAlign w:val="center"/>
                </w:tcPr>
                <w:p w14:paraId="0D37A009">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r>
                    <w:rPr>
                      <w:color w:val="auto"/>
                      <w:szCs w:val="21"/>
                      <w:highlight w:val="none"/>
                    </w:rPr>
                    <w:t>急救</w:t>
                  </w:r>
                </w:p>
              </w:tc>
              <w:tc>
                <w:tcPr>
                  <w:tcW w:w="4696" w:type="pct"/>
                  <w:gridSpan w:val="2"/>
                  <w:tcBorders>
                    <w:tl2br w:val="nil"/>
                    <w:tr2bl w:val="nil"/>
                  </w:tcBorders>
                  <w:vAlign w:val="center"/>
                </w:tcPr>
                <w:p w14:paraId="2A0325B4">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皮肤接触：若有冻伤，就医治疗。</w:t>
                  </w:r>
                </w:p>
                <w:p w14:paraId="55CA3937">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吸入：</w:t>
                  </w:r>
                  <w:r>
                    <w:rPr>
                      <w:color w:val="auto"/>
                      <w:szCs w:val="21"/>
                      <w:highlight w:val="none"/>
                      <w:shd w:val="clear" w:color="080000" w:fill="FFFFFF"/>
                    </w:rPr>
                    <w:t>迅速脱离现场至空气新鲜处。保持呼吸道通畅。如呼吸困难，给输氧。如呼吸停止，立即进行人工呼吸。就医。</w:t>
                  </w:r>
                </w:p>
              </w:tc>
            </w:tr>
            <w:tr w14:paraId="38E9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tcBorders>
                    <w:tl2br w:val="nil"/>
                    <w:tr2bl w:val="nil"/>
                  </w:tcBorders>
                  <w:vAlign w:val="center"/>
                </w:tcPr>
                <w:p w14:paraId="4299E045">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r>
                    <w:rPr>
                      <w:color w:val="auto"/>
                      <w:szCs w:val="21"/>
                      <w:highlight w:val="none"/>
                    </w:rPr>
                    <w:t>防护</w:t>
                  </w:r>
                </w:p>
              </w:tc>
              <w:tc>
                <w:tcPr>
                  <w:tcW w:w="4696" w:type="pct"/>
                  <w:gridSpan w:val="2"/>
                  <w:tcBorders>
                    <w:tl2br w:val="nil"/>
                    <w:tr2bl w:val="nil"/>
                  </w:tcBorders>
                  <w:vAlign w:val="center"/>
                </w:tcPr>
                <w:p w14:paraId="243D9AF3">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工程控制：</w:t>
                  </w:r>
                  <w:r>
                    <w:rPr>
                      <w:color w:val="auto"/>
                      <w:szCs w:val="21"/>
                      <w:highlight w:val="none"/>
                      <w:shd w:val="clear" w:color="080000" w:fill="FFFFFF"/>
                    </w:rPr>
                    <w:t>生产过程密闭，全面通风。</w:t>
                  </w:r>
                </w:p>
                <w:p w14:paraId="6A6E149F">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个体防护：</w:t>
                  </w:r>
                </w:p>
                <w:p w14:paraId="1C1A0862">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szCs w:val="21"/>
                      <w:highlight w:val="none"/>
                      <w:shd w:val="clear" w:color="080000" w:fill="FFFFFF"/>
                    </w:rPr>
                  </w:pPr>
                  <w:r>
                    <w:rPr>
                      <w:color w:val="auto"/>
                      <w:kern w:val="0"/>
                      <w:szCs w:val="21"/>
                      <w:highlight w:val="none"/>
                    </w:rPr>
                    <w:t>1、呼吸系统防护：</w:t>
                  </w:r>
                  <w:r>
                    <w:rPr>
                      <w:color w:val="auto"/>
                      <w:szCs w:val="21"/>
                      <w:highlight w:val="none"/>
                      <w:shd w:val="clear" w:color="080000" w:fill="FFFFFF"/>
                    </w:rPr>
                    <w:t>一般不需要特殊防护，但建议特殊情况下，佩戴自吸过滤式防毒面具（半面罩）。</w:t>
                  </w:r>
                </w:p>
                <w:p w14:paraId="2DC04B4E">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szCs w:val="21"/>
                      <w:highlight w:val="none"/>
                      <w:shd w:val="clear" w:color="080000" w:fill="FFFFFF"/>
                    </w:rPr>
                  </w:pPr>
                  <w:r>
                    <w:rPr>
                      <w:color w:val="auto"/>
                      <w:szCs w:val="21"/>
                      <w:highlight w:val="none"/>
                      <w:shd w:val="clear" w:color="080000" w:fill="FFFFFF"/>
                    </w:rPr>
                    <w:t>2、眼睛防护：一般不需要特殊防护，高浓度接触时可戴安全防护眼镜。</w:t>
                  </w:r>
                </w:p>
                <w:p w14:paraId="4515AF8D">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szCs w:val="21"/>
                      <w:highlight w:val="none"/>
                      <w:shd w:val="clear" w:color="080000" w:fill="FFFFFF"/>
                    </w:rPr>
                  </w:pPr>
                  <w:r>
                    <w:rPr>
                      <w:color w:val="auto"/>
                      <w:szCs w:val="21"/>
                      <w:highlight w:val="none"/>
                      <w:shd w:val="clear" w:color="080000" w:fill="FFFFFF"/>
                    </w:rPr>
                    <w:t>3、身体防护：穿防静电工作服。</w:t>
                  </w:r>
                </w:p>
                <w:p w14:paraId="6BFC813F">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szCs w:val="21"/>
                      <w:highlight w:val="none"/>
                      <w:shd w:val="clear" w:color="080000" w:fill="FFFFFF"/>
                    </w:rPr>
                  </w:pPr>
                  <w:r>
                    <w:rPr>
                      <w:color w:val="auto"/>
                      <w:szCs w:val="21"/>
                      <w:highlight w:val="none"/>
                      <w:shd w:val="clear" w:color="080000" w:fill="FFFFFF"/>
                    </w:rPr>
                    <w:t>4、手防护：戴一般作业防护手套。</w:t>
                  </w:r>
                </w:p>
                <w:p w14:paraId="50F74399">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其他防护：</w:t>
                  </w:r>
                  <w:r>
                    <w:rPr>
                      <w:color w:val="auto"/>
                      <w:szCs w:val="21"/>
                      <w:highlight w:val="none"/>
                      <w:shd w:val="clear" w:color="080000" w:fill="FFFFFF"/>
                    </w:rPr>
                    <w:t>工作现场严禁吸烟。避免长期反复接触。进入罐、限制性空间或其它高浓度</w:t>
                  </w:r>
                  <w:r>
                    <w:rPr>
                      <w:rFonts w:hint="eastAsia"/>
                      <w:color w:val="auto"/>
                      <w:szCs w:val="21"/>
                      <w:highlight w:val="none"/>
                      <w:shd w:val="clear" w:color="080000" w:fill="FFFFFF"/>
                    </w:rPr>
                    <w:t>区域</w:t>
                  </w:r>
                  <w:r>
                    <w:rPr>
                      <w:color w:val="auto"/>
                      <w:szCs w:val="21"/>
                      <w:highlight w:val="none"/>
                      <w:shd w:val="clear" w:color="080000" w:fill="FFFFFF"/>
                    </w:rPr>
                    <w:t>作业，须有人监护。 </w:t>
                  </w:r>
                </w:p>
              </w:tc>
            </w:tr>
            <w:tr w14:paraId="145C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tcBorders>
                    <w:tl2br w:val="nil"/>
                    <w:tr2bl w:val="nil"/>
                  </w:tcBorders>
                  <w:vAlign w:val="center"/>
                </w:tcPr>
                <w:p w14:paraId="6451CF1C">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r>
                    <w:rPr>
                      <w:color w:val="auto"/>
                      <w:szCs w:val="21"/>
                      <w:highlight w:val="none"/>
                    </w:rPr>
                    <w:t>泄漏处理</w:t>
                  </w:r>
                </w:p>
              </w:tc>
              <w:tc>
                <w:tcPr>
                  <w:tcW w:w="4696" w:type="pct"/>
                  <w:gridSpan w:val="2"/>
                  <w:tcBorders>
                    <w:tl2br w:val="nil"/>
                    <w:tr2bl w:val="nil"/>
                  </w:tcBorders>
                  <w:vAlign w:val="center"/>
                </w:tcPr>
                <w:p w14:paraId="3183478E">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szCs w:val="21"/>
                      <w:highlight w:val="none"/>
                      <w:shd w:val="clear" w:color="080000" w:fill="FFFFFF"/>
                    </w:rPr>
                    <w:t>迅速撤离泄漏污染区人员至上风处，并进行隔离，严格限制出入。切断火源。建议应急处理人员戴自给正压式呼吸器，穿防静电工作服。尽可能切断泄漏源。合理通风，加速扩散。喷雾状水稀释、溶解。构筑围堤或挖坑收容产生的大量废水。如有可能，将漏出气用排风机送至空旷地方或装设适当喷头烧掉。也可以将漏气的容器移至空旷处，注意通风。漏气容器要妥善处理，修复、检验后再用。</w:t>
                  </w:r>
                </w:p>
              </w:tc>
            </w:tr>
            <w:tr w14:paraId="53A14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3" w:type="pct"/>
                  <w:tcBorders>
                    <w:tl2br w:val="nil"/>
                    <w:tr2bl w:val="nil"/>
                  </w:tcBorders>
                  <w:vAlign w:val="center"/>
                </w:tcPr>
                <w:p w14:paraId="48FE64C4">
                  <w:pPr>
                    <w:pStyle w:val="125"/>
                    <w:keepNext w:val="0"/>
                    <w:keepLines w:val="0"/>
                    <w:pageBreakBefore w:val="0"/>
                    <w:kinsoku/>
                    <w:wordWrap/>
                    <w:overflowPunct/>
                    <w:topLinePunct w:val="0"/>
                    <w:autoSpaceDE/>
                    <w:autoSpaceDN/>
                    <w:bidi w:val="0"/>
                    <w:adjustRightInd/>
                    <w:snapToGrid/>
                    <w:spacing w:line="320" w:lineRule="exact"/>
                    <w:textAlignment w:val="auto"/>
                    <w:rPr>
                      <w:color w:val="auto"/>
                      <w:szCs w:val="21"/>
                      <w:highlight w:val="none"/>
                    </w:rPr>
                  </w:pPr>
                  <w:r>
                    <w:rPr>
                      <w:color w:val="auto"/>
                      <w:szCs w:val="21"/>
                      <w:highlight w:val="none"/>
                    </w:rPr>
                    <w:t>储运</w:t>
                  </w:r>
                </w:p>
              </w:tc>
              <w:tc>
                <w:tcPr>
                  <w:tcW w:w="4696" w:type="pct"/>
                  <w:gridSpan w:val="2"/>
                  <w:tcBorders>
                    <w:tl2br w:val="nil"/>
                    <w:tr2bl w:val="nil"/>
                  </w:tcBorders>
                  <w:vAlign w:val="center"/>
                </w:tcPr>
                <w:p w14:paraId="626C85C6">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kern w:val="0"/>
                      <w:szCs w:val="21"/>
                      <w:highlight w:val="none"/>
                    </w:rPr>
                  </w:pPr>
                  <w:r>
                    <w:rPr>
                      <w:color w:val="auto"/>
                      <w:kern w:val="0"/>
                      <w:szCs w:val="21"/>
                      <w:highlight w:val="none"/>
                    </w:rPr>
                    <w:t>包装标志：                  UN编号：1971                  包装类别：052</w:t>
                  </w:r>
                </w:p>
                <w:p w14:paraId="7854DD36">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szCs w:val="21"/>
                      <w:highlight w:val="none"/>
                      <w:shd w:val="clear" w:color="080000" w:fill="FFFFFF"/>
                    </w:rPr>
                  </w:pPr>
                  <w:r>
                    <w:rPr>
                      <w:color w:val="auto"/>
                      <w:kern w:val="0"/>
                      <w:szCs w:val="21"/>
                      <w:highlight w:val="none"/>
                    </w:rPr>
                    <w:t>储存注意事项：</w:t>
                  </w:r>
                  <w:r>
                    <w:rPr>
                      <w:color w:val="auto"/>
                      <w:szCs w:val="21"/>
                      <w:highlight w:val="none"/>
                      <w:shd w:val="clear" w:color="080000" w:fill="FFFFFF"/>
                    </w:rPr>
                    <w:t>储存于阴凉、通风的库房。远离火种、热源。库温不宜超过30℃。应与氧化剂等分开存放，切忌混储。采用防爆型照明、通风设施。禁止使用易产生火花的机械设备和工具。储区应备有泄漏应急处理设备。</w:t>
                  </w:r>
                </w:p>
                <w:p w14:paraId="6AB74A1D">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szCs w:val="21"/>
                      <w:highlight w:val="none"/>
                      <w:shd w:val="clear" w:color="080000" w:fill="FFFFFF"/>
                    </w:rPr>
                  </w:pPr>
                  <w:r>
                    <w:rPr>
                      <w:color w:val="auto"/>
                      <w:szCs w:val="21"/>
                      <w:highlight w:val="none"/>
                      <w:shd w:val="clear" w:color="080000" w:fill="FFFFFF"/>
                    </w:rPr>
                    <w:t>包装方法：</w:t>
                  </w:r>
                  <w:r>
                    <w:rPr>
                      <w:rFonts w:hint="eastAsia"/>
                      <w:color w:val="auto"/>
                      <w:szCs w:val="21"/>
                      <w:highlight w:val="none"/>
                      <w:shd w:val="clear" w:color="080000" w:fill="FFFFFF"/>
                    </w:rPr>
                    <w:t>钢制</w:t>
                  </w:r>
                  <w:r>
                    <w:rPr>
                      <w:color w:val="auto"/>
                      <w:szCs w:val="21"/>
                      <w:highlight w:val="none"/>
                      <w:shd w:val="clear" w:color="080000" w:fill="FFFFFF"/>
                    </w:rPr>
                    <w:t>气瓶。</w:t>
                  </w:r>
                </w:p>
                <w:p w14:paraId="14A33126">
                  <w:pPr>
                    <w:keepNext w:val="0"/>
                    <w:keepLines w:val="0"/>
                    <w:pageBreakBefore w:val="0"/>
                    <w:widowControl/>
                    <w:kinsoku/>
                    <w:wordWrap/>
                    <w:overflowPunct/>
                    <w:topLinePunct w:val="0"/>
                    <w:autoSpaceDE/>
                    <w:autoSpaceDN/>
                    <w:bidi w:val="0"/>
                    <w:adjustRightInd/>
                    <w:snapToGrid/>
                    <w:spacing w:line="320" w:lineRule="exact"/>
                    <w:jc w:val="left"/>
                    <w:textAlignment w:val="auto"/>
                    <w:rPr>
                      <w:color w:val="auto"/>
                      <w:szCs w:val="21"/>
                      <w:highlight w:val="none"/>
                      <w:shd w:val="clear" w:color="080000" w:fill="FFFFFF"/>
                    </w:rPr>
                  </w:pPr>
                  <w:r>
                    <w:rPr>
                      <w:color w:val="auto"/>
                      <w:szCs w:val="21"/>
                      <w:highlight w:val="none"/>
                      <w:shd w:val="clear" w:color="080000" w:fill="FFFFFF"/>
                    </w:rPr>
                    <w:t>运输注意事项：采用</w:t>
                  </w:r>
                  <w:r>
                    <w:rPr>
                      <w:rFonts w:hint="eastAsia"/>
                      <w:color w:val="auto"/>
                      <w:szCs w:val="21"/>
                      <w:highlight w:val="none"/>
                      <w:shd w:val="clear" w:color="080000" w:fill="FFFFFF"/>
                    </w:rPr>
                    <w:t>钢瓶</w:t>
                  </w:r>
                  <w:r>
                    <w:rPr>
                      <w:color w:val="auto"/>
                      <w:szCs w:val="21"/>
                      <w:highlight w:val="none"/>
                      <w:shd w:val="clear" w:color="080000" w:fill="FFFFFF"/>
                    </w:rPr>
                    <w:t>运输时必须戴好钢瓶上的安全帽。钢瓶一般平放，并应将瓶口朝同一方向，不可交叉；高度不得超过车辆的防护栏板，并用三角木垫卡牢，防止滚动。运输时运输车辆应配备相应品种和数量的消防器材。装运该物品的车辆排气管必须配备阻火装置，禁止使用易产生火花的机械设备和工具装卸。严禁与氧化剂等混装混运。夏季应早晚运输，防止日光</w:t>
                  </w:r>
                  <w:r>
                    <w:rPr>
                      <w:rFonts w:hint="eastAsia"/>
                      <w:color w:val="auto"/>
                      <w:szCs w:val="21"/>
                      <w:highlight w:val="none"/>
                      <w:shd w:val="clear" w:color="080000" w:fill="FFFFFF"/>
                    </w:rPr>
                    <w:t>暴晒</w:t>
                  </w:r>
                  <w:r>
                    <w:rPr>
                      <w:color w:val="auto"/>
                      <w:szCs w:val="21"/>
                      <w:highlight w:val="none"/>
                      <w:shd w:val="clear" w:color="080000" w:fill="FFFFFF"/>
                    </w:rPr>
                    <w:t>。中途停留时应远离火种、热源。公路运输时要按规定路线行驶，勿在居民区和人口稠密区停留。铁路运输时要禁止溜放。</w:t>
                  </w:r>
                </w:p>
              </w:tc>
            </w:tr>
          </w:tbl>
          <w:p w14:paraId="6D294243">
            <w:pPr>
              <w:pStyle w:val="126"/>
              <w:keepNext/>
              <w:keepLines w:val="0"/>
              <w:pageBreakBefore w:val="0"/>
              <w:widowControl/>
              <w:numPr>
                <w:ilvl w:val="0"/>
                <w:numId w:val="0"/>
              </w:numPr>
              <w:kinsoku/>
              <w:wordWrap/>
              <w:overflowPunct/>
              <w:topLinePunct w:val="0"/>
              <w:autoSpaceDE/>
              <w:autoSpaceDN/>
              <w:bidi w:val="0"/>
              <w:adjustRightInd w:val="0"/>
              <w:snapToGrid w:val="0"/>
              <w:spacing w:line="320" w:lineRule="exact"/>
              <w:textAlignment w:val="auto"/>
              <w:rPr>
                <w:color w:val="auto"/>
                <w:sz w:val="21"/>
                <w:szCs w:val="21"/>
                <w:highlight w:val="none"/>
              </w:rPr>
            </w:pPr>
            <w:r>
              <w:rPr>
                <w:color w:val="auto"/>
                <w:sz w:val="21"/>
                <w:szCs w:val="21"/>
                <w:highlight w:val="none"/>
              </w:rPr>
              <w:t>表4-</w:t>
            </w:r>
            <w:r>
              <w:rPr>
                <w:rFonts w:hint="eastAsia"/>
                <w:color w:val="auto"/>
                <w:sz w:val="21"/>
                <w:szCs w:val="21"/>
                <w:highlight w:val="none"/>
                <w:lang w:val="en-US" w:eastAsia="zh-CN"/>
              </w:rPr>
              <w:t>3</w:t>
            </w:r>
            <w:r>
              <w:rPr>
                <w:color w:val="auto"/>
                <w:sz w:val="21"/>
                <w:szCs w:val="21"/>
                <w:highlight w:val="none"/>
              </w:rPr>
              <w:t>3</w:t>
            </w:r>
            <w:r>
              <w:rPr>
                <w:rFonts w:hint="eastAsia"/>
                <w:color w:val="auto"/>
                <w:sz w:val="21"/>
                <w:szCs w:val="21"/>
                <w:highlight w:val="none"/>
                <w:lang w:val="en-US" w:eastAsia="zh-CN"/>
              </w:rPr>
              <w:t xml:space="preserve">  </w:t>
            </w:r>
            <w:r>
              <w:rPr>
                <w:color w:val="auto"/>
                <w:sz w:val="21"/>
                <w:szCs w:val="21"/>
                <w:highlight w:val="none"/>
              </w:rPr>
              <w:t>硫化氢理化性质及危险特性表</w:t>
            </w:r>
          </w:p>
          <w:tbl>
            <w:tblPr>
              <w:tblStyle w:val="26"/>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686"/>
              <w:gridCol w:w="2145"/>
              <w:gridCol w:w="589"/>
              <w:gridCol w:w="509"/>
              <w:gridCol w:w="1174"/>
              <w:gridCol w:w="1018"/>
              <w:gridCol w:w="2563"/>
            </w:tblGrid>
            <w:tr w14:paraId="654E4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vMerge w:val="restart"/>
                  <w:tcBorders>
                    <w:tl2br w:val="nil"/>
                    <w:tr2bl w:val="nil"/>
                  </w:tcBorders>
                  <w:vAlign w:val="center"/>
                </w:tcPr>
                <w:p w14:paraId="62DFEF56">
                  <w:pPr>
                    <w:pStyle w:val="109"/>
                    <w:keepNext w:val="0"/>
                    <w:keepLines w:val="0"/>
                    <w:pageBreakBefore w:val="0"/>
                    <w:widowControl w:val="0"/>
                    <w:kinsoku/>
                    <w:wordWrap/>
                    <w:overflowPunct/>
                    <w:topLinePunct w:val="0"/>
                    <w:autoSpaceDE/>
                    <w:autoSpaceDN/>
                    <w:bidi w:val="0"/>
                    <w:adjustRightInd/>
                    <w:snapToGrid/>
                    <w:spacing w:line="320" w:lineRule="exact"/>
                    <w:ind w:left="110"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标识</w:t>
                  </w:r>
                </w:p>
              </w:tc>
              <w:tc>
                <w:tcPr>
                  <w:tcW w:w="1867" w:type="pct"/>
                  <w:gridSpan w:val="3"/>
                  <w:tcBorders>
                    <w:tl2br w:val="nil"/>
                    <w:tr2bl w:val="nil"/>
                  </w:tcBorders>
                  <w:vAlign w:val="center"/>
                </w:tcPr>
                <w:p w14:paraId="43ED9EC4">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中文名：硫化氢</w:t>
                  </w:r>
                </w:p>
              </w:tc>
              <w:tc>
                <w:tcPr>
                  <w:tcW w:w="2737" w:type="pct"/>
                  <w:gridSpan w:val="3"/>
                  <w:tcBorders>
                    <w:tl2br w:val="nil"/>
                    <w:tr2bl w:val="nil"/>
                  </w:tcBorders>
                  <w:vAlign w:val="center"/>
                </w:tcPr>
                <w:p w14:paraId="0DF0ADF5">
                  <w:pPr>
                    <w:pStyle w:val="109"/>
                    <w:keepNext w:val="0"/>
                    <w:keepLines w:val="0"/>
                    <w:pageBreakBefore w:val="0"/>
                    <w:widowControl w:val="0"/>
                    <w:kinsoku/>
                    <w:wordWrap/>
                    <w:overflowPunct/>
                    <w:topLinePunct w:val="0"/>
                    <w:autoSpaceDE/>
                    <w:autoSpaceDN/>
                    <w:bidi w:val="0"/>
                    <w:adjustRightInd/>
                    <w:snapToGrid/>
                    <w:spacing w:line="320" w:lineRule="exact"/>
                    <w:ind w:left="109"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英文名：hydrogensulfide</w:t>
                  </w:r>
                </w:p>
              </w:tc>
            </w:tr>
            <w:tr w14:paraId="1B63D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vMerge w:val="continue"/>
                  <w:tcBorders>
                    <w:tl2br w:val="nil"/>
                    <w:tr2bl w:val="nil"/>
                  </w:tcBorders>
                  <w:vAlign w:val="center"/>
                </w:tcPr>
                <w:p w14:paraId="061DDBC2">
                  <w:pPr>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p>
              </w:tc>
              <w:tc>
                <w:tcPr>
                  <w:tcW w:w="1574" w:type="pct"/>
                  <w:gridSpan w:val="2"/>
                  <w:tcBorders>
                    <w:tl2br w:val="nil"/>
                    <w:tr2bl w:val="nil"/>
                  </w:tcBorders>
                  <w:vAlign w:val="center"/>
                </w:tcPr>
                <w:p w14:paraId="4284472A">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分子式：H2S</w:t>
                  </w:r>
                </w:p>
              </w:tc>
              <w:tc>
                <w:tcPr>
                  <w:tcW w:w="1555" w:type="pct"/>
                  <w:gridSpan w:val="3"/>
                  <w:tcBorders>
                    <w:tl2br w:val="nil"/>
                    <w:tr2bl w:val="nil"/>
                  </w:tcBorders>
                  <w:vAlign w:val="center"/>
                </w:tcPr>
                <w:p w14:paraId="67AAFE1B">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分子量：34.08</w:t>
                  </w:r>
                </w:p>
              </w:tc>
              <w:tc>
                <w:tcPr>
                  <w:tcW w:w="1475" w:type="pct"/>
                  <w:tcBorders>
                    <w:tl2br w:val="nil"/>
                    <w:tr2bl w:val="nil"/>
                  </w:tcBorders>
                  <w:vAlign w:val="center"/>
                </w:tcPr>
                <w:p w14:paraId="25E34892">
                  <w:pPr>
                    <w:pStyle w:val="109"/>
                    <w:keepNext w:val="0"/>
                    <w:keepLines w:val="0"/>
                    <w:pageBreakBefore w:val="0"/>
                    <w:widowControl w:val="0"/>
                    <w:kinsoku/>
                    <w:wordWrap/>
                    <w:overflowPunct/>
                    <w:topLinePunct w:val="0"/>
                    <w:autoSpaceDE/>
                    <w:autoSpaceDN/>
                    <w:bidi w:val="0"/>
                    <w:adjustRightInd/>
                    <w:snapToGrid/>
                    <w:spacing w:line="320" w:lineRule="exact"/>
                    <w:ind w:left="110"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CAS号：7783-06-4</w:t>
                  </w:r>
                </w:p>
              </w:tc>
            </w:tr>
            <w:tr w14:paraId="4B9F7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vMerge w:val="continue"/>
                  <w:tcBorders>
                    <w:tl2br w:val="nil"/>
                    <w:tr2bl w:val="nil"/>
                  </w:tcBorders>
                  <w:vAlign w:val="center"/>
                </w:tcPr>
                <w:p w14:paraId="61710A01">
                  <w:pPr>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p>
              </w:tc>
              <w:tc>
                <w:tcPr>
                  <w:tcW w:w="4605" w:type="pct"/>
                  <w:gridSpan w:val="6"/>
                  <w:tcBorders>
                    <w:tl2br w:val="nil"/>
                    <w:tr2bl w:val="nil"/>
                  </w:tcBorders>
                  <w:vAlign w:val="center"/>
                </w:tcPr>
                <w:p w14:paraId="4899B41C">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危规号：21043</w:t>
                  </w:r>
                </w:p>
              </w:tc>
            </w:tr>
            <w:tr w14:paraId="26ADB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vMerge w:val="restart"/>
                  <w:tcBorders>
                    <w:tl2br w:val="nil"/>
                    <w:tr2bl w:val="nil"/>
                  </w:tcBorders>
                  <w:vAlign w:val="center"/>
                </w:tcPr>
                <w:p w14:paraId="3FBE2792">
                  <w:pPr>
                    <w:pStyle w:val="109"/>
                    <w:keepNext w:val="0"/>
                    <w:keepLines w:val="0"/>
                    <w:pageBreakBefore w:val="0"/>
                    <w:widowControl w:val="0"/>
                    <w:kinsoku/>
                    <w:wordWrap/>
                    <w:overflowPunct/>
                    <w:topLinePunct w:val="0"/>
                    <w:autoSpaceDE/>
                    <w:autoSpaceDN/>
                    <w:bidi w:val="0"/>
                    <w:adjustRightInd/>
                    <w:snapToGrid/>
                    <w:spacing w:line="320" w:lineRule="exact"/>
                    <w:ind w:left="110"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理化性质</w:t>
                  </w:r>
                </w:p>
              </w:tc>
              <w:tc>
                <w:tcPr>
                  <w:tcW w:w="4605" w:type="pct"/>
                  <w:gridSpan w:val="6"/>
                  <w:tcBorders>
                    <w:tl2br w:val="nil"/>
                    <w:tr2bl w:val="nil"/>
                  </w:tcBorders>
                  <w:vAlign w:val="center"/>
                </w:tcPr>
                <w:p w14:paraId="7D00E713">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性状：无色有恶臭气体。</w:t>
                  </w:r>
                </w:p>
              </w:tc>
            </w:tr>
            <w:tr w14:paraId="15C7C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vMerge w:val="continue"/>
                  <w:tcBorders>
                    <w:tl2br w:val="nil"/>
                    <w:tr2bl w:val="nil"/>
                  </w:tcBorders>
                  <w:vAlign w:val="center"/>
                </w:tcPr>
                <w:p w14:paraId="7185C5EF">
                  <w:pPr>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p>
              </w:tc>
              <w:tc>
                <w:tcPr>
                  <w:tcW w:w="4605" w:type="pct"/>
                  <w:gridSpan w:val="6"/>
                  <w:tcBorders>
                    <w:tl2br w:val="nil"/>
                    <w:tr2bl w:val="nil"/>
                  </w:tcBorders>
                  <w:vAlign w:val="center"/>
                </w:tcPr>
                <w:p w14:paraId="340743FB">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溶解性：溶于水、乙醇。</w:t>
                  </w:r>
                </w:p>
              </w:tc>
            </w:tr>
            <w:tr w14:paraId="071FD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vMerge w:val="continue"/>
                  <w:tcBorders>
                    <w:tl2br w:val="nil"/>
                    <w:tr2bl w:val="nil"/>
                  </w:tcBorders>
                  <w:vAlign w:val="center"/>
                </w:tcPr>
                <w:p w14:paraId="2CF290F5">
                  <w:pPr>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p>
              </w:tc>
              <w:tc>
                <w:tcPr>
                  <w:tcW w:w="1235" w:type="pct"/>
                  <w:tcBorders>
                    <w:tl2br w:val="nil"/>
                    <w:tr2bl w:val="nil"/>
                  </w:tcBorders>
                  <w:vAlign w:val="center"/>
                </w:tcPr>
                <w:p w14:paraId="70AFD035">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熔点（℃）：85.5</w:t>
                  </w:r>
                </w:p>
              </w:tc>
              <w:tc>
                <w:tcPr>
                  <w:tcW w:w="1308" w:type="pct"/>
                  <w:gridSpan w:val="3"/>
                  <w:tcBorders>
                    <w:tl2br w:val="nil"/>
                    <w:tr2bl w:val="nil"/>
                  </w:tcBorders>
                  <w:vAlign w:val="center"/>
                </w:tcPr>
                <w:p w14:paraId="23D36CDA">
                  <w:pPr>
                    <w:pStyle w:val="109"/>
                    <w:keepNext w:val="0"/>
                    <w:keepLines w:val="0"/>
                    <w:pageBreakBefore w:val="0"/>
                    <w:widowControl w:val="0"/>
                    <w:kinsoku/>
                    <w:wordWrap/>
                    <w:overflowPunct/>
                    <w:topLinePunct w:val="0"/>
                    <w:autoSpaceDE/>
                    <w:autoSpaceDN/>
                    <w:bidi w:val="0"/>
                    <w:adjustRightInd/>
                    <w:snapToGrid/>
                    <w:spacing w:line="320" w:lineRule="exact"/>
                    <w:ind w:left="105"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沸点（℃）：－60.4</w:t>
                  </w:r>
                </w:p>
              </w:tc>
              <w:tc>
                <w:tcPr>
                  <w:tcW w:w="2061" w:type="pct"/>
                  <w:gridSpan w:val="2"/>
                  <w:tcBorders>
                    <w:tl2br w:val="nil"/>
                    <w:tr2bl w:val="nil"/>
                  </w:tcBorders>
                  <w:vAlign w:val="center"/>
                </w:tcPr>
                <w:p w14:paraId="0103BABF">
                  <w:pPr>
                    <w:pStyle w:val="109"/>
                    <w:keepNext w:val="0"/>
                    <w:keepLines w:val="0"/>
                    <w:pageBreakBefore w:val="0"/>
                    <w:widowControl w:val="0"/>
                    <w:tabs>
                      <w:tab w:val="center" w:pos="1816"/>
                    </w:tabs>
                    <w:kinsoku/>
                    <w:wordWrap/>
                    <w:overflowPunct/>
                    <w:topLinePunct w:val="0"/>
                    <w:autoSpaceDE/>
                    <w:autoSpaceDN/>
                    <w:bidi w:val="0"/>
                    <w:adjustRightInd/>
                    <w:snapToGrid/>
                    <w:spacing w:line="320" w:lineRule="exact"/>
                    <w:ind w:left="109"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相对密度（水＝1）</w:t>
                  </w:r>
                </w:p>
              </w:tc>
            </w:tr>
            <w:tr w14:paraId="564B7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vMerge w:val="continue"/>
                  <w:tcBorders>
                    <w:tl2br w:val="nil"/>
                    <w:tr2bl w:val="nil"/>
                  </w:tcBorders>
                  <w:vAlign w:val="center"/>
                </w:tcPr>
                <w:p w14:paraId="6AE70320">
                  <w:pPr>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p>
              </w:tc>
              <w:tc>
                <w:tcPr>
                  <w:tcW w:w="1235" w:type="pct"/>
                  <w:tcBorders>
                    <w:tl2br w:val="nil"/>
                    <w:tr2bl w:val="nil"/>
                  </w:tcBorders>
                  <w:vAlign w:val="center"/>
                </w:tcPr>
                <w:p w14:paraId="3B6FC33F">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临界温度（℃）：100.4</w:t>
                  </w:r>
                </w:p>
              </w:tc>
              <w:tc>
                <w:tcPr>
                  <w:tcW w:w="1308" w:type="pct"/>
                  <w:gridSpan w:val="3"/>
                  <w:tcBorders>
                    <w:tl2br w:val="nil"/>
                    <w:tr2bl w:val="nil"/>
                  </w:tcBorders>
                  <w:vAlign w:val="center"/>
                </w:tcPr>
                <w:p w14:paraId="49A2173C">
                  <w:pPr>
                    <w:pStyle w:val="109"/>
                    <w:keepNext w:val="0"/>
                    <w:keepLines w:val="0"/>
                    <w:pageBreakBefore w:val="0"/>
                    <w:widowControl w:val="0"/>
                    <w:kinsoku/>
                    <w:wordWrap/>
                    <w:overflowPunct/>
                    <w:topLinePunct w:val="0"/>
                    <w:autoSpaceDE/>
                    <w:autoSpaceDN/>
                    <w:bidi w:val="0"/>
                    <w:adjustRightInd/>
                    <w:snapToGrid/>
                    <w:spacing w:line="320" w:lineRule="exact"/>
                    <w:ind w:left="105"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临界压力（MPa）：9.01</w:t>
                  </w:r>
                </w:p>
              </w:tc>
              <w:tc>
                <w:tcPr>
                  <w:tcW w:w="2061" w:type="pct"/>
                  <w:gridSpan w:val="2"/>
                  <w:tcBorders>
                    <w:tl2br w:val="nil"/>
                    <w:tr2bl w:val="nil"/>
                  </w:tcBorders>
                  <w:vAlign w:val="center"/>
                </w:tcPr>
                <w:p w14:paraId="6A624058">
                  <w:pPr>
                    <w:pStyle w:val="109"/>
                    <w:keepNext w:val="0"/>
                    <w:keepLines w:val="0"/>
                    <w:pageBreakBefore w:val="0"/>
                    <w:widowControl w:val="0"/>
                    <w:kinsoku/>
                    <w:wordWrap/>
                    <w:overflowPunct/>
                    <w:topLinePunct w:val="0"/>
                    <w:autoSpaceDE/>
                    <w:autoSpaceDN/>
                    <w:bidi w:val="0"/>
                    <w:adjustRightInd/>
                    <w:snapToGrid/>
                    <w:spacing w:line="320" w:lineRule="exact"/>
                    <w:ind w:left="109"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相对密度（空气＝1）：1.19</w:t>
                  </w:r>
                </w:p>
              </w:tc>
            </w:tr>
            <w:tr w14:paraId="0712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vMerge w:val="continue"/>
                  <w:tcBorders>
                    <w:tl2br w:val="nil"/>
                    <w:tr2bl w:val="nil"/>
                  </w:tcBorders>
                  <w:vAlign w:val="center"/>
                </w:tcPr>
                <w:p w14:paraId="274357D9">
                  <w:pPr>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p>
              </w:tc>
              <w:tc>
                <w:tcPr>
                  <w:tcW w:w="1235" w:type="pct"/>
                  <w:tcBorders>
                    <w:tl2br w:val="nil"/>
                    <w:tr2bl w:val="nil"/>
                  </w:tcBorders>
                  <w:vAlign w:val="center"/>
                </w:tcPr>
                <w:p w14:paraId="5D8DE5E3">
                  <w:pPr>
                    <w:pStyle w:val="109"/>
                    <w:keepNext w:val="0"/>
                    <w:keepLines w:val="0"/>
                    <w:pageBreakBefore w:val="0"/>
                    <w:widowControl w:val="0"/>
                    <w:tabs>
                      <w:tab w:val="right" w:pos="2350"/>
                    </w:tabs>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燃烧热（KJ/mol）：</w:t>
                  </w:r>
                </w:p>
              </w:tc>
              <w:tc>
                <w:tcPr>
                  <w:tcW w:w="1308" w:type="pct"/>
                  <w:gridSpan w:val="3"/>
                  <w:tcBorders>
                    <w:tl2br w:val="nil"/>
                    <w:tr2bl w:val="nil"/>
                  </w:tcBorders>
                  <w:vAlign w:val="center"/>
                </w:tcPr>
                <w:p w14:paraId="27B92F4D">
                  <w:pPr>
                    <w:pStyle w:val="109"/>
                    <w:keepNext w:val="0"/>
                    <w:keepLines w:val="0"/>
                    <w:pageBreakBefore w:val="0"/>
                    <w:widowControl w:val="0"/>
                    <w:tabs>
                      <w:tab w:val="center" w:pos="1151"/>
                    </w:tabs>
                    <w:kinsoku/>
                    <w:wordWrap/>
                    <w:overflowPunct/>
                    <w:topLinePunct w:val="0"/>
                    <w:autoSpaceDE/>
                    <w:autoSpaceDN/>
                    <w:bidi w:val="0"/>
                    <w:adjustRightInd/>
                    <w:snapToGrid/>
                    <w:spacing w:line="320" w:lineRule="exact"/>
                    <w:ind w:left="105"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最小点火能（mJ）：0.077</w:t>
                  </w:r>
                </w:p>
              </w:tc>
              <w:tc>
                <w:tcPr>
                  <w:tcW w:w="2061" w:type="pct"/>
                  <w:gridSpan w:val="2"/>
                  <w:tcBorders>
                    <w:tl2br w:val="nil"/>
                    <w:tr2bl w:val="nil"/>
                  </w:tcBorders>
                  <w:vAlign w:val="center"/>
                </w:tcPr>
                <w:p w14:paraId="06585DCA">
                  <w:pPr>
                    <w:pStyle w:val="109"/>
                    <w:keepNext w:val="0"/>
                    <w:keepLines w:val="0"/>
                    <w:pageBreakBefore w:val="0"/>
                    <w:widowControl w:val="0"/>
                    <w:kinsoku/>
                    <w:wordWrap/>
                    <w:overflowPunct/>
                    <w:topLinePunct w:val="0"/>
                    <w:autoSpaceDE/>
                    <w:autoSpaceDN/>
                    <w:bidi w:val="0"/>
                    <w:adjustRightInd/>
                    <w:snapToGrid/>
                    <w:spacing w:line="320" w:lineRule="exact"/>
                    <w:ind w:left="109"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饱和蒸汽压（KPa）：2026.5（25.5℃）</w:t>
                  </w:r>
                </w:p>
              </w:tc>
            </w:tr>
            <w:tr w14:paraId="507D2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vMerge w:val="restart"/>
                  <w:tcBorders>
                    <w:tl2br w:val="nil"/>
                    <w:tr2bl w:val="nil"/>
                  </w:tcBorders>
                  <w:vAlign w:val="center"/>
                </w:tcPr>
                <w:p w14:paraId="76533EB4">
                  <w:pPr>
                    <w:pStyle w:val="109"/>
                    <w:keepNext w:val="0"/>
                    <w:keepLines w:val="0"/>
                    <w:pageBreakBefore w:val="0"/>
                    <w:widowControl w:val="0"/>
                    <w:kinsoku/>
                    <w:wordWrap/>
                    <w:overflowPunct/>
                    <w:topLinePunct w:val="0"/>
                    <w:autoSpaceDE/>
                    <w:autoSpaceDN/>
                    <w:bidi w:val="0"/>
                    <w:adjustRightInd/>
                    <w:snapToGrid/>
                    <w:spacing w:line="320" w:lineRule="exact"/>
                    <w:ind w:left="110"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燃烧爆炸危险性</w:t>
                  </w:r>
                </w:p>
              </w:tc>
              <w:tc>
                <w:tcPr>
                  <w:tcW w:w="1574" w:type="pct"/>
                  <w:gridSpan w:val="2"/>
                  <w:tcBorders>
                    <w:tl2br w:val="nil"/>
                    <w:tr2bl w:val="nil"/>
                  </w:tcBorders>
                  <w:vAlign w:val="center"/>
                </w:tcPr>
                <w:p w14:paraId="729969F0">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燃烧性：易燃</w:t>
                  </w:r>
                </w:p>
              </w:tc>
              <w:tc>
                <w:tcPr>
                  <w:tcW w:w="3030" w:type="pct"/>
                  <w:gridSpan w:val="4"/>
                  <w:tcBorders>
                    <w:tl2br w:val="nil"/>
                    <w:tr2bl w:val="nil"/>
                  </w:tcBorders>
                  <w:vAlign w:val="center"/>
                </w:tcPr>
                <w:p w14:paraId="0282016B">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燃烧分解产物：氧化硫。</w:t>
                  </w:r>
                </w:p>
              </w:tc>
            </w:tr>
            <w:tr w14:paraId="61E56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vMerge w:val="continue"/>
                  <w:tcBorders>
                    <w:tl2br w:val="nil"/>
                    <w:tr2bl w:val="nil"/>
                  </w:tcBorders>
                  <w:vAlign w:val="center"/>
                </w:tcPr>
                <w:p w14:paraId="6C8CA29F">
                  <w:pPr>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p>
              </w:tc>
              <w:tc>
                <w:tcPr>
                  <w:tcW w:w="1574" w:type="pct"/>
                  <w:gridSpan w:val="2"/>
                  <w:tcBorders>
                    <w:tl2br w:val="nil"/>
                    <w:tr2bl w:val="nil"/>
                  </w:tcBorders>
                  <w:vAlign w:val="center"/>
                </w:tcPr>
                <w:p w14:paraId="6A47A173">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闪点（℃）：</w:t>
                  </w:r>
                </w:p>
              </w:tc>
              <w:tc>
                <w:tcPr>
                  <w:tcW w:w="3030" w:type="pct"/>
                  <w:gridSpan w:val="4"/>
                  <w:tcBorders>
                    <w:tl2br w:val="nil"/>
                    <w:tr2bl w:val="nil"/>
                  </w:tcBorders>
                  <w:vAlign w:val="center"/>
                </w:tcPr>
                <w:p w14:paraId="5909A400">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聚合危害：不聚合</w:t>
                  </w:r>
                </w:p>
              </w:tc>
            </w:tr>
            <w:tr w14:paraId="34F55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vMerge w:val="continue"/>
                  <w:tcBorders>
                    <w:tl2br w:val="nil"/>
                    <w:tr2bl w:val="nil"/>
                  </w:tcBorders>
                  <w:vAlign w:val="center"/>
                </w:tcPr>
                <w:p w14:paraId="39494790">
                  <w:pPr>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p>
              </w:tc>
              <w:tc>
                <w:tcPr>
                  <w:tcW w:w="1574" w:type="pct"/>
                  <w:gridSpan w:val="2"/>
                  <w:tcBorders>
                    <w:tl2br w:val="nil"/>
                    <w:tr2bl w:val="nil"/>
                  </w:tcBorders>
                  <w:vAlign w:val="center"/>
                </w:tcPr>
                <w:p w14:paraId="4B4B37BA">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爆炸下限（%）：4.0</w:t>
                  </w:r>
                </w:p>
              </w:tc>
              <w:tc>
                <w:tcPr>
                  <w:tcW w:w="3030" w:type="pct"/>
                  <w:gridSpan w:val="4"/>
                  <w:tcBorders>
                    <w:tl2br w:val="nil"/>
                    <w:tr2bl w:val="nil"/>
                  </w:tcBorders>
                  <w:vAlign w:val="center"/>
                </w:tcPr>
                <w:p w14:paraId="1FA5C14D">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稳定性：稳定</w:t>
                  </w:r>
                </w:p>
              </w:tc>
            </w:tr>
            <w:tr w14:paraId="47540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vMerge w:val="continue"/>
                  <w:tcBorders>
                    <w:tl2br w:val="nil"/>
                    <w:tr2bl w:val="nil"/>
                  </w:tcBorders>
                  <w:vAlign w:val="center"/>
                </w:tcPr>
                <w:p w14:paraId="43C6DD82">
                  <w:pPr>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p>
              </w:tc>
              <w:tc>
                <w:tcPr>
                  <w:tcW w:w="1574" w:type="pct"/>
                  <w:gridSpan w:val="2"/>
                  <w:tcBorders>
                    <w:tl2br w:val="nil"/>
                    <w:tr2bl w:val="nil"/>
                  </w:tcBorders>
                  <w:vAlign w:val="center"/>
                </w:tcPr>
                <w:p w14:paraId="3F2CAC87">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爆炸上限（%）：46.0</w:t>
                  </w:r>
                </w:p>
              </w:tc>
              <w:tc>
                <w:tcPr>
                  <w:tcW w:w="3030" w:type="pct"/>
                  <w:gridSpan w:val="4"/>
                  <w:tcBorders>
                    <w:tl2br w:val="nil"/>
                    <w:tr2bl w:val="nil"/>
                  </w:tcBorders>
                  <w:vAlign w:val="center"/>
                </w:tcPr>
                <w:p w14:paraId="2FE38AE4">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最大爆炸压力（MPa）：</w:t>
                  </w:r>
                </w:p>
              </w:tc>
            </w:tr>
            <w:tr w14:paraId="0D162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vMerge w:val="continue"/>
                  <w:tcBorders>
                    <w:tl2br w:val="nil"/>
                    <w:tr2bl w:val="nil"/>
                  </w:tcBorders>
                  <w:vAlign w:val="center"/>
                </w:tcPr>
                <w:p w14:paraId="7E151110">
                  <w:pPr>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p>
              </w:tc>
              <w:tc>
                <w:tcPr>
                  <w:tcW w:w="1574" w:type="pct"/>
                  <w:gridSpan w:val="2"/>
                  <w:tcBorders>
                    <w:tl2br w:val="nil"/>
                    <w:tr2bl w:val="nil"/>
                  </w:tcBorders>
                  <w:vAlign w:val="center"/>
                </w:tcPr>
                <w:p w14:paraId="093C8FCC">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引燃温度（℃）：260</w:t>
                  </w:r>
                </w:p>
              </w:tc>
              <w:tc>
                <w:tcPr>
                  <w:tcW w:w="3030" w:type="pct"/>
                  <w:gridSpan w:val="4"/>
                  <w:tcBorders>
                    <w:tl2br w:val="nil"/>
                    <w:tr2bl w:val="nil"/>
                  </w:tcBorders>
                  <w:vAlign w:val="center"/>
                </w:tcPr>
                <w:p w14:paraId="736537AF">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禁忌物：强氧化剂、碱类。</w:t>
                  </w:r>
                </w:p>
              </w:tc>
            </w:tr>
            <w:tr w14:paraId="0A7E9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vMerge w:val="continue"/>
                  <w:tcBorders>
                    <w:tl2br w:val="nil"/>
                    <w:tr2bl w:val="nil"/>
                  </w:tcBorders>
                  <w:vAlign w:val="center"/>
                </w:tcPr>
                <w:p w14:paraId="25B1C21C">
                  <w:pPr>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p>
              </w:tc>
              <w:tc>
                <w:tcPr>
                  <w:tcW w:w="4605" w:type="pct"/>
                  <w:gridSpan w:val="6"/>
                  <w:tcBorders>
                    <w:tl2br w:val="nil"/>
                    <w:tr2bl w:val="nil"/>
                  </w:tcBorders>
                  <w:vAlign w:val="center"/>
                </w:tcPr>
                <w:p w14:paraId="2F7083D7">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危险特性：易燃，与空气混合能形成爆炸性混合物，遇明火、高热能引起燃烧爆炸。与浓硝酸、发烟硝酸或其它强氧化剂剧烈反应，发生爆炸。气体比空气重，能在较低处扩散到相当远的地方，遇明火会引起回燃。</w:t>
                  </w:r>
                </w:p>
              </w:tc>
            </w:tr>
            <w:tr w14:paraId="6AC48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vMerge w:val="continue"/>
                  <w:tcBorders>
                    <w:tl2br w:val="nil"/>
                    <w:tr2bl w:val="nil"/>
                  </w:tcBorders>
                  <w:vAlign w:val="center"/>
                </w:tcPr>
                <w:p w14:paraId="3560FD67">
                  <w:pPr>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p>
              </w:tc>
              <w:tc>
                <w:tcPr>
                  <w:tcW w:w="4605" w:type="pct"/>
                  <w:gridSpan w:val="6"/>
                  <w:tcBorders>
                    <w:tl2br w:val="nil"/>
                    <w:tr2bl w:val="nil"/>
                  </w:tcBorders>
                  <w:vAlign w:val="center"/>
                </w:tcPr>
                <w:p w14:paraId="64E61BC7">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灭火方法：消防人员须穿戴全身防火防毒服。切断气源。若不能立即切断气源，则不允许熄灭正在燃烧的气体。喷水冷却容器，可能的话将容器从火场移至空旷处。灭火剂：雾状水、抗溶性泡沫、干粉。</w:t>
                  </w:r>
                </w:p>
              </w:tc>
            </w:tr>
            <w:tr w14:paraId="73426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tcBorders>
                    <w:tl2br w:val="nil"/>
                    <w:tr2bl w:val="nil"/>
                  </w:tcBorders>
                  <w:vAlign w:val="center"/>
                </w:tcPr>
                <w:p w14:paraId="1066A580">
                  <w:pPr>
                    <w:pStyle w:val="109"/>
                    <w:keepNext w:val="0"/>
                    <w:keepLines w:val="0"/>
                    <w:pageBreakBefore w:val="0"/>
                    <w:widowControl w:val="0"/>
                    <w:kinsoku/>
                    <w:wordWrap/>
                    <w:overflowPunct/>
                    <w:topLinePunct w:val="0"/>
                    <w:autoSpaceDE/>
                    <w:autoSpaceDN/>
                    <w:bidi w:val="0"/>
                    <w:adjustRightInd/>
                    <w:snapToGrid/>
                    <w:spacing w:line="320" w:lineRule="exact"/>
                    <w:ind w:left="110"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毒性</w:t>
                  </w:r>
                </w:p>
              </w:tc>
              <w:tc>
                <w:tcPr>
                  <w:tcW w:w="4605" w:type="pct"/>
                  <w:gridSpan w:val="6"/>
                  <w:tcBorders>
                    <w:tl2br w:val="nil"/>
                    <w:tr2bl w:val="nil"/>
                  </w:tcBorders>
                  <w:vAlign w:val="center"/>
                </w:tcPr>
                <w:p w14:paraId="4CE7CA22">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LC50：618mg/m</w:t>
                  </w:r>
                  <w:r>
                    <w:rPr>
                      <w:rFonts w:hint="default" w:ascii="Times New Roman" w:hAnsi="Times New Roman" w:cs="Times New Roman" w:eastAsiaTheme="minorEastAsia"/>
                      <w:color w:val="auto"/>
                      <w:spacing w:val="0"/>
                      <w:position w:val="0"/>
                      <w:sz w:val="21"/>
                      <w:szCs w:val="21"/>
                      <w:highlight w:val="none"/>
                      <w:vertAlign w:val="superscript"/>
                    </w:rPr>
                    <w:t>3</w:t>
                  </w:r>
                  <w:r>
                    <w:rPr>
                      <w:rFonts w:hint="default" w:ascii="Times New Roman" w:hAnsi="Times New Roman" w:cs="Times New Roman" w:eastAsiaTheme="minorEastAsia"/>
                      <w:color w:val="auto"/>
                      <w:spacing w:val="0"/>
                      <w:position w:val="0"/>
                      <w:sz w:val="21"/>
                      <w:szCs w:val="21"/>
                      <w:highlight w:val="none"/>
                    </w:rPr>
                    <w:t>（大鼠吸入）</w:t>
                  </w:r>
                </w:p>
              </w:tc>
            </w:tr>
            <w:tr w14:paraId="257F8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2042" w:hRule="atLeast"/>
              </w:trPr>
              <w:tc>
                <w:tcPr>
                  <w:tcW w:w="394" w:type="pct"/>
                  <w:tcBorders>
                    <w:tl2br w:val="nil"/>
                    <w:tr2bl w:val="nil"/>
                  </w:tcBorders>
                  <w:vAlign w:val="center"/>
                </w:tcPr>
                <w:p w14:paraId="54ACF610">
                  <w:pPr>
                    <w:pStyle w:val="109"/>
                    <w:keepNext w:val="0"/>
                    <w:keepLines w:val="0"/>
                    <w:pageBreakBefore w:val="0"/>
                    <w:widowControl w:val="0"/>
                    <w:kinsoku/>
                    <w:wordWrap/>
                    <w:overflowPunct/>
                    <w:topLinePunct w:val="0"/>
                    <w:autoSpaceDE/>
                    <w:autoSpaceDN/>
                    <w:bidi w:val="0"/>
                    <w:adjustRightInd/>
                    <w:snapToGrid/>
                    <w:spacing w:line="320" w:lineRule="exact"/>
                    <w:ind w:left="110"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对人体危害</w:t>
                  </w:r>
                </w:p>
              </w:tc>
              <w:tc>
                <w:tcPr>
                  <w:tcW w:w="4605" w:type="pct"/>
                  <w:gridSpan w:val="6"/>
                  <w:tcBorders>
                    <w:tl2br w:val="nil"/>
                    <w:tr2bl w:val="nil"/>
                  </w:tcBorders>
                  <w:vAlign w:val="center"/>
                </w:tcPr>
                <w:p w14:paraId="0A68B2A3">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侵入途径：吸入。</w:t>
                  </w:r>
                </w:p>
                <w:p w14:paraId="00848E46">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健康危害：本品是强烈的神经毒物，对粘膜有强烈刺激作用。</w:t>
                  </w:r>
                </w:p>
                <w:p w14:paraId="3DF97162">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急性中毒：短期内吸入高浓度硫化氢后出现流泪、眼痛、眼内异物感、畏光、视物模糊、流涕、咽喉部灼热感、咳嗽、胸闷、头痛、头晕、乏力、意识模糊等。部分患者可有心肌损害。重者可出现老水肿、肺水肿。极高浓度（1000mg/m3以上）时可在数秒钟内突然昏迷，呼吸和心跳骤停，发生闪电型死亡。高浓度接触眼结膜发生水肿和结膜溃疡。</w:t>
                  </w:r>
                </w:p>
              </w:tc>
            </w:tr>
            <w:tr w14:paraId="34EB7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tcBorders>
                    <w:tl2br w:val="nil"/>
                    <w:tr2bl w:val="nil"/>
                  </w:tcBorders>
                  <w:vAlign w:val="center"/>
                </w:tcPr>
                <w:p w14:paraId="2779A43B">
                  <w:pPr>
                    <w:pStyle w:val="109"/>
                    <w:keepNext w:val="0"/>
                    <w:keepLines w:val="0"/>
                    <w:pageBreakBefore w:val="0"/>
                    <w:widowControl w:val="0"/>
                    <w:kinsoku/>
                    <w:wordWrap/>
                    <w:overflowPunct/>
                    <w:topLinePunct w:val="0"/>
                    <w:autoSpaceDE/>
                    <w:autoSpaceDN/>
                    <w:bidi w:val="0"/>
                    <w:adjustRightInd/>
                    <w:snapToGrid/>
                    <w:spacing w:line="320" w:lineRule="exact"/>
                    <w:ind w:left="110"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急救</w:t>
                  </w:r>
                </w:p>
              </w:tc>
              <w:tc>
                <w:tcPr>
                  <w:tcW w:w="4605" w:type="pct"/>
                  <w:gridSpan w:val="6"/>
                  <w:tcBorders>
                    <w:tl2br w:val="nil"/>
                    <w:tr2bl w:val="nil"/>
                  </w:tcBorders>
                  <w:vAlign w:val="center"/>
                </w:tcPr>
                <w:p w14:paraId="009E244F">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眼睛接触：立即提起眼睑，用大量流动清水或生理盐水彻底冲洗至少15分钟。就医。</w:t>
                  </w:r>
                </w:p>
                <w:p w14:paraId="2F719EF2">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吸入：迅速脱离现场至空气新鲜处，保持呼吸道通畅。如呼吸困难，给输氧。如呼吸停止，立即进行人工呼吸。就医。</w:t>
                  </w:r>
                </w:p>
              </w:tc>
            </w:tr>
            <w:tr w14:paraId="7FCBE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tcBorders>
                    <w:tl2br w:val="nil"/>
                    <w:tr2bl w:val="nil"/>
                  </w:tcBorders>
                  <w:vAlign w:val="center"/>
                </w:tcPr>
                <w:p w14:paraId="486FA8B3">
                  <w:pPr>
                    <w:pStyle w:val="109"/>
                    <w:keepNext w:val="0"/>
                    <w:keepLines w:val="0"/>
                    <w:pageBreakBefore w:val="0"/>
                    <w:widowControl w:val="0"/>
                    <w:kinsoku/>
                    <w:wordWrap/>
                    <w:overflowPunct/>
                    <w:topLinePunct w:val="0"/>
                    <w:autoSpaceDE/>
                    <w:autoSpaceDN/>
                    <w:bidi w:val="0"/>
                    <w:adjustRightInd/>
                    <w:snapToGrid/>
                    <w:spacing w:line="320" w:lineRule="exact"/>
                    <w:ind w:left="110"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防护</w:t>
                  </w:r>
                </w:p>
              </w:tc>
              <w:tc>
                <w:tcPr>
                  <w:tcW w:w="4605" w:type="pct"/>
                  <w:gridSpan w:val="6"/>
                  <w:tcBorders>
                    <w:tl2br w:val="nil"/>
                    <w:tr2bl w:val="nil"/>
                  </w:tcBorders>
                  <w:vAlign w:val="center"/>
                </w:tcPr>
                <w:p w14:paraId="7EA7C93E">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工程防护：严加密闭，提供充分的局部排风和全面通风。提供安全淋浴和洗眼设备。</w:t>
                  </w:r>
                </w:p>
                <w:p w14:paraId="05E05726">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呼吸系统防护：空气中浓度超标时，佩戴过滤式防毒面具（全面罩）。紧急事态抢救或撤离时，建议佩戴氧气呼吸器或空气呼吸器。</w:t>
                  </w:r>
                </w:p>
                <w:p w14:paraId="0A7BF798">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眼睛防护：戴化学安全防护眼镜。身体防护：穿防静电工作服。</w:t>
                  </w:r>
                </w:p>
                <w:p w14:paraId="50D62AD4">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手防护：戴化学品手套。</w:t>
                  </w:r>
                </w:p>
                <w:p w14:paraId="0795257D">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其它：工作现场严禁吸烟、进食和饮水。工作毕，淋浴更衣。及时换洗工作服。作业人员应学会自救互救。进入罐、限制性空间或其它高浓度区域作业，须有人监护。</w:t>
                  </w:r>
                </w:p>
              </w:tc>
            </w:tr>
            <w:tr w14:paraId="231DC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tcBorders>
                    <w:tl2br w:val="nil"/>
                    <w:tr2bl w:val="nil"/>
                  </w:tcBorders>
                  <w:vAlign w:val="center"/>
                </w:tcPr>
                <w:p w14:paraId="4CF6C683">
                  <w:pPr>
                    <w:pStyle w:val="109"/>
                    <w:keepNext w:val="0"/>
                    <w:keepLines w:val="0"/>
                    <w:pageBreakBefore w:val="0"/>
                    <w:widowControl w:val="0"/>
                    <w:kinsoku/>
                    <w:wordWrap/>
                    <w:overflowPunct/>
                    <w:topLinePunct w:val="0"/>
                    <w:autoSpaceDE/>
                    <w:autoSpaceDN/>
                    <w:bidi w:val="0"/>
                    <w:adjustRightInd/>
                    <w:snapToGrid/>
                    <w:spacing w:line="320" w:lineRule="exact"/>
                    <w:ind w:left="110"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泄漏处理</w:t>
                  </w:r>
                </w:p>
              </w:tc>
              <w:tc>
                <w:tcPr>
                  <w:tcW w:w="4605" w:type="pct"/>
                  <w:gridSpan w:val="6"/>
                  <w:tcBorders>
                    <w:tl2br w:val="nil"/>
                    <w:tr2bl w:val="nil"/>
                  </w:tcBorders>
                  <w:vAlign w:val="center"/>
                </w:tcPr>
                <w:p w14:paraId="322A7D83">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迅速撤离泄漏污染区人员至上风处，并进行隔离，小泄漏时隔离150m，大泄漏时隔离300m，严格限制出入。切断火源。建议应急处理人员戴自给正压式呼吸器，穿防毒服。从上风处进入现场。尽可能切断泄漏源。合理通风，加速扩散。喷雾状水稀释、溶解。构筑围堤或挖坑收容产生的大量废水。如有可能，将残余气或漏出气用排风机送至水洗塔或与塔相连的通风橱内。或使其通过三氯化铁水溶液，管路装止回装置以防溶液吸回。漏气容器要妥善处理，修复、检验后再用。</w:t>
                  </w:r>
                </w:p>
              </w:tc>
            </w:tr>
            <w:tr w14:paraId="4F82B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94" w:type="pct"/>
                  <w:tcBorders>
                    <w:tl2br w:val="nil"/>
                    <w:tr2bl w:val="nil"/>
                  </w:tcBorders>
                  <w:vAlign w:val="center"/>
                </w:tcPr>
                <w:p w14:paraId="49C064F0">
                  <w:pPr>
                    <w:pStyle w:val="109"/>
                    <w:keepNext w:val="0"/>
                    <w:keepLines w:val="0"/>
                    <w:pageBreakBefore w:val="0"/>
                    <w:widowControl w:val="0"/>
                    <w:kinsoku/>
                    <w:wordWrap/>
                    <w:overflowPunct/>
                    <w:topLinePunct w:val="0"/>
                    <w:autoSpaceDE/>
                    <w:autoSpaceDN/>
                    <w:bidi w:val="0"/>
                    <w:adjustRightInd/>
                    <w:snapToGrid/>
                    <w:spacing w:line="320" w:lineRule="exact"/>
                    <w:ind w:left="110"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贮运</w:t>
                  </w:r>
                </w:p>
              </w:tc>
              <w:tc>
                <w:tcPr>
                  <w:tcW w:w="4605" w:type="pct"/>
                  <w:gridSpan w:val="6"/>
                  <w:tcBorders>
                    <w:tl2br w:val="nil"/>
                    <w:tr2bl w:val="nil"/>
                  </w:tcBorders>
                  <w:vAlign w:val="center"/>
                </w:tcPr>
                <w:p w14:paraId="74ED3116">
                  <w:pPr>
                    <w:pStyle w:val="109"/>
                    <w:keepNext w:val="0"/>
                    <w:keepLines w:val="0"/>
                    <w:pageBreakBefore w:val="0"/>
                    <w:widowControl w:val="0"/>
                    <w:tabs>
                      <w:tab w:val="left" w:pos="1997"/>
                    </w:tabs>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包装标志：4</w:t>
                  </w:r>
                  <w:r>
                    <w:rPr>
                      <w:rFonts w:hint="default" w:ascii="Times New Roman" w:hAnsi="Times New Roman" w:cs="Times New Roman" w:eastAsiaTheme="minorEastAsia"/>
                      <w:color w:val="auto"/>
                      <w:spacing w:val="0"/>
                      <w:position w:val="0"/>
                      <w:sz w:val="21"/>
                      <w:szCs w:val="21"/>
                      <w:highlight w:val="none"/>
                      <w:lang w:val="en-US" w:eastAsia="zh-CN"/>
                    </w:rPr>
                    <w:t xml:space="preserve">            </w:t>
                  </w:r>
                  <w:r>
                    <w:rPr>
                      <w:rFonts w:hint="default" w:ascii="Times New Roman" w:hAnsi="Times New Roman" w:cs="Times New Roman" w:eastAsiaTheme="minorEastAsia"/>
                      <w:color w:val="auto"/>
                      <w:spacing w:val="0"/>
                      <w:position w:val="0"/>
                      <w:sz w:val="21"/>
                      <w:szCs w:val="21"/>
                      <w:highlight w:val="none"/>
                    </w:rPr>
                    <w:t>UN编号：1053</w:t>
                  </w:r>
                  <w:r>
                    <w:rPr>
                      <w:rFonts w:hint="default" w:ascii="Times New Roman" w:hAnsi="Times New Roman" w:cs="Times New Roman" w:eastAsiaTheme="minorEastAsia"/>
                      <w:color w:val="auto"/>
                      <w:spacing w:val="0"/>
                      <w:position w:val="0"/>
                      <w:sz w:val="21"/>
                      <w:szCs w:val="21"/>
                      <w:highlight w:val="none"/>
                      <w:lang w:val="en-US" w:eastAsia="zh-CN"/>
                    </w:rPr>
                    <w:t xml:space="preserve">       </w:t>
                  </w:r>
                  <w:r>
                    <w:rPr>
                      <w:rFonts w:hint="default" w:ascii="Times New Roman" w:hAnsi="Times New Roman" w:cs="Times New Roman" w:eastAsiaTheme="minorEastAsia"/>
                      <w:color w:val="auto"/>
                      <w:spacing w:val="0"/>
                      <w:position w:val="0"/>
                      <w:sz w:val="21"/>
                      <w:szCs w:val="21"/>
                      <w:highlight w:val="none"/>
                    </w:rPr>
                    <w:t>包装分类：Ⅱ包装方法：钢制气瓶。</w:t>
                  </w:r>
                </w:p>
                <w:p w14:paraId="4A811A65">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储运条件：易燃有毒的压缩气体。储存于阴凉、通风仓间内。仓内温度不宜超过30℃。远离火种、热源。防止阳光直射。保持容器密封。配备相应品种和数量的消防器材。禁止使用易产生火花的机械设备和工具。验收时要注意品名，注意验瓶日期，先进仓的先发用。平时要注意检查容器是否有泄漏现象。搬运时轻装轻卸，防止钢瓶及附件破损。运输按规定路线行</w:t>
                  </w:r>
                </w:p>
                <w:p w14:paraId="55DE62D7">
                  <w:pPr>
                    <w:pStyle w:val="109"/>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default" w:ascii="Times New Roman" w:hAnsi="Times New Roman" w:cs="Times New Roman" w:eastAsiaTheme="minorEastAsia"/>
                      <w:color w:val="auto"/>
                      <w:spacing w:val="0"/>
                      <w:position w:val="0"/>
                      <w:sz w:val="21"/>
                      <w:szCs w:val="21"/>
                      <w:highlight w:val="none"/>
                    </w:rPr>
                  </w:pPr>
                  <w:r>
                    <w:rPr>
                      <w:rFonts w:hint="default" w:ascii="Times New Roman" w:hAnsi="Times New Roman" w:cs="Times New Roman" w:eastAsiaTheme="minorEastAsia"/>
                      <w:color w:val="auto"/>
                      <w:spacing w:val="0"/>
                      <w:position w:val="0"/>
                      <w:sz w:val="21"/>
                      <w:szCs w:val="21"/>
                      <w:highlight w:val="none"/>
                    </w:rPr>
                    <w:t>驶，勿在居民区和人口稠密区停留。</w:t>
                  </w:r>
                </w:p>
              </w:tc>
            </w:tr>
          </w:tbl>
          <w:p w14:paraId="65A336B6">
            <w:pPr>
              <w:pStyle w:val="126"/>
              <w:keepNext/>
              <w:keepLines w:val="0"/>
              <w:pageBreakBefore w:val="0"/>
              <w:widowControl/>
              <w:numPr>
                <w:ilvl w:val="0"/>
                <w:numId w:val="0"/>
              </w:numPr>
              <w:kinsoku/>
              <w:wordWrap/>
              <w:overflowPunct/>
              <w:topLinePunct w:val="0"/>
              <w:autoSpaceDE/>
              <w:autoSpaceDN/>
              <w:bidi w:val="0"/>
              <w:adjustRightInd w:val="0"/>
              <w:snapToGrid w:val="0"/>
              <w:spacing w:line="320" w:lineRule="exact"/>
              <w:textAlignment w:val="auto"/>
              <w:rPr>
                <w:color w:val="auto"/>
                <w:sz w:val="21"/>
                <w:szCs w:val="21"/>
                <w:highlight w:val="none"/>
              </w:rPr>
            </w:pPr>
            <w:r>
              <w:rPr>
                <w:color w:val="auto"/>
                <w:sz w:val="21"/>
                <w:szCs w:val="21"/>
                <w:highlight w:val="none"/>
              </w:rPr>
              <w:t>表4-</w:t>
            </w:r>
            <w:r>
              <w:rPr>
                <w:rFonts w:hint="eastAsia"/>
                <w:color w:val="auto"/>
                <w:sz w:val="21"/>
                <w:szCs w:val="21"/>
                <w:highlight w:val="none"/>
                <w:lang w:val="en-US" w:eastAsia="zh-CN"/>
              </w:rPr>
              <w:t>3</w:t>
            </w:r>
            <w:r>
              <w:rPr>
                <w:color w:val="auto"/>
                <w:sz w:val="21"/>
                <w:szCs w:val="21"/>
                <w:highlight w:val="none"/>
              </w:rPr>
              <w:t>4</w:t>
            </w:r>
            <w:r>
              <w:rPr>
                <w:rFonts w:hint="eastAsia"/>
                <w:color w:val="auto"/>
                <w:sz w:val="21"/>
                <w:szCs w:val="21"/>
                <w:highlight w:val="none"/>
                <w:lang w:val="en-US" w:eastAsia="zh-CN"/>
              </w:rPr>
              <w:t xml:space="preserve">  </w:t>
            </w:r>
            <w:r>
              <w:rPr>
                <w:color w:val="auto"/>
                <w:sz w:val="21"/>
                <w:szCs w:val="21"/>
                <w:highlight w:val="none"/>
              </w:rPr>
              <w:t>氨理化性质及危险特性表</w:t>
            </w:r>
          </w:p>
          <w:tbl>
            <w:tblPr>
              <w:tblStyle w:val="26"/>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578"/>
              <w:gridCol w:w="2258"/>
              <w:gridCol w:w="585"/>
              <w:gridCol w:w="502"/>
              <w:gridCol w:w="1178"/>
              <w:gridCol w:w="1008"/>
              <w:gridCol w:w="2575"/>
            </w:tblGrid>
            <w:tr w14:paraId="145D3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vMerge w:val="restart"/>
                  <w:tcBorders>
                    <w:tl2br w:val="nil"/>
                    <w:tr2bl w:val="nil"/>
                  </w:tcBorders>
                  <w:vAlign w:val="center"/>
                </w:tcPr>
                <w:p w14:paraId="4176C4A0">
                  <w:pPr>
                    <w:pStyle w:val="109"/>
                    <w:keepNext w:val="0"/>
                    <w:keepLines w:val="0"/>
                    <w:pageBreakBefore w:val="0"/>
                    <w:widowControl w:val="0"/>
                    <w:kinsoku/>
                    <w:wordWrap/>
                    <w:overflowPunct/>
                    <w:topLinePunct w:val="0"/>
                    <w:autoSpaceDE/>
                    <w:autoSpaceDN/>
                    <w:bidi w:val="0"/>
                    <w:adjustRightInd/>
                    <w:snapToGrid/>
                    <w:spacing w:line="320" w:lineRule="exact"/>
                    <w:ind w:left="110" w:right="10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标识</w:t>
                  </w:r>
                </w:p>
              </w:tc>
              <w:tc>
                <w:tcPr>
                  <w:tcW w:w="1925" w:type="pct"/>
                  <w:gridSpan w:val="3"/>
                  <w:tcBorders>
                    <w:tl2br w:val="nil"/>
                    <w:tr2bl w:val="nil"/>
                  </w:tcBorders>
                  <w:vAlign w:val="center"/>
                </w:tcPr>
                <w:p w14:paraId="0462062B">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中文名：氨</w:t>
                  </w:r>
                </w:p>
              </w:tc>
              <w:tc>
                <w:tcPr>
                  <w:tcW w:w="2741" w:type="pct"/>
                  <w:gridSpan w:val="3"/>
                  <w:tcBorders>
                    <w:tl2br w:val="nil"/>
                    <w:tr2bl w:val="nil"/>
                  </w:tcBorders>
                  <w:vAlign w:val="center"/>
                </w:tcPr>
                <w:p w14:paraId="3F936382">
                  <w:pPr>
                    <w:pStyle w:val="109"/>
                    <w:keepNext w:val="0"/>
                    <w:keepLines w:val="0"/>
                    <w:pageBreakBefore w:val="0"/>
                    <w:widowControl w:val="0"/>
                    <w:kinsoku/>
                    <w:wordWrap/>
                    <w:overflowPunct/>
                    <w:topLinePunct w:val="0"/>
                    <w:autoSpaceDE/>
                    <w:autoSpaceDN/>
                    <w:bidi w:val="0"/>
                    <w:adjustRightInd/>
                    <w:snapToGrid/>
                    <w:spacing w:line="320" w:lineRule="exact"/>
                    <w:ind w:left="109"/>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英文名：ammonia</w:t>
                  </w:r>
                </w:p>
              </w:tc>
            </w:tr>
            <w:tr w14:paraId="7777D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vMerge w:val="continue"/>
                  <w:tcBorders>
                    <w:tl2br w:val="nil"/>
                    <w:tr2bl w:val="nil"/>
                  </w:tcBorders>
                  <w:vAlign w:val="center"/>
                </w:tcPr>
                <w:p w14:paraId="57BDD68F">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p>
              </w:tc>
              <w:tc>
                <w:tcPr>
                  <w:tcW w:w="1636" w:type="pct"/>
                  <w:gridSpan w:val="2"/>
                  <w:tcBorders>
                    <w:tl2br w:val="nil"/>
                    <w:tr2bl w:val="nil"/>
                  </w:tcBorders>
                  <w:vAlign w:val="center"/>
                </w:tcPr>
                <w:p w14:paraId="28DCFF7F">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vertAlign w:val="subscript"/>
                    </w:rPr>
                  </w:pPr>
                  <w:r>
                    <w:rPr>
                      <w:rFonts w:hint="default" w:ascii="Times New Roman" w:hAnsi="Times New Roman" w:cs="Times New Roman" w:eastAsiaTheme="minorEastAsia"/>
                      <w:color w:val="auto"/>
                      <w:position w:val="2"/>
                      <w:sz w:val="21"/>
                      <w:szCs w:val="21"/>
                      <w:highlight w:val="none"/>
                    </w:rPr>
                    <w:t>分子式：NH</w:t>
                  </w:r>
                  <w:r>
                    <w:rPr>
                      <w:rFonts w:hint="default" w:ascii="Times New Roman" w:hAnsi="Times New Roman" w:cs="Times New Roman" w:eastAsiaTheme="minorEastAsia"/>
                      <w:color w:val="auto"/>
                      <w:position w:val="2"/>
                      <w:sz w:val="21"/>
                      <w:szCs w:val="21"/>
                      <w:highlight w:val="none"/>
                      <w:vertAlign w:val="subscript"/>
                    </w:rPr>
                    <w:t>3</w:t>
                  </w:r>
                </w:p>
              </w:tc>
              <w:tc>
                <w:tcPr>
                  <w:tcW w:w="1547" w:type="pct"/>
                  <w:gridSpan w:val="3"/>
                  <w:tcBorders>
                    <w:tl2br w:val="nil"/>
                    <w:tr2bl w:val="nil"/>
                  </w:tcBorders>
                  <w:vAlign w:val="center"/>
                </w:tcPr>
                <w:p w14:paraId="414272EB">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分子量：17.03</w:t>
                  </w:r>
                </w:p>
              </w:tc>
              <w:tc>
                <w:tcPr>
                  <w:tcW w:w="1482" w:type="pct"/>
                  <w:tcBorders>
                    <w:tl2br w:val="nil"/>
                    <w:tr2bl w:val="nil"/>
                  </w:tcBorders>
                  <w:vAlign w:val="center"/>
                </w:tcPr>
                <w:p w14:paraId="2D3F7BA9">
                  <w:pPr>
                    <w:pStyle w:val="109"/>
                    <w:keepNext w:val="0"/>
                    <w:keepLines w:val="0"/>
                    <w:pageBreakBefore w:val="0"/>
                    <w:widowControl w:val="0"/>
                    <w:kinsoku/>
                    <w:wordWrap/>
                    <w:overflowPunct/>
                    <w:topLinePunct w:val="0"/>
                    <w:autoSpaceDE/>
                    <w:autoSpaceDN/>
                    <w:bidi w:val="0"/>
                    <w:adjustRightInd/>
                    <w:snapToGrid/>
                    <w:spacing w:line="320" w:lineRule="exact"/>
                    <w:ind w:left="11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CAS号：7664-41-7</w:t>
                  </w:r>
                </w:p>
              </w:tc>
            </w:tr>
            <w:tr w14:paraId="55428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vMerge w:val="continue"/>
                  <w:tcBorders>
                    <w:tl2br w:val="nil"/>
                    <w:tr2bl w:val="nil"/>
                  </w:tcBorders>
                  <w:vAlign w:val="center"/>
                </w:tcPr>
                <w:p w14:paraId="4B93A39E">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p>
              </w:tc>
              <w:tc>
                <w:tcPr>
                  <w:tcW w:w="4667" w:type="pct"/>
                  <w:gridSpan w:val="6"/>
                  <w:tcBorders>
                    <w:tl2br w:val="nil"/>
                    <w:tr2bl w:val="nil"/>
                  </w:tcBorders>
                  <w:vAlign w:val="center"/>
                </w:tcPr>
                <w:p w14:paraId="79F8B4F1">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危规号：23003</w:t>
                  </w:r>
                </w:p>
              </w:tc>
            </w:tr>
            <w:tr w14:paraId="0DB6A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vMerge w:val="restart"/>
                  <w:tcBorders>
                    <w:tl2br w:val="nil"/>
                    <w:tr2bl w:val="nil"/>
                  </w:tcBorders>
                  <w:vAlign w:val="center"/>
                </w:tcPr>
                <w:p w14:paraId="74FCA979">
                  <w:pPr>
                    <w:pStyle w:val="109"/>
                    <w:keepNext w:val="0"/>
                    <w:keepLines w:val="0"/>
                    <w:pageBreakBefore w:val="0"/>
                    <w:widowControl w:val="0"/>
                    <w:kinsoku/>
                    <w:wordWrap/>
                    <w:overflowPunct/>
                    <w:topLinePunct w:val="0"/>
                    <w:autoSpaceDE/>
                    <w:autoSpaceDN/>
                    <w:bidi w:val="0"/>
                    <w:adjustRightInd/>
                    <w:snapToGrid/>
                    <w:spacing w:line="320" w:lineRule="exact"/>
                    <w:ind w:left="110" w:right="10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理化性质</w:t>
                  </w:r>
                </w:p>
              </w:tc>
              <w:tc>
                <w:tcPr>
                  <w:tcW w:w="4667" w:type="pct"/>
                  <w:gridSpan w:val="6"/>
                  <w:tcBorders>
                    <w:tl2br w:val="nil"/>
                    <w:tr2bl w:val="nil"/>
                  </w:tcBorders>
                  <w:vAlign w:val="center"/>
                </w:tcPr>
                <w:p w14:paraId="1BFE8164">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性状：无色有刺激性恶臭的气体。</w:t>
                  </w:r>
                </w:p>
              </w:tc>
            </w:tr>
            <w:tr w14:paraId="3D59F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vMerge w:val="continue"/>
                  <w:tcBorders>
                    <w:tl2br w:val="nil"/>
                    <w:tr2bl w:val="nil"/>
                  </w:tcBorders>
                  <w:vAlign w:val="center"/>
                </w:tcPr>
                <w:p w14:paraId="33E4D73A">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p>
              </w:tc>
              <w:tc>
                <w:tcPr>
                  <w:tcW w:w="4667" w:type="pct"/>
                  <w:gridSpan w:val="6"/>
                  <w:tcBorders>
                    <w:tl2br w:val="nil"/>
                    <w:tr2bl w:val="nil"/>
                  </w:tcBorders>
                  <w:vAlign w:val="center"/>
                </w:tcPr>
                <w:p w14:paraId="6D219B91">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溶解性：溶于水、乙醇、乙醚。</w:t>
                  </w:r>
                </w:p>
              </w:tc>
            </w:tr>
            <w:tr w14:paraId="2FC6F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vMerge w:val="continue"/>
                  <w:tcBorders>
                    <w:tl2br w:val="nil"/>
                    <w:tr2bl w:val="nil"/>
                  </w:tcBorders>
                  <w:vAlign w:val="center"/>
                </w:tcPr>
                <w:p w14:paraId="409EC0E7">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p>
              </w:tc>
              <w:tc>
                <w:tcPr>
                  <w:tcW w:w="1300" w:type="pct"/>
                  <w:tcBorders>
                    <w:tl2br w:val="nil"/>
                    <w:tr2bl w:val="nil"/>
                  </w:tcBorders>
                  <w:vAlign w:val="center"/>
                </w:tcPr>
                <w:p w14:paraId="255B452C">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熔点（℃）：</w:t>
                  </w:r>
                  <w:r>
                    <w:rPr>
                      <w:rFonts w:hint="default" w:ascii="Times New Roman" w:hAnsi="Times New Roman" w:cs="Times New Roman" w:eastAsiaTheme="minorEastAsia"/>
                      <w:color w:val="auto"/>
                      <w:spacing w:val="-3"/>
                      <w:sz w:val="21"/>
                      <w:szCs w:val="21"/>
                      <w:highlight w:val="none"/>
                    </w:rPr>
                    <w:t>-77.7</w:t>
                  </w:r>
                </w:p>
              </w:tc>
              <w:tc>
                <w:tcPr>
                  <w:tcW w:w="1304" w:type="pct"/>
                  <w:gridSpan w:val="3"/>
                  <w:tcBorders>
                    <w:tl2br w:val="nil"/>
                    <w:tr2bl w:val="nil"/>
                  </w:tcBorders>
                  <w:vAlign w:val="center"/>
                </w:tcPr>
                <w:p w14:paraId="39796800">
                  <w:pPr>
                    <w:pStyle w:val="109"/>
                    <w:keepNext w:val="0"/>
                    <w:keepLines w:val="0"/>
                    <w:pageBreakBefore w:val="0"/>
                    <w:widowControl w:val="0"/>
                    <w:kinsoku/>
                    <w:wordWrap/>
                    <w:overflowPunct/>
                    <w:topLinePunct w:val="0"/>
                    <w:autoSpaceDE/>
                    <w:autoSpaceDN/>
                    <w:bidi w:val="0"/>
                    <w:adjustRightInd/>
                    <w:snapToGrid/>
                    <w:spacing w:line="320" w:lineRule="exact"/>
                    <w:ind w:left="105"/>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沸点（℃）：</w:t>
                  </w:r>
                  <w:r>
                    <w:rPr>
                      <w:rFonts w:hint="default" w:ascii="Times New Roman" w:hAnsi="Times New Roman" w:cs="Times New Roman" w:eastAsiaTheme="minorEastAsia"/>
                      <w:color w:val="auto"/>
                      <w:spacing w:val="-1"/>
                      <w:sz w:val="21"/>
                      <w:szCs w:val="21"/>
                      <w:highlight w:val="none"/>
                    </w:rPr>
                    <w:t>-33.5</w:t>
                  </w:r>
                </w:p>
              </w:tc>
              <w:tc>
                <w:tcPr>
                  <w:tcW w:w="2062" w:type="pct"/>
                  <w:gridSpan w:val="2"/>
                  <w:tcBorders>
                    <w:tl2br w:val="nil"/>
                    <w:tr2bl w:val="nil"/>
                  </w:tcBorders>
                  <w:vAlign w:val="center"/>
                </w:tcPr>
                <w:p w14:paraId="019798A1">
                  <w:pPr>
                    <w:pStyle w:val="109"/>
                    <w:keepNext w:val="0"/>
                    <w:keepLines w:val="0"/>
                    <w:pageBreakBefore w:val="0"/>
                    <w:widowControl w:val="0"/>
                    <w:tabs>
                      <w:tab w:val="center" w:pos="1816"/>
                    </w:tabs>
                    <w:kinsoku/>
                    <w:wordWrap/>
                    <w:overflowPunct/>
                    <w:topLinePunct w:val="0"/>
                    <w:autoSpaceDE/>
                    <w:autoSpaceDN/>
                    <w:bidi w:val="0"/>
                    <w:adjustRightInd/>
                    <w:snapToGrid/>
                    <w:spacing w:line="320" w:lineRule="exact"/>
                    <w:ind w:left="109"/>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pacing w:val="-1"/>
                      <w:sz w:val="21"/>
                      <w:szCs w:val="21"/>
                      <w:highlight w:val="none"/>
                    </w:rPr>
                    <w:t>相对密度</w:t>
                  </w:r>
                  <w:r>
                    <w:rPr>
                      <w:rFonts w:hint="default" w:ascii="Times New Roman" w:hAnsi="Times New Roman" w:cs="Times New Roman" w:eastAsiaTheme="minorEastAsia"/>
                      <w:color w:val="auto"/>
                      <w:spacing w:val="-3"/>
                      <w:sz w:val="21"/>
                      <w:szCs w:val="21"/>
                      <w:highlight w:val="none"/>
                    </w:rPr>
                    <w:t>（</w:t>
                  </w:r>
                  <w:r>
                    <w:rPr>
                      <w:rFonts w:hint="default" w:ascii="Times New Roman" w:hAnsi="Times New Roman" w:cs="Times New Roman" w:eastAsiaTheme="minorEastAsia"/>
                      <w:color w:val="auto"/>
                      <w:sz w:val="21"/>
                      <w:szCs w:val="21"/>
                      <w:highlight w:val="none"/>
                    </w:rPr>
                    <w:t>水</w:t>
                  </w:r>
                  <w:r>
                    <w:rPr>
                      <w:rFonts w:hint="default" w:ascii="Times New Roman" w:hAnsi="Times New Roman" w:cs="Times New Roman" w:eastAsiaTheme="minorEastAsia"/>
                      <w:color w:val="auto"/>
                      <w:spacing w:val="-2"/>
                      <w:sz w:val="21"/>
                      <w:szCs w:val="21"/>
                      <w:highlight w:val="none"/>
                    </w:rPr>
                    <w:t>＝</w:t>
                  </w:r>
                  <w:r>
                    <w:rPr>
                      <w:rFonts w:hint="default" w:ascii="Times New Roman" w:hAnsi="Times New Roman" w:cs="Times New Roman" w:eastAsiaTheme="minorEastAsia"/>
                      <w:color w:val="auto"/>
                      <w:sz w:val="21"/>
                      <w:szCs w:val="21"/>
                      <w:highlight w:val="none"/>
                    </w:rPr>
                    <w:t>1）：0.82（-79℃）</w:t>
                  </w:r>
                </w:p>
              </w:tc>
            </w:tr>
            <w:tr w14:paraId="2C86E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vMerge w:val="continue"/>
                  <w:tcBorders>
                    <w:tl2br w:val="nil"/>
                    <w:tr2bl w:val="nil"/>
                  </w:tcBorders>
                  <w:vAlign w:val="center"/>
                </w:tcPr>
                <w:p w14:paraId="7EF27921">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p>
              </w:tc>
              <w:tc>
                <w:tcPr>
                  <w:tcW w:w="1300" w:type="pct"/>
                  <w:tcBorders>
                    <w:tl2br w:val="nil"/>
                    <w:tr2bl w:val="nil"/>
                  </w:tcBorders>
                  <w:vAlign w:val="center"/>
                </w:tcPr>
                <w:p w14:paraId="371DDF5D">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pacing w:val="-1"/>
                      <w:sz w:val="21"/>
                      <w:szCs w:val="21"/>
                      <w:highlight w:val="none"/>
                    </w:rPr>
                    <w:t>临界温度</w:t>
                  </w:r>
                  <w:r>
                    <w:rPr>
                      <w:rFonts w:hint="default" w:ascii="Times New Roman" w:hAnsi="Times New Roman" w:cs="Times New Roman" w:eastAsiaTheme="minorEastAsia"/>
                      <w:color w:val="auto"/>
                      <w:sz w:val="21"/>
                      <w:szCs w:val="21"/>
                      <w:highlight w:val="none"/>
                    </w:rPr>
                    <w:t>（℃）：132.5</w:t>
                  </w:r>
                </w:p>
              </w:tc>
              <w:tc>
                <w:tcPr>
                  <w:tcW w:w="1304" w:type="pct"/>
                  <w:gridSpan w:val="3"/>
                  <w:tcBorders>
                    <w:tl2br w:val="nil"/>
                    <w:tr2bl w:val="nil"/>
                  </w:tcBorders>
                  <w:vAlign w:val="center"/>
                </w:tcPr>
                <w:p w14:paraId="100EB21A">
                  <w:pPr>
                    <w:pStyle w:val="109"/>
                    <w:keepNext w:val="0"/>
                    <w:keepLines w:val="0"/>
                    <w:pageBreakBefore w:val="0"/>
                    <w:widowControl w:val="0"/>
                    <w:kinsoku/>
                    <w:wordWrap/>
                    <w:overflowPunct/>
                    <w:topLinePunct w:val="0"/>
                    <w:autoSpaceDE/>
                    <w:autoSpaceDN/>
                    <w:bidi w:val="0"/>
                    <w:adjustRightInd/>
                    <w:snapToGrid/>
                    <w:spacing w:line="320" w:lineRule="exact"/>
                    <w:ind w:left="105"/>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pacing w:val="-1"/>
                      <w:sz w:val="21"/>
                      <w:szCs w:val="21"/>
                      <w:highlight w:val="none"/>
                    </w:rPr>
                    <w:t>临界压力</w:t>
                  </w:r>
                  <w:r>
                    <w:rPr>
                      <w:rFonts w:hint="default" w:ascii="Times New Roman" w:hAnsi="Times New Roman" w:cs="Times New Roman" w:eastAsiaTheme="minorEastAsia"/>
                      <w:color w:val="auto"/>
                      <w:spacing w:val="-3"/>
                      <w:sz w:val="21"/>
                      <w:szCs w:val="21"/>
                      <w:highlight w:val="none"/>
                    </w:rPr>
                    <w:t>（M</w:t>
                  </w:r>
                  <w:r>
                    <w:rPr>
                      <w:rFonts w:hint="default" w:ascii="Times New Roman" w:hAnsi="Times New Roman" w:cs="Times New Roman" w:eastAsiaTheme="minorEastAsia"/>
                      <w:color w:val="auto"/>
                      <w:spacing w:val="2"/>
                      <w:sz w:val="21"/>
                      <w:szCs w:val="21"/>
                      <w:highlight w:val="none"/>
                    </w:rPr>
                    <w:t>P</w:t>
                  </w:r>
                  <w:r>
                    <w:rPr>
                      <w:rFonts w:hint="default" w:ascii="Times New Roman" w:hAnsi="Times New Roman" w:cs="Times New Roman" w:eastAsiaTheme="minorEastAsia"/>
                      <w:color w:val="auto"/>
                      <w:sz w:val="21"/>
                      <w:szCs w:val="21"/>
                      <w:highlight w:val="none"/>
                    </w:rPr>
                    <w:t>a）：11.40</w:t>
                  </w:r>
                </w:p>
              </w:tc>
              <w:tc>
                <w:tcPr>
                  <w:tcW w:w="2062" w:type="pct"/>
                  <w:gridSpan w:val="2"/>
                  <w:tcBorders>
                    <w:tl2br w:val="nil"/>
                    <w:tr2bl w:val="nil"/>
                  </w:tcBorders>
                  <w:vAlign w:val="center"/>
                </w:tcPr>
                <w:p w14:paraId="1ED35595">
                  <w:pPr>
                    <w:pStyle w:val="109"/>
                    <w:keepNext w:val="0"/>
                    <w:keepLines w:val="0"/>
                    <w:pageBreakBefore w:val="0"/>
                    <w:widowControl w:val="0"/>
                    <w:kinsoku/>
                    <w:wordWrap/>
                    <w:overflowPunct/>
                    <w:topLinePunct w:val="0"/>
                    <w:autoSpaceDE/>
                    <w:autoSpaceDN/>
                    <w:bidi w:val="0"/>
                    <w:adjustRightInd/>
                    <w:snapToGrid/>
                    <w:spacing w:line="320" w:lineRule="exact"/>
                    <w:ind w:left="109"/>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pacing w:val="-1"/>
                      <w:sz w:val="21"/>
                      <w:szCs w:val="21"/>
                      <w:highlight w:val="none"/>
                    </w:rPr>
                    <w:t>相对密度</w:t>
                  </w:r>
                  <w:r>
                    <w:rPr>
                      <w:rFonts w:hint="default" w:ascii="Times New Roman" w:hAnsi="Times New Roman" w:cs="Times New Roman" w:eastAsiaTheme="minorEastAsia"/>
                      <w:color w:val="auto"/>
                      <w:spacing w:val="-3"/>
                      <w:sz w:val="21"/>
                      <w:szCs w:val="21"/>
                      <w:highlight w:val="none"/>
                    </w:rPr>
                    <w:t>（</w:t>
                  </w:r>
                  <w:r>
                    <w:rPr>
                      <w:rFonts w:hint="default" w:ascii="Times New Roman" w:hAnsi="Times New Roman" w:cs="Times New Roman" w:eastAsiaTheme="minorEastAsia"/>
                      <w:color w:val="auto"/>
                      <w:spacing w:val="-2"/>
                      <w:sz w:val="21"/>
                      <w:szCs w:val="21"/>
                      <w:highlight w:val="none"/>
                    </w:rPr>
                    <w:t>空气</w:t>
                  </w:r>
                  <w:r>
                    <w:rPr>
                      <w:rFonts w:hint="default" w:ascii="Times New Roman" w:hAnsi="Times New Roman" w:cs="Times New Roman" w:eastAsiaTheme="minorEastAsia"/>
                      <w:color w:val="auto"/>
                      <w:sz w:val="21"/>
                      <w:szCs w:val="21"/>
                      <w:highlight w:val="none"/>
                    </w:rPr>
                    <w:t>＝1）：0.6</w:t>
                  </w:r>
                </w:p>
              </w:tc>
            </w:tr>
            <w:tr w14:paraId="609F3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vMerge w:val="continue"/>
                  <w:tcBorders>
                    <w:tl2br w:val="nil"/>
                    <w:tr2bl w:val="nil"/>
                  </w:tcBorders>
                  <w:vAlign w:val="center"/>
                </w:tcPr>
                <w:p w14:paraId="4EAD52F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p>
              </w:tc>
              <w:tc>
                <w:tcPr>
                  <w:tcW w:w="1300" w:type="pct"/>
                  <w:tcBorders>
                    <w:tl2br w:val="nil"/>
                    <w:tr2bl w:val="nil"/>
                  </w:tcBorders>
                  <w:vAlign w:val="center"/>
                </w:tcPr>
                <w:p w14:paraId="6A53ECB2">
                  <w:pPr>
                    <w:pStyle w:val="109"/>
                    <w:keepNext w:val="0"/>
                    <w:keepLines w:val="0"/>
                    <w:pageBreakBefore w:val="0"/>
                    <w:widowControl w:val="0"/>
                    <w:tabs>
                      <w:tab w:val="right" w:pos="2350"/>
                    </w:tabs>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pacing w:val="-1"/>
                      <w:sz w:val="21"/>
                      <w:szCs w:val="21"/>
                      <w:highlight w:val="none"/>
                    </w:rPr>
                    <w:t>燃烧热（</w:t>
                  </w:r>
                  <w:r>
                    <w:rPr>
                      <w:rFonts w:hint="default" w:ascii="Times New Roman" w:hAnsi="Times New Roman" w:cs="Times New Roman" w:eastAsiaTheme="minorEastAsia"/>
                      <w:color w:val="auto"/>
                      <w:spacing w:val="-4"/>
                      <w:sz w:val="21"/>
                      <w:szCs w:val="21"/>
                      <w:highlight w:val="none"/>
                    </w:rPr>
                    <w:t>K</w:t>
                  </w:r>
                  <w:r>
                    <w:rPr>
                      <w:rFonts w:hint="default" w:ascii="Times New Roman" w:hAnsi="Times New Roman" w:cs="Times New Roman" w:eastAsiaTheme="minorEastAsia"/>
                      <w:color w:val="auto"/>
                      <w:spacing w:val="1"/>
                      <w:sz w:val="21"/>
                      <w:szCs w:val="21"/>
                      <w:highlight w:val="none"/>
                    </w:rPr>
                    <w:t>J</w:t>
                  </w:r>
                  <w:r>
                    <w:rPr>
                      <w:rFonts w:hint="default" w:ascii="Times New Roman" w:hAnsi="Times New Roman" w:cs="Times New Roman" w:eastAsiaTheme="minorEastAsia"/>
                      <w:color w:val="auto"/>
                      <w:spacing w:val="-2"/>
                      <w:sz w:val="21"/>
                      <w:szCs w:val="21"/>
                      <w:highlight w:val="none"/>
                    </w:rPr>
                    <w:t>/</w:t>
                  </w:r>
                  <w:r>
                    <w:rPr>
                      <w:rFonts w:hint="default" w:ascii="Times New Roman" w:hAnsi="Times New Roman" w:cs="Times New Roman" w:eastAsiaTheme="minorEastAsia"/>
                      <w:color w:val="auto"/>
                      <w:spacing w:val="-4"/>
                      <w:sz w:val="21"/>
                      <w:szCs w:val="21"/>
                      <w:highlight w:val="none"/>
                    </w:rPr>
                    <w:t>m</w:t>
                  </w:r>
                  <w:r>
                    <w:rPr>
                      <w:rFonts w:hint="default" w:ascii="Times New Roman" w:hAnsi="Times New Roman" w:cs="Times New Roman" w:eastAsiaTheme="minorEastAsia"/>
                      <w:color w:val="auto"/>
                      <w:sz w:val="21"/>
                      <w:szCs w:val="21"/>
                      <w:highlight w:val="none"/>
                    </w:rPr>
                    <w:t>o</w:t>
                  </w:r>
                  <w:r>
                    <w:rPr>
                      <w:rFonts w:hint="default" w:ascii="Times New Roman" w:hAnsi="Times New Roman" w:cs="Times New Roman" w:eastAsiaTheme="minorEastAsia"/>
                      <w:color w:val="auto"/>
                      <w:spacing w:val="-1"/>
                      <w:sz w:val="21"/>
                      <w:szCs w:val="21"/>
                      <w:highlight w:val="none"/>
                    </w:rPr>
                    <w:t>l）：</w:t>
                  </w:r>
                </w:p>
              </w:tc>
              <w:tc>
                <w:tcPr>
                  <w:tcW w:w="1304" w:type="pct"/>
                  <w:gridSpan w:val="3"/>
                  <w:tcBorders>
                    <w:tl2br w:val="nil"/>
                    <w:tr2bl w:val="nil"/>
                  </w:tcBorders>
                  <w:vAlign w:val="center"/>
                </w:tcPr>
                <w:p w14:paraId="30AC6040">
                  <w:pPr>
                    <w:pStyle w:val="109"/>
                    <w:keepNext w:val="0"/>
                    <w:keepLines w:val="0"/>
                    <w:pageBreakBefore w:val="0"/>
                    <w:widowControl w:val="0"/>
                    <w:tabs>
                      <w:tab w:val="center" w:pos="1151"/>
                    </w:tabs>
                    <w:kinsoku/>
                    <w:wordWrap/>
                    <w:overflowPunct/>
                    <w:topLinePunct w:val="0"/>
                    <w:autoSpaceDE/>
                    <w:autoSpaceDN/>
                    <w:bidi w:val="0"/>
                    <w:adjustRightInd/>
                    <w:snapToGrid/>
                    <w:spacing w:line="320" w:lineRule="exact"/>
                    <w:ind w:left="105"/>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pacing w:val="-15"/>
                      <w:sz w:val="21"/>
                      <w:szCs w:val="21"/>
                      <w:highlight w:val="none"/>
                    </w:rPr>
                    <w:t>最小点火能（mJ）：</w:t>
                  </w:r>
                </w:p>
              </w:tc>
              <w:tc>
                <w:tcPr>
                  <w:tcW w:w="2062" w:type="pct"/>
                  <w:gridSpan w:val="2"/>
                  <w:tcBorders>
                    <w:tl2br w:val="nil"/>
                    <w:tr2bl w:val="nil"/>
                  </w:tcBorders>
                  <w:vAlign w:val="center"/>
                </w:tcPr>
                <w:p w14:paraId="5FF54D31">
                  <w:pPr>
                    <w:pStyle w:val="109"/>
                    <w:keepNext w:val="0"/>
                    <w:keepLines w:val="0"/>
                    <w:pageBreakBefore w:val="0"/>
                    <w:widowControl w:val="0"/>
                    <w:kinsoku/>
                    <w:wordWrap/>
                    <w:overflowPunct/>
                    <w:topLinePunct w:val="0"/>
                    <w:autoSpaceDE/>
                    <w:autoSpaceDN/>
                    <w:bidi w:val="0"/>
                    <w:adjustRightInd/>
                    <w:snapToGrid/>
                    <w:spacing w:line="320" w:lineRule="exact"/>
                    <w:ind w:left="109"/>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pacing w:val="-2"/>
                      <w:sz w:val="21"/>
                      <w:szCs w:val="21"/>
                      <w:highlight w:val="none"/>
                    </w:rPr>
                    <w:t>饱和蒸汽压</w:t>
                  </w:r>
                  <w:r>
                    <w:rPr>
                      <w:rFonts w:hint="default" w:ascii="Times New Roman" w:hAnsi="Times New Roman" w:cs="Times New Roman" w:eastAsiaTheme="minorEastAsia"/>
                      <w:color w:val="auto"/>
                      <w:spacing w:val="-1"/>
                      <w:sz w:val="21"/>
                      <w:szCs w:val="21"/>
                      <w:highlight w:val="none"/>
                    </w:rPr>
                    <w:t>（</w:t>
                  </w:r>
                  <w:r>
                    <w:rPr>
                      <w:rFonts w:hint="default" w:ascii="Times New Roman" w:hAnsi="Times New Roman" w:cs="Times New Roman" w:eastAsiaTheme="minorEastAsia"/>
                      <w:color w:val="auto"/>
                      <w:spacing w:val="-4"/>
                      <w:sz w:val="21"/>
                      <w:szCs w:val="21"/>
                      <w:highlight w:val="none"/>
                    </w:rPr>
                    <w:t>K</w:t>
                  </w:r>
                  <w:r>
                    <w:rPr>
                      <w:rFonts w:hint="default" w:ascii="Times New Roman" w:hAnsi="Times New Roman" w:cs="Times New Roman" w:eastAsiaTheme="minorEastAsia"/>
                      <w:color w:val="auto"/>
                      <w:spacing w:val="2"/>
                      <w:sz w:val="21"/>
                      <w:szCs w:val="21"/>
                      <w:highlight w:val="none"/>
                    </w:rPr>
                    <w:t>P</w:t>
                  </w:r>
                  <w:r>
                    <w:rPr>
                      <w:rFonts w:hint="default" w:ascii="Times New Roman" w:hAnsi="Times New Roman" w:cs="Times New Roman" w:eastAsiaTheme="minorEastAsia"/>
                      <w:color w:val="auto"/>
                      <w:spacing w:val="-2"/>
                      <w:sz w:val="21"/>
                      <w:szCs w:val="21"/>
                      <w:highlight w:val="none"/>
                    </w:rPr>
                    <w:t>a</w:t>
                  </w:r>
                  <w:r>
                    <w:rPr>
                      <w:rFonts w:hint="default" w:ascii="Times New Roman" w:hAnsi="Times New Roman" w:cs="Times New Roman" w:eastAsiaTheme="minorEastAsia"/>
                      <w:color w:val="auto"/>
                      <w:spacing w:val="-3"/>
                      <w:sz w:val="21"/>
                      <w:szCs w:val="21"/>
                      <w:highlight w:val="none"/>
                    </w:rPr>
                    <w:t>）：</w:t>
                  </w:r>
                  <w:r>
                    <w:rPr>
                      <w:rFonts w:hint="default" w:ascii="Times New Roman" w:hAnsi="Times New Roman" w:cs="Times New Roman" w:eastAsiaTheme="minorEastAsia"/>
                      <w:color w:val="auto"/>
                      <w:sz w:val="21"/>
                      <w:szCs w:val="21"/>
                      <w:highlight w:val="none"/>
                    </w:rPr>
                    <w:t>506.62（4.7</w:t>
                  </w:r>
                  <w:r>
                    <w:rPr>
                      <w:rFonts w:hint="default" w:ascii="Times New Roman" w:hAnsi="Times New Roman" w:cs="Times New Roman" w:eastAsiaTheme="minorEastAsia"/>
                      <w:color w:val="auto"/>
                      <w:spacing w:val="-3"/>
                      <w:sz w:val="21"/>
                      <w:szCs w:val="21"/>
                      <w:highlight w:val="none"/>
                    </w:rPr>
                    <w:t>℃）</w:t>
                  </w:r>
                </w:p>
              </w:tc>
            </w:tr>
            <w:tr w14:paraId="1AE15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vMerge w:val="restart"/>
                  <w:tcBorders>
                    <w:tl2br w:val="nil"/>
                    <w:tr2bl w:val="nil"/>
                  </w:tcBorders>
                  <w:vAlign w:val="center"/>
                </w:tcPr>
                <w:p w14:paraId="572AB09E">
                  <w:pPr>
                    <w:pStyle w:val="109"/>
                    <w:keepNext w:val="0"/>
                    <w:keepLines w:val="0"/>
                    <w:pageBreakBefore w:val="0"/>
                    <w:widowControl w:val="0"/>
                    <w:kinsoku/>
                    <w:wordWrap/>
                    <w:overflowPunct/>
                    <w:topLinePunct w:val="0"/>
                    <w:autoSpaceDE/>
                    <w:autoSpaceDN/>
                    <w:bidi w:val="0"/>
                    <w:adjustRightInd/>
                    <w:snapToGrid/>
                    <w:spacing w:line="320" w:lineRule="exact"/>
                    <w:ind w:left="110" w:right="10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燃烧爆炸危险性</w:t>
                  </w:r>
                </w:p>
              </w:tc>
              <w:tc>
                <w:tcPr>
                  <w:tcW w:w="1636" w:type="pct"/>
                  <w:gridSpan w:val="2"/>
                  <w:tcBorders>
                    <w:tl2br w:val="nil"/>
                    <w:tr2bl w:val="nil"/>
                  </w:tcBorders>
                  <w:vAlign w:val="center"/>
                </w:tcPr>
                <w:p w14:paraId="1BC67E82">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燃烧性：易燃</w:t>
                  </w:r>
                </w:p>
              </w:tc>
              <w:tc>
                <w:tcPr>
                  <w:tcW w:w="3030" w:type="pct"/>
                  <w:gridSpan w:val="4"/>
                  <w:tcBorders>
                    <w:tl2br w:val="nil"/>
                    <w:tr2bl w:val="nil"/>
                  </w:tcBorders>
                  <w:vAlign w:val="center"/>
                </w:tcPr>
                <w:p w14:paraId="28F0044A">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燃烧分解产物：氨气和水。</w:t>
                  </w:r>
                </w:p>
              </w:tc>
            </w:tr>
            <w:tr w14:paraId="54A40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vMerge w:val="continue"/>
                  <w:tcBorders>
                    <w:tl2br w:val="nil"/>
                    <w:tr2bl w:val="nil"/>
                  </w:tcBorders>
                  <w:vAlign w:val="center"/>
                </w:tcPr>
                <w:p w14:paraId="51669B76">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p>
              </w:tc>
              <w:tc>
                <w:tcPr>
                  <w:tcW w:w="1636" w:type="pct"/>
                  <w:gridSpan w:val="2"/>
                  <w:tcBorders>
                    <w:tl2br w:val="nil"/>
                    <w:tr2bl w:val="nil"/>
                  </w:tcBorders>
                  <w:vAlign w:val="center"/>
                </w:tcPr>
                <w:p w14:paraId="6866CD4A">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闪点</w:t>
                  </w:r>
                  <w:r>
                    <w:rPr>
                      <w:rFonts w:hint="default" w:ascii="Times New Roman" w:hAnsi="Times New Roman" w:cs="Times New Roman" w:eastAsiaTheme="minorEastAsia"/>
                      <w:color w:val="auto"/>
                      <w:spacing w:val="-3"/>
                      <w:sz w:val="21"/>
                      <w:szCs w:val="21"/>
                      <w:highlight w:val="none"/>
                    </w:rPr>
                    <w:t>（</w:t>
                  </w:r>
                  <w:r>
                    <w:rPr>
                      <w:rFonts w:hint="default" w:ascii="Times New Roman" w:hAnsi="Times New Roman" w:cs="Times New Roman" w:eastAsiaTheme="minorEastAsia"/>
                      <w:color w:val="auto"/>
                      <w:sz w:val="21"/>
                      <w:szCs w:val="21"/>
                      <w:highlight w:val="none"/>
                    </w:rPr>
                    <w:t>℃）：</w:t>
                  </w:r>
                </w:p>
              </w:tc>
              <w:tc>
                <w:tcPr>
                  <w:tcW w:w="3030" w:type="pct"/>
                  <w:gridSpan w:val="4"/>
                  <w:tcBorders>
                    <w:tl2br w:val="nil"/>
                    <w:tr2bl w:val="nil"/>
                  </w:tcBorders>
                  <w:vAlign w:val="center"/>
                </w:tcPr>
                <w:p w14:paraId="4ADE7E67">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聚合危害：不聚合</w:t>
                  </w:r>
                </w:p>
              </w:tc>
            </w:tr>
            <w:tr w14:paraId="65E5D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vMerge w:val="continue"/>
                  <w:tcBorders>
                    <w:tl2br w:val="nil"/>
                    <w:tr2bl w:val="nil"/>
                  </w:tcBorders>
                  <w:vAlign w:val="center"/>
                </w:tcPr>
                <w:p w14:paraId="34744DF4">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p>
              </w:tc>
              <w:tc>
                <w:tcPr>
                  <w:tcW w:w="1636" w:type="pct"/>
                  <w:gridSpan w:val="2"/>
                  <w:tcBorders>
                    <w:tl2br w:val="nil"/>
                    <w:tr2bl w:val="nil"/>
                  </w:tcBorders>
                  <w:vAlign w:val="center"/>
                </w:tcPr>
                <w:p w14:paraId="6CDF4C2D">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pacing w:val="-1"/>
                      <w:sz w:val="21"/>
                      <w:szCs w:val="21"/>
                      <w:highlight w:val="none"/>
                    </w:rPr>
                    <w:t>爆炸下限</w:t>
                  </w:r>
                  <w:r>
                    <w:rPr>
                      <w:rFonts w:hint="default" w:ascii="Times New Roman" w:hAnsi="Times New Roman" w:cs="Times New Roman" w:eastAsiaTheme="minorEastAsia"/>
                      <w:color w:val="auto"/>
                      <w:spacing w:val="-3"/>
                      <w:sz w:val="21"/>
                      <w:szCs w:val="21"/>
                      <w:highlight w:val="none"/>
                    </w:rPr>
                    <w:t>（</w:t>
                  </w:r>
                  <w:r>
                    <w:rPr>
                      <w:rFonts w:hint="default" w:ascii="Times New Roman" w:hAnsi="Times New Roman" w:cs="Times New Roman" w:eastAsiaTheme="minorEastAsia"/>
                      <w:color w:val="auto"/>
                      <w:sz w:val="21"/>
                      <w:szCs w:val="21"/>
                      <w:highlight w:val="none"/>
                    </w:rPr>
                    <w:t>%）：15.7-27.4</w:t>
                  </w:r>
                </w:p>
              </w:tc>
              <w:tc>
                <w:tcPr>
                  <w:tcW w:w="3030" w:type="pct"/>
                  <w:gridSpan w:val="4"/>
                  <w:tcBorders>
                    <w:tl2br w:val="nil"/>
                    <w:tr2bl w:val="nil"/>
                  </w:tcBorders>
                  <w:vAlign w:val="center"/>
                </w:tcPr>
                <w:p w14:paraId="4D7A3F93">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稳定性：稳定</w:t>
                  </w:r>
                </w:p>
              </w:tc>
            </w:tr>
            <w:tr w14:paraId="01CA1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vMerge w:val="continue"/>
                  <w:tcBorders>
                    <w:tl2br w:val="nil"/>
                    <w:tr2bl w:val="nil"/>
                  </w:tcBorders>
                  <w:vAlign w:val="center"/>
                </w:tcPr>
                <w:p w14:paraId="3CF0B5D0">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p>
              </w:tc>
              <w:tc>
                <w:tcPr>
                  <w:tcW w:w="1636" w:type="pct"/>
                  <w:gridSpan w:val="2"/>
                  <w:tcBorders>
                    <w:tl2br w:val="nil"/>
                    <w:tr2bl w:val="nil"/>
                  </w:tcBorders>
                  <w:vAlign w:val="center"/>
                </w:tcPr>
                <w:p w14:paraId="797BC93F">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pacing w:val="-1"/>
                      <w:sz w:val="21"/>
                      <w:szCs w:val="21"/>
                      <w:highlight w:val="none"/>
                    </w:rPr>
                    <w:t>爆炸上限</w:t>
                  </w:r>
                  <w:r>
                    <w:rPr>
                      <w:rFonts w:hint="default" w:ascii="Times New Roman" w:hAnsi="Times New Roman" w:cs="Times New Roman" w:eastAsiaTheme="minorEastAsia"/>
                      <w:color w:val="auto"/>
                      <w:spacing w:val="-3"/>
                      <w:sz w:val="21"/>
                      <w:szCs w:val="21"/>
                      <w:highlight w:val="none"/>
                    </w:rPr>
                    <w:t>（</w:t>
                  </w:r>
                  <w:r>
                    <w:rPr>
                      <w:rFonts w:hint="default" w:ascii="Times New Roman" w:hAnsi="Times New Roman" w:cs="Times New Roman" w:eastAsiaTheme="minorEastAsia"/>
                      <w:color w:val="auto"/>
                      <w:sz w:val="21"/>
                      <w:szCs w:val="21"/>
                      <w:highlight w:val="none"/>
                    </w:rPr>
                    <w:t>%）：</w:t>
                  </w:r>
                </w:p>
              </w:tc>
              <w:tc>
                <w:tcPr>
                  <w:tcW w:w="3030" w:type="pct"/>
                  <w:gridSpan w:val="4"/>
                  <w:tcBorders>
                    <w:tl2br w:val="nil"/>
                    <w:tr2bl w:val="nil"/>
                  </w:tcBorders>
                  <w:vAlign w:val="center"/>
                </w:tcPr>
                <w:p w14:paraId="1CE46A2E">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pacing w:val="-2"/>
                      <w:sz w:val="21"/>
                      <w:szCs w:val="21"/>
                      <w:highlight w:val="none"/>
                    </w:rPr>
                    <w:t>最大爆炸压力</w:t>
                  </w:r>
                  <w:r>
                    <w:rPr>
                      <w:rFonts w:hint="default" w:ascii="Times New Roman" w:hAnsi="Times New Roman" w:cs="Times New Roman" w:eastAsiaTheme="minorEastAsia"/>
                      <w:color w:val="auto"/>
                      <w:spacing w:val="-3"/>
                      <w:sz w:val="21"/>
                      <w:szCs w:val="21"/>
                      <w:highlight w:val="none"/>
                    </w:rPr>
                    <w:t>（M</w:t>
                  </w:r>
                  <w:r>
                    <w:rPr>
                      <w:rFonts w:hint="default" w:ascii="Times New Roman" w:hAnsi="Times New Roman" w:cs="Times New Roman" w:eastAsiaTheme="minorEastAsia"/>
                      <w:color w:val="auto"/>
                      <w:spacing w:val="2"/>
                      <w:sz w:val="21"/>
                      <w:szCs w:val="21"/>
                      <w:highlight w:val="none"/>
                    </w:rPr>
                    <w:t>P</w:t>
                  </w:r>
                  <w:r>
                    <w:rPr>
                      <w:rFonts w:hint="default" w:ascii="Times New Roman" w:hAnsi="Times New Roman" w:cs="Times New Roman" w:eastAsiaTheme="minorEastAsia"/>
                      <w:color w:val="auto"/>
                      <w:sz w:val="21"/>
                      <w:szCs w:val="21"/>
                      <w:highlight w:val="none"/>
                    </w:rPr>
                    <w:t>a)：</w:t>
                  </w:r>
                </w:p>
              </w:tc>
            </w:tr>
            <w:tr w14:paraId="0A271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vMerge w:val="continue"/>
                  <w:tcBorders>
                    <w:tl2br w:val="nil"/>
                    <w:tr2bl w:val="nil"/>
                  </w:tcBorders>
                  <w:vAlign w:val="center"/>
                </w:tcPr>
                <w:p w14:paraId="40D17B51">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p>
              </w:tc>
              <w:tc>
                <w:tcPr>
                  <w:tcW w:w="1636" w:type="pct"/>
                  <w:gridSpan w:val="2"/>
                  <w:tcBorders>
                    <w:tl2br w:val="nil"/>
                    <w:tr2bl w:val="nil"/>
                  </w:tcBorders>
                  <w:vAlign w:val="center"/>
                </w:tcPr>
                <w:p w14:paraId="3F74B1D0">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pacing w:val="-1"/>
                      <w:sz w:val="21"/>
                      <w:szCs w:val="21"/>
                      <w:highlight w:val="none"/>
                    </w:rPr>
                    <w:t>引燃温度</w:t>
                  </w:r>
                  <w:r>
                    <w:rPr>
                      <w:rFonts w:hint="default" w:ascii="Times New Roman" w:hAnsi="Times New Roman" w:cs="Times New Roman" w:eastAsiaTheme="minorEastAsia"/>
                      <w:color w:val="auto"/>
                      <w:spacing w:val="-3"/>
                      <w:sz w:val="21"/>
                      <w:szCs w:val="21"/>
                      <w:highlight w:val="none"/>
                    </w:rPr>
                    <w:t>（</w:t>
                  </w:r>
                  <w:r>
                    <w:rPr>
                      <w:rFonts w:hint="default" w:ascii="Times New Roman" w:hAnsi="Times New Roman" w:cs="Times New Roman" w:eastAsiaTheme="minorEastAsia"/>
                      <w:color w:val="auto"/>
                      <w:sz w:val="21"/>
                      <w:szCs w:val="21"/>
                      <w:highlight w:val="none"/>
                    </w:rPr>
                    <w:t>℃）：651</w:t>
                  </w:r>
                </w:p>
              </w:tc>
              <w:tc>
                <w:tcPr>
                  <w:tcW w:w="3030" w:type="pct"/>
                  <w:gridSpan w:val="4"/>
                  <w:tcBorders>
                    <w:tl2br w:val="nil"/>
                    <w:tr2bl w:val="nil"/>
                  </w:tcBorders>
                  <w:vAlign w:val="center"/>
                </w:tcPr>
                <w:p w14:paraId="7AD64BCE">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禁忌物：卤素、酰基氯、酸类、氯仿、强氧化剂。</w:t>
                  </w:r>
                </w:p>
              </w:tc>
            </w:tr>
            <w:tr w14:paraId="6217D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070" w:hRule="atLeast"/>
              </w:trPr>
              <w:tc>
                <w:tcPr>
                  <w:tcW w:w="332" w:type="pct"/>
                  <w:vMerge w:val="continue"/>
                  <w:tcBorders>
                    <w:tl2br w:val="nil"/>
                    <w:tr2bl w:val="nil"/>
                  </w:tcBorders>
                  <w:vAlign w:val="center"/>
                </w:tcPr>
                <w:p w14:paraId="1895E485">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p>
              </w:tc>
              <w:tc>
                <w:tcPr>
                  <w:tcW w:w="4667" w:type="pct"/>
                  <w:gridSpan w:val="6"/>
                  <w:tcBorders>
                    <w:tl2br w:val="nil"/>
                    <w:tr2bl w:val="nil"/>
                  </w:tcBorders>
                  <w:vAlign w:val="center"/>
                </w:tcPr>
                <w:p w14:paraId="76F96F2A">
                  <w:pPr>
                    <w:pStyle w:val="109"/>
                    <w:keepNext w:val="0"/>
                    <w:keepLines w:val="0"/>
                    <w:pageBreakBefore w:val="0"/>
                    <w:widowControl w:val="0"/>
                    <w:kinsoku/>
                    <w:wordWrap/>
                    <w:overflowPunct/>
                    <w:topLinePunct w:val="0"/>
                    <w:autoSpaceDE/>
                    <w:autoSpaceDN/>
                    <w:bidi w:val="0"/>
                    <w:adjustRightInd/>
                    <w:snapToGrid/>
                    <w:spacing w:line="320" w:lineRule="exact"/>
                    <w:ind w:right="87"/>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危险特性：与空气混合能形成爆炸性混合物。遇明火、高热能引起燃烧爆炸。与氟、氯等接触会发生剧烈的化学反应。</w:t>
                  </w:r>
                </w:p>
                <w:p w14:paraId="496C7D82">
                  <w:pPr>
                    <w:pStyle w:val="109"/>
                    <w:keepNext w:val="0"/>
                    <w:keepLines w:val="0"/>
                    <w:pageBreakBefore w:val="0"/>
                    <w:widowControl w:val="0"/>
                    <w:kinsoku/>
                    <w:wordWrap/>
                    <w:overflowPunct/>
                    <w:topLinePunct w:val="0"/>
                    <w:autoSpaceDE/>
                    <w:autoSpaceDN/>
                    <w:bidi w:val="0"/>
                    <w:adjustRightInd/>
                    <w:snapToGrid/>
                    <w:spacing w:line="320" w:lineRule="exact"/>
                    <w:ind w:right="87"/>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若遇高热，容器内压增大，有开裂和爆炸的危险。</w:t>
                  </w:r>
                </w:p>
              </w:tc>
            </w:tr>
            <w:tr w14:paraId="06DBC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082" w:hRule="atLeast"/>
              </w:trPr>
              <w:tc>
                <w:tcPr>
                  <w:tcW w:w="332" w:type="pct"/>
                  <w:vMerge w:val="continue"/>
                  <w:tcBorders>
                    <w:tl2br w:val="nil"/>
                    <w:tr2bl w:val="nil"/>
                  </w:tcBorders>
                  <w:vAlign w:val="center"/>
                </w:tcPr>
                <w:p w14:paraId="46BD8300">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p>
              </w:tc>
              <w:tc>
                <w:tcPr>
                  <w:tcW w:w="4667" w:type="pct"/>
                  <w:gridSpan w:val="6"/>
                  <w:tcBorders>
                    <w:tl2br w:val="nil"/>
                    <w:tr2bl w:val="nil"/>
                  </w:tcBorders>
                  <w:vAlign w:val="center"/>
                </w:tcPr>
                <w:p w14:paraId="6F576573">
                  <w:pPr>
                    <w:pStyle w:val="109"/>
                    <w:keepNext w:val="0"/>
                    <w:keepLines w:val="0"/>
                    <w:pageBreakBefore w:val="0"/>
                    <w:widowControl w:val="0"/>
                    <w:kinsoku/>
                    <w:wordWrap/>
                    <w:overflowPunct/>
                    <w:topLinePunct w:val="0"/>
                    <w:autoSpaceDE/>
                    <w:autoSpaceDN/>
                    <w:bidi w:val="0"/>
                    <w:adjustRightInd/>
                    <w:snapToGrid/>
                    <w:spacing w:line="320" w:lineRule="exact"/>
                    <w:ind w:right="87"/>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灭火方法：消防人员必须穿戴全身防火防毒服。切断气源。若不能立即切断气源，则不允许熄灭正在燃烧的气体。喷水冷却容器，可能的话将容器从火场移至空旷处。灭火剂：雾状水、抗溶性泡沫、二氧化碳、砂土。</w:t>
                  </w:r>
                </w:p>
              </w:tc>
            </w:tr>
            <w:tr w14:paraId="508AE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tcBorders>
                    <w:tl2br w:val="nil"/>
                    <w:tr2bl w:val="nil"/>
                  </w:tcBorders>
                  <w:vAlign w:val="center"/>
                </w:tcPr>
                <w:p w14:paraId="39650174">
                  <w:pPr>
                    <w:pStyle w:val="109"/>
                    <w:keepNext w:val="0"/>
                    <w:keepLines w:val="0"/>
                    <w:pageBreakBefore w:val="0"/>
                    <w:widowControl w:val="0"/>
                    <w:kinsoku/>
                    <w:wordWrap/>
                    <w:overflowPunct/>
                    <w:topLinePunct w:val="0"/>
                    <w:autoSpaceDE/>
                    <w:autoSpaceDN/>
                    <w:bidi w:val="0"/>
                    <w:adjustRightInd/>
                    <w:snapToGrid/>
                    <w:spacing w:line="320" w:lineRule="exact"/>
                    <w:ind w:left="110" w:right="10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毒性</w:t>
                  </w:r>
                </w:p>
              </w:tc>
              <w:tc>
                <w:tcPr>
                  <w:tcW w:w="4667" w:type="pct"/>
                  <w:gridSpan w:val="6"/>
                  <w:tcBorders>
                    <w:tl2br w:val="nil"/>
                    <w:tr2bl w:val="nil"/>
                  </w:tcBorders>
                  <w:vAlign w:val="center"/>
                </w:tcPr>
                <w:p w14:paraId="72F588B8">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position w:val="2"/>
                      <w:sz w:val="21"/>
                      <w:szCs w:val="21"/>
                      <w:highlight w:val="none"/>
                    </w:rPr>
                    <w:t>LD</w:t>
                  </w:r>
                  <w:r>
                    <w:rPr>
                      <w:rFonts w:hint="default" w:ascii="Times New Roman" w:hAnsi="Times New Roman" w:cs="Times New Roman" w:eastAsiaTheme="minorEastAsia"/>
                      <w:color w:val="auto"/>
                      <w:position w:val="2"/>
                      <w:sz w:val="21"/>
                      <w:szCs w:val="21"/>
                      <w:highlight w:val="none"/>
                      <w:vertAlign w:val="subscript"/>
                    </w:rPr>
                    <w:t>50</w:t>
                  </w:r>
                  <w:r>
                    <w:rPr>
                      <w:rFonts w:hint="default" w:ascii="Times New Roman" w:hAnsi="Times New Roman" w:cs="Times New Roman" w:eastAsiaTheme="minorEastAsia"/>
                      <w:color w:val="auto"/>
                      <w:position w:val="2"/>
                      <w:sz w:val="21"/>
                      <w:szCs w:val="21"/>
                      <w:highlight w:val="none"/>
                    </w:rPr>
                    <w:t>：350mg/kg（大鼠经口）；LC</w:t>
                  </w:r>
                  <w:r>
                    <w:rPr>
                      <w:rFonts w:hint="default" w:ascii="Times New Roman" w:hAnsi="Times New Roman" w:cs="Times New Roman" w:eastAsiaTheme="minorEastAsia"/>
                      <w:color w:val="auto"/>
                      <w:sz w:val="21"/>
                      <w:szCs w:val="21"/>
                      <w:highlight w:val="none"/>
                    </w:rPr>
                    <w:t>50</w:t>
                  </w:r>
                  <w:r>
                    <w:rPr>
                      <w:rFonts w:hint="default" w:ascii="Times New Roman" w:hAnsi="Times New Roman" w:cs="Times New Roman" w:eastAsiaTheme="minorEastAsia"/>
                      <w:color w:val="auto"/>
                      <w:position w:val="2"/>
                      <w:sz w:val="21"/>
                      <w:szCs w:val="21"/>
                      <w:highlight w:val="none"/>
                    </w:rPr>
                    <w:t>：1390mg/m</w:t>
                  </w:r>
                  <w:r>
                    <w:rPr>
                      <w:rFonts w:hint="default" w:ascii="Times New Roman" w:hAnsi="Times New Roman" w:cs="Times New Roman" w:eastAsiaTheme="minorEastAsia"/>
                      <w:color w:val="auto"/>
                      <w:position w:val="2"/>
                      <w:sz w:val="21"/>
                      <w:szCs w:val="21"/>
                      <w:highlight w:val="none"/>
                      <w:vertAlign w:val="superscript"/>
                    </w:rPr>
                    <w:t>3</w:t>
                  </w:r>
                  <w:r>
                    <w:rPr>
                      <w:rFonts w:hint="default" w:ascii="Times New Roman" w:hAnsi="Times New Roman" w:cs="Times New Roman" w:eastAsiaTheme="minorEastAsia"/>
                      <w:color w:val="auto"/>
                      <w:position w:val="2"/>
                      <w:sz w:val="21"/>
                      <w:szCs w:val="21"/>
                      <w:highlight w:val="none"/>
                    </w:rPr>
                    <w:t>，4小时，（大鼠吸入）</w:t>
                  </w:r>
                </w:p>
              </w:tc>
            </w:tr>
            <w:tr w14:paraId="228BD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2706" w:hRule="atLeast"/>
              </w:trPr>
              <w:tc>
                <w:tcPr>
                  <w:tcW w:w="332" w:type="pct"/>
                  <w:tcBorders>
                    <w:tl2br w:val="nil"/>
                    <w:tr2bl w:val="nil"/>
                  </w:tcBorders>
                  <w:vAlign w:val="center"/>
                </w:tcPr>
                <w:p w14:paraId="7B3036BF">
                  <w:pPr>
                    <w:pStyle w:val="109"/>
                    <w:keepNext w:val="0"/>
                    <w:keepLines w:val="0"/>
                    <w:pageBreakBefore w:val="0"/>
                    <w:widowControl w:val="0"/>
                    <w:kinsoku/>
                    <w:wordWrap/>
                    <w:overflowPunct/>
                    <w:topLinePunct w:val="0"/>
                    <w:autoSpaceDE/>
                    <w:autoSpaceDN/>
                    <w:bidi w:val="0"/>
                    <w:adjustRightInd/>
                    <w:snapToGrid/>
                    <w:spacing w:line="320" w:lineRule="exact"/>
                    <w:ind w:left="110" w:right="10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对人体危害</w:t>
                  </w:r>
                </w:p>
              </w:tc>
              <w:tc>
                <w:tcPr>
                  <w:tcW w:w="4667" w:type="pct"/>
                  <w:gridSpan w:val="6"/>
                  <w:tcBorders>
                    <w:tl2br w:val="nil"/>
                    <w:tr2bl w:val="nil"/>
                  </w:tcBorders>
                  <w:vAlign w:val="center"/>
                </w:tcPr>
                <w:p w14:paraId="03B13460">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侵入途径：吸入。</w:t>
                  </w:r>
                </w:p>
                <w:p w14:paraId="40330B6F">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pacing w:val="-3"/>
                      <w:sz w:val="21"/>
                      <w:szCs w:val="21"/>
                      <w:highlight w:val="none"/>
                    </w:rPr>
                  </w:pPr>
                  <w:r>
                    <w:rPr>
                      <w:rFonts w:hint="default" w:ascii="Times New Roman" w:hAnsi="Times New Roman" w:cs="Times New Roman" w:eastAsiaTheme="minorEastAsia"/>
                      <w:color w:val="auto"/>
                      <w:spacing w:val="-3"/>
                      <w:sz w:val="21"/>
                      <w:szCs w:val="21"/>
                      <w:highlight w:val="none"/>
                    </w:rPr>
                    <w:t>健康危害：低浓度氨对粘膜有刺激作用，高浓度可造成组织溶解坏死。</w:t>
                  </w:r>
                </w:p>
                <w:p w14:paraId="014A82E3">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pacing w:val="-3"/>
                      <w:sz w:val="21"/>
                      <w:szCs w:val="21"/>
                      <w:highlight w:val="none"/>
                    </w:rPr>
                    <w:t>急性中毒：轻度者出现流泪、咽痛、声音嘶哑、咳嗽、咯痰等；眼结膜、鼻粘膜、咽部充血、水肿；胸部X线征象符合支气管炎或支气管周围炎。中度中毒上述症状加剧，出现呼吸困难、紫绀；胸部X线征象符合肺炎或间质性肺炎。严重者可发生中毒性肺水肿，或有呼吸窘迫综合征，患者剧烈咳嗽、咯大量粉红色泡沫痰、呼吸窘迫、谵妄、昏迷、休克等。可发生喉头水肿或支气管粘膜坏死脱落窒息。高浓度氨可引起反射性呼吸停止。液氨或高浓度氨可致眼灼伤；液氨可致皮肤灼伤。</w:t>
                  </w:r>
                </w:p>
              </w:tc>
            </w:tr>
            <w:tr w14:paraId="2A023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tcBorders>
                    <w:tl2br w:val="nil"/>
                    <w:tr2bl w:val="nil"/>
                  </w:tcBorders>
                  <w:vAlign w:val="center"/>
                </w:tcPr>
                <w:p w14:paraId="6AE7DD96">
                  <w:pPr>
                    <w:pStyle w:val="109"/>
                    <w:keepNext w:val="0"/>
                    <w:keepLines w:val="0"/>
                    <w:pageBreakBefore w:val="0"/>
                    <w:widowControl w:val="0"/>
                    <w:kinsoku/>
                    <w:wordWrap/>
                    <w:overflowPunct/>
                    <w:topLinePunct w:val="0"/>
                    <w:autoSpaceDE/>
                    <w:autoSpaceDN/>
                    <w:bidi w:val="0"/>
                    <w:adjustRightInd/>
                    <w:snapToGrid/>
                    <w:spacing w:line="320" w:lineRule="exact"/>
                    <w:ind w:left="110" w:right="10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急救</w:t>
                  </w:r>
                </w:p>
              </w:tc>
              <w:tc>
                <w:tcPr>
                  <w:tcW w:w="4667" w:type="pct"/>
                  <w:gridSpan w:val="6"/>
                  <w:tcBorders>
                    <w:tl2br w:val="nil"/>
                    <w:tr2bl w:val="nil"/>
                  </w:tcBorders>
                  <w:vAlign w:val="center"/>
                </w:tcPr>
                <w:p w14:paraId="5C2CC3CE">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皮肤接触：立即脱去被污染的衣着，应用2%硼酸液或大量流动清水彻底冲洗。就医。</w:t>
                  </w:r>
                </w:p>
                <w:p w14:paraId="3C60A541">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眼睛接触：立即提起眼睑，用大量流动清水或生理盐水彻底冲洗至少15分钟。就医。</w:t>
                  </w:r>
                </w:p>
                <w:p w14:paraId="62B08C46">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吸入：迅速脱离现场至空气新鲜处。保持呼吸道通畅。如呼吸困难，给输氧。如呼吸停止，立即进行人工呼吸。就医。</w:t>
                  </w:r>
                </w:p>
              </w:tc>
            </w:tr>
            <w:tr w14:paraId="49083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tcBorders>
                    <w:tl2br w:val="nil"/>
                    <w:tr2bl w:val="nil"/>
                  </w:tcBorders>
                  <w:vAlign w:val="center"/>
                </w:tcPr>
                <w:p w14:paraId="31C06C61">
                  <w:pPr>
                    <w:pStyle w:val="109"/>
                    <w:keepNext w:val="0"/>
                    <w:keepLines w:val="0"/>
                    <w:pageBreakBefore w:val="0"/>
                    <w:widowControl w:val="0"/>
                    <w:kinsoku/>
                    <w:wordWrap/>
                    <w:overflowPunct/>
                    <w:topLinePunct w:val="0"/>
                    <w:autoSpaceDE/>
                    <w:autoSpaceDN/>
                    <w:bidi w:val="0"/>
                    <w:adjustRightInd/>
                    <w:snapToGrid/>
                    <w:spacing w:line="320" w:lineRule="exact"/>
                    <w:ind w:left="110" w:right="10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防护</w:t>
                  </w:r>
                </w:p>
              </w:tc>
              <w:tc>
                <w:tcPr>
                  <w:tcW w:w="4667" w:type="pct"/>
                  <w:gridSpan w:val="6"/>
                  <w:tcBorders>
                    <w:tl2br w:val="nil"/>
                    <w:tr2bl w:val="nil"/>
                  </w:tcBorders>
                  <w:vAlign w:val="center"/>
                </w:tcPr>
                <w:p w14:paraId="3E0A8035">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呼吸系统防护：空气中浓度超标时，建议佩戴过滤式防毒面具(半面罩)。紧急事态抢救或撤离时，必须佩戴空气呼吸器。</w:t>
                  </w:r>
                </w:p>
                <w:p w14:paraId="33E54939">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眼睛防护：戴化学安全防护眼镜。</w:t>
                  </w:r>
                </w:p>
                <w:p w14:paraId="7E36CC9F">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身体防护：穿防静电工作服。</w:t>
                  </w:r>
                </w:p>
                <w:p w14:paraId="1754E374">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手防护：戴橡胶手套。</w:t>
                  </w:r>
                </w:p>
                <w:p w14:paraId="2EA69E00">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其它：工作现场严禁吸烟、进食和饮水。工作毕，淋浴更衣。保持良好的卫生习惯。</w:t>
                  </w:r>
                </w:p>
              </w:tc>
            </w:tr>
            <w:tr w14:paraId="6D63D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tcBorders>
                    <w:tl2br w:val="nil"/>
                    <w:tr2bl w:val="nil"/>
                  </w:tcBorders>
                  <w:vAlign w:val="center"/>
                </w:tcPr>
                <w:p w14:paraId="5C1B9190">
                  <w:pPr>
                    <w:pStyle w:val="109"/>
                    <w:keepNext w:val="0"/>
                    <w:keepLines w:val="0"/>
                    <w:pageBreakBefore w:val="0"/>
                    <w:widowControl w:val="0"/>
                    <w:kinsoku/>
                    <w:wordWrap/>
                    <w:overflowPunct/>
                    <w:topLinePunct w:val="0"/>
                    <w:autoSpaceDE/>
                    <w:autoSpaceDN/>
                    <w:bidi w:val="0"/>
                    <w:adjustRightInd/>
                    <w:snapToGrid/>
                    <w:spacing w:line="320" w:lineRule="exact"/>
                    <w:ind w:left="110" w:right="10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泄漏处理</w:t>
                  </w:r>
                </w:p>
              </w:tc>
              <w:tc>
                <w:tcPr>
                  <w:tcW w:w="4667" w:type="pct"/>
                  <w:gridSpan w:val="6"/>
                  <w:tcBorders>
                    <w:tl2br w:val="nil"/>
                    <w:tr2bl w:val="nil"/>
                  </w:tcBorders>
                  <w:vAlign w:val="center"/>
                </w:tcPr>
                <w:p w14:paraId="28AC19BB">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迅速撤离泄漏污染区人员至上风处，并立即进行隔离150米，严格限制出入，切断火源。建议应急处理人员戴自给正压式呼吸器，穿防毒服。尽可能切断泄漏源。合理通风，加速扩散。高浓度泄漏区，喷含盐酸的雾状水中和、稀释、溶解。构筑围堤或挖坑收容产生的大量废水。如有可能，将残余气或漏出气用排风机送至水洗塔或与塔相连的通风橱内。储罐区最好设稀酸喷洒设施。漏气容器要妥善处理，修复、检验后再用。</w:t>
                  </w:r>
                </w:p>
              </w:tc>
            </w:tr>
            <w:tr w14:paraId="3638E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332" w:type="pct"/>
                  <w:tcBorders>
                    <w:tl2br w:val="nil"/>
                    <w:tr2bl w:val="nil"/>
                  </w:tcBorders>
                  <w:vAlign w:val="center"/>
                </w:tcPr>
                <w:p w14:paraId="2AE0CD93">
                  <w:pPr>
                    <w:pStyle w:val="109"/>
                    <w:keepNext w:val="0"/>
                    <w:keepLines w:val="0"/>
                    <w:pageBreakBefore w:val="0"/>
                    <w:widowControl w:val="0"/>
                    <w:kinsoku/>
                    <w:wordWrap/>
                    <w:overflowPunct/>
                    <w:topLinePunct w:val="0"/>
                    <w:autoSpaceDE/>
                    <w:autoSpaceDN/>
                    <w:bidi w:val="0"/>
                    <w:adjustRightInd/>
                    <w:snapToGrid/>
                    <w:spacing w:line="320" w:lineRule="exact"/>
                    <w:ind w:left="110" w:right="10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贮运</w:t>
                  </w:r>
                </w:p>
              </w:tc>
              <w:tc>
                <w:tcPr>
                  <w:tcW w:w="4667" w:type="pct"/>
                  <w:gridSpan w:val="6"/>
                  <w:tcBorders>
                    <w:tl2br w:val="nil"/>
                    <w:tr2bl w:val="nil"/>
                  </w:tcBorders>
                  <w:vAlign w:val="center"/>
                </w:tcPr>
                <w:p w14:paraId="0D3B47AA">
                  <w:pPr>
                    <w:pStyle w:val="109"/>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储存于阴凉、通风的有毒气体专用库房。远离火种、热源。库温不宜超过30℃，应与氧化剂、酸类、卤素、食用化学品分开存放，切忌混储。采用防爆型照明、通风设施。禁止使用易产生火花的机械设备和工具。储区应备有泄漏应急处理设备。</w:t>
                  </w:r>
                </w:p>
              </w:tc>
            </w:tr>
          </w:tbl>
          <w:p w14:paraId="411998AB">
            <w:pPr>
              <w:pStyle w:val="126"/>
              <w:numPr>
                <w:ilvl w:val="0"/>
                <w:numId w:val="0"/>
              </w:numPr>
              <w:spacing w:before="120" w:beforeLines="50"/>
              <w:rPr>
                <w:color w:val="auto"/>
                <w:sz w:val="21"/>
                <w:szCs w:val="21"/>
                <w:highlight w:val="none"/>
              </w:rPr>
            </w:pPr>
            <w:r>
              <w:rPr>
                <w:color w:val="auto"/>
                <w:sz w:val="21"/>
                <w:szCs w:val="21"/>
                <w:highlight w:val="none"/>
              </w:rPr>
              <w:t>表4-</w:t>
            </w:r>
            <w:r>
              <w:rPr>
                <w:rFonts w:hint="eastAsia"/>
                <w:color w:val="auto"/>
                <w:sz w:val="21"/>
                <w:szCs w:val="21"/>
                <w:highlight w:val="none"/>
                <w:lang w:val="en-US" w:eastAsia="zh-CN"/>
              </w:rPr>
              <w:t>3</w:t>
            </w:r>
            <w:r>
              <w:rPr>
                <w:rFonts w:hint="eastAsia"/>
                <w:color w:val="auto"/>
                <w:sz w:val="21"/>
                <w:szCs w:val="21"/>
                <w:highlight w:val="none"/>
              </w:rPr>
              <w:t>5</w:t>
            </w:r>
            <w:r>
              <w:rPr>
                <w:rFonts w:hint="eastAsia"/>
                <w:color w:val="auto"/>
                <w:sz w:val="21"/>
                <w:szCs w:val="21"/>
                <w:highlight w:val="none"/>
                <w:lang w:val="en-US" w:eastAsia="zh-CN"/>
              </w:rPr>
              <w:t xml:space="preserve">  </w:t>
            </w:r>
            <w:r>
              <w:rPr>
                <w:color w:val="auto"/>
                <w:sz w:val="21"/>
                <w:szCs w:val="21"/>
                <w:highlight w:val="none"/>
              </w:rPr>
              <w:t>二氧化硫理化性质及危险特性表</w:t>
            </w:r>
          </w:p>
          <w:tbl>
            <w:tblPr>
              <w:tblStyle w:val="2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415"/>
              <w:gridCol w:w="2298"/>
              <w:gridCol w:w="1220"/>
              <w:gridCol w:w="1060"/>
              <w:gridCol w:w="3691"/>
            </w:tblGrid>
            <w:tr w14:paraId="3E0D1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vMerge w:val="restart"/>
                  <w:tcBorders>
                    <w:tl2br w:val="nil"/>
                    <w:tr2bl w:val="nil"/>
                  </w:tcBorders>
                  <w:vAlign w:val="center"/>
                </w:tcPr>
                <w:p w14:paraId="0E02BC87">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标识</w:t>
                  </w:r>
                </w:p>
              </w:tc>
              <w:tc>
                <w:tcPr>
                  <w:tcW w:w="2025" w:type="pct"/>
                  <w:gridSpan w:val="2"/>
                  <w:tcBorders>
                    <w:tl2br w:val="nil"/>
                    <w:tr2bl w:val="nil"/>
                  </w:tcBorders>
                  <w:vAlign w:val="center"/>
                </w:tcPr>
                <w:p w14:paraId="1A0749CF">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中文名：</w:t>
                  </w:r>
                  <w:r>
                    <w:rPr>
                      <w:rFonts w:hint="eastAsia"/>
                      <w:color w:val="auto"/>
                      <w:highlight w:val="none"/>
                    </w:rPr>
                    <w:t>二</w:t>
                  </w:r>
                  <w:r>
                    <w:rPr>
                      <w:color w:val="auto"/>
                      <w:highlight w:val="none"/>
                    </w:rPr>
                    <w:t>氧化硫</w:t>
                  </w:r>
                </w:p>
              </w:tc>
              <w:tc>
                <w:tcPr>
                  <w:tcW w:w="2735" w:type="pct"/>
                  <w:gridSpan w:val="2"/>
                  <w:tcBorders>
                    <w:tl2br w:val="nil"/>
                    <w:tr2bl w:val="nil"/>
                  </w:tcBorders>
                  <w:vAlign w:val="center"/>
                </w:tcPr>
                <w:p w14:paraId="24A7379C">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英文名：sulfurdioxide</w:t>
                  </w:r>
                </w:p>
              </w:tc>
            </w:tr>
            <w:tr w14:paraId="1794D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vMerge w:val="continue"/>
                  <w:tcBorders>
                    <w:tl2br w:val="nil"/>
                    <w:tr2bl w:val="nil"/>
                  </w:tcBorders>
                  <w:vAlign w:val="center"/>
                </w:tcPr>
                <w:p w14:paraId="16783191">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p>
              </w:tc>
              <w:tc>
                <w:tcPr>
                  <w:tcW w:w="1323" w:type="pct"/>
                  <w:tcBorders>
                    <w:tl2br w:val="nil"/>
                    <w:tr2bl w:val="nil"/>
                  </w:tcBorders>
                  <w:vAlign w:val="center"/>
                </w:tcPr>
                <w:p w14:paraId="1C12378F">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分子式：SO</w:t>
                  </w:r>
                  <w:r>
                    <w:rPr>
                      <w:color w:val="auto"/>
                      <w:highlight w:val="none"/>
                      <w:vertAlign w:val="subscript"/>
                    </w:rPr>
                    <w:t>2</w:t>
                  </w:r>
                </w:p>
              </w:tc>
              <w:tc>
                <w:tcPr>
                  <w:tcW w:w="1312" w:type="pct"/>
                  <w:gridSpan w:val="2"/>
                  <w:tcBorders>
                    <w:tl2br w:val="nil"/>
                    <w:tr2bl w:val="nil"/>
                  </w:tcBorders>
                  <w:vAlign w:val="center"/>
                </w:tcPr>
                <w:p w14:paraId="01EA1F0D">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分子量：64.06</w:t>
                  </w:r>
                </w:p>
              </w:tc>
              <w:tc>
                <w:tcPr>
                  <w:tcW w:w="2125" w:type="pct"/>
                  <w:tcBorders>
                    <w:tl2br w:val="nil"/>
                    <w:tr2bl w:val="nil"/>
                  </w:tcBorders>
                  <w:vAlign w:val="center"/>
                </w:tcPr>
                <w:p w14:paraId="0DB5EEBF">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CAS号：7446-09-5</w:t>
                  </w:r>
                </w:p>
              </w:tc>
            </w:tr>
            <w:tr w14:paraId="337A7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vMerge w:val="continue"/>
                  <w:tcBorders>
                    <w:tl2br w:val="nil"/>
                    <w:tr2bl w:val="nil"/>
                  </w:tcBorders>
                  <w:vAlign w:val="center"/>
                </w:tcPr>
                <w:p w14:paraId="433AFFD4">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p>
              </w:tc>
              <w:tc>
                <w:tcPr>
                  <w:tcW w:w="4761" w:type="pct"/>
                  <w:gridSpan w:val="4"/>
                  <w:tcBorders>
                    <w:tl2br w:val="nil"/>
                    <w:tr2bl w:val="nil"/>
                  </w:tcBorders>
                  <w:vAlign w:val="center"/>
                </w:tcPr>
                <w:p w14:paraId="497548E6">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危规号：23013</w:t>
                  </w:r>
                </w:p>
              </w:tc>
            </w:tr>
            <w:tr w14:paraId="26BB4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vMerge w:val="restart"/>
                  <w:tcBorders>
                    <w:tl2br w:val="nil"/>
                    <w:tr2bl w:val="nil"/>
                  </w:tcBorders>
                  <w:vAlign w:val="center"/>
                </w:tcPr>
                <w:p w14:paraId="7BC3D28B">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理</w:t>
                  </w:r>
                </w:p>
                <w:p w14:paraId="22710FF1">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化</w:t>
                  </w:r>
                </w:p>
                <w:p w14:paraId="667D4453">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性</w:t>
                  </w:r>
                </w:p>
                <w:p w14:paraId="6EB311B2">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质</w:t>
                  </w:r>
                </w:p>
              </w:tc>
              <w:tc>
                <w:tcPr>
                  <w:tcW w:w="4761" w:type="pct"/>
                  <w:gridSpan w:val="4"/>
                  <w:tcBorders>
                    <w:tl2br w:val="nil"/>
                    <w:tr2bl w:val="nil"/>
                  </w:tcBorders>
                  <w:vAlign w:val="center"/>
                </w:tcPr>
                <w:p w14:paraId="66BAC8EE">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性状：无色气体，具有窒息性特臭</w:t>
                  </w:r>
                  <w:r>
                    <w:rPr>
                      <w:rFonts w:hint="eastAsia"/>
                      <w:color w:val="auto"/>
                      <w:highlight w:val="none"/>
                    </w:rPr>
                    <w:t>。</w:t>
                  </w:r>
                </w:p>
              </w:tc>
            </w:tr>
            <w:tr w14:paraId="5096A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vMerge w:val="continue"/>
                  <w:tcBorders>
                    <w:tl2br w:val="nil"/>
                    <w:tr2bl w:val="nil"/>
                  </w:tcBorders>
                  <w:vAlign w:val="center"/>
                </w:tcPr>
                <w:p w14:paraId="79DDE6C2">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p>
              </w:tc>
              <w:tc>
                <w:tcPr>
                  <w:tcW w:w="4761" w:type="pct"/>
                  <w:gridSpan w:val="4"/>
                  <w:tcBorders>
                    <w:tl2br w:val="nil"/>
                    <w:tr2bl w:val="nil"/>
                  </w:tcBorders>
                  <w:vAlign w:val="center"/>
                </w:tcPr>
                <w:p w14:paraId="50EA8900">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溶解性：溶于水，乙醇</w:t>
                  </w:r>
                  <w:r>
                    <w:rPr>
                      <w:rFonts w:hint="eastAsia"/>
                      <w:color w:val="auto"/>
                      <w:highlight w:val="none"/>
                    </w:rPr>
                    <w:t>。</w:t>
                  </w:r>
                </w:p>
              </w:tc>
            </w:tr>
            <w:tr w14:paraId="32792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vMerge w:val="continue"/>
                  <w:tcBorders>
                    <w:tl2br w:val="nil"/>
                    <w:tr2bl w:val="nil"/>
                  </w:tcBorders>
                  <w:vAlign w:val="center"/>
                </w:tcPr>
                <w:p w14:paraId="3F9755EA">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p>
              </w:tc>
              <w:tc>
                <w:tcPr>
                  <w:tcW w:w="1323" w:type="pct"/>
                  <w:tcBorders>
                    <w:tl2br w:val="nil"/>
                    <w:tr2bl w:val="nil"/>
                  </w:tcBorders>
                  <w:vAlign w:val="center"/>
                </w:tcPr>
                <w:p w14:paraId="2BC7B8D1">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熔点（℃）：</w:t>
                  </w:r>
                  <w:r>
                    <w:rPr>
                      <w:rFonts w:hint="eastAsia"/>
                      <w:color w:val="auto"/>
                      <w:highlight w:val="none"/>
                    </w:rPr>
                    <w:t>-75.5</w:t>
                  </w:r>
                </w:p>
              </w:tc>
              <w:tc>
                <w:tcPr>
                  <w:tcW w:w="1312" w:type="pct"/>
                  <w:gridSpan w:val="2"/>
                  <w:tcBorders>
                    <w:tl2br w:val="nil"/>
                    <w:tr2bl w:val="nil"/>
                  </w:tcBorders>
                  <w:vAlign w:val="center"/>
                </w:tcPr>
                <w:p w14:paraId="2809F65B">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沸点（℃）：</w:t>
                  </w:r>
                  <w:r>
                    <w:rPr>
                      <w:rFonts w:hint="eastAsia"/>
                      <w:color w:val="auto"/>
                      <w:highlight w:val="none"/>
                    </w:rPr>
                    <w:t>-10</w:t>
                  </w:r>
                </w:p>
              </w:tc>
              <w:tc>
                <w:tcPr>
                  <w:tcW w:w="2125" w:type="pct"/>
                  <w:tcBorders>
                    <w:tl2br w:val="nil"/>
                    <w:tr2bl w:val="nil"/>
                  </w:tcBorders>
                  <w:vAlign w:val="center"/>
                </w:tcPr>
                <w:p w14:paraId="213CBF07">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相对密度（水＝1）：</w:t>
                  </w:r>
                  <w:r>
                    <w:rPr>
                      <w:rFonts w:hint="eastAsia"/>
                      <w:color w:val="auto"/>
                      <w:highlight w:val="none"/>
                    </w:rPr>
                    <w:t>1.43</w:t>
                  </w:r>
                </w:p>
              </w:tc>
            </w:tr>
            <w:tr w14:paraId="03F8E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vMerge w:val="continue"/>
                  <w:tcBorders>
                    <w:tl2br w:val="nil"/>
                    <w:tr2bl w:val="nil"/>
                  </w:tcBorders>
                  <w:vAlign w:val="center"/>
                </w:tcPr>
                <w:p w14:paraId="6D805A21">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p>
              </w:tc>
              <w:tc>
                <w:tcPr>
                  <w:tcW w:w="1323" w:type="pct"/>
                  <w:tcBorders>
                    <w:tl2br w:val="nil"/>
                    <w:tr2bl w:val="nil"/>
                  </w:tcBorders>
                  <w:vAlign w:val="center"/>
                </w:tcPr>
                <w:p w14:paraId="700EA6A9">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临界温度（℃）：</w:t>
                  </w:r>
                  <w:r>
                    <w:rPr>
                      <w:rFonts w:hint="eastAsia"/>
                      <w:color w:val="auto"/>
                      <w:highlight w:val="none"/>
                    </w:rPr>
                    <w:t>157.8</w:t>
                  </w:r>
                </w:p>
              </w:tc>
              <w:tc>
                <w:tcPr>
                  <w:tcW w:w="1312" w:type="pct"/>
                  <w:gridSpan w:val="2"/>
                  <w:tcBorders>
                    <w:tl2br w:val="nil"/>
                    <w:tr2bl w:val="nil"/>
                  </w:tcBorders>
                  <w:vAlign w:val="center"/>
                </w:tcPr>
                <w:p w14:paraId="7D1C9934">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临界压力（MPa）：</w:t>
                  </w:r>
                  <w:r>
                    <w:rPr>
                      <w:rFonts w:hint="eastAsia"/>
                      <w:color w:val="auto"/>
                      <w:highlight w:val="none"/>
                    </w:rPr>
                    <w:t>7.87</w:t>
                  </w:r>
                </w:p>
              </w:tc>
              <w:tc>
                <w:tcPr>
                  <w:tcW w:w="2125" w:type="pct"/>
                  <w:tcBorders>
                    <w:tl2br w:val="nil"/>
                    <w:tr2bl w:val="nil"/>
                  </w:tcBorders>
                  <w:vAlign w:val="center"/>
                </w:tcPr>
                <w:p w14:paraId="4D2E4AD0">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相对密度（空气＝1）：</w:t>
                  </w:r>
                  <w:r>
                    <w:rPr>
                      <w:rFonts w:hint="eastAsia"/>
                      <w:color w:val="auto"/>
                      <w:highlight w:val="none"/>
                    </w:rPr>
                    <w:t>2.26</w:t>
                  </w:r>
                </w:p>
              </w:tc>
            </w:tr>
            <w:tr w14:paraId="1B8D6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vMerge w:val="continue"/>
                  <w:tcBorders>
                    <w:tl2br w:val="nil"/>
                    <w:tr2bl w:val="nil"/>
                  </w:tcBorders>
                  <w:vAlign w:val="center"/>
                </w:tcPr>
                <w:p w14:paraId="7FFD1EA3">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p>
              </w:tc>
              <w:tc>
                <w:tcPr>
                  <w:tcW w:w="1323" w:type="pct"/>
                  <w:tcBorders>
                    <w:tl2br w:val="nil"/>
                    <w:tr2bl w:val="nil"/>
                  </w:tcBorders>
                  <w:vAlign w:val="center"/>
                </w:tcPr>
                <w:p w14:paraId="2C8D4C60">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燃烧热（KJ/mol）：</w:t>
                  </w:r>
                  <w:r>
                    <w:rPr>
                      <w:rFonts w:hint="eastAsia"/>
                      <w:color w:val="auto"/>
                      <w:highlight w:val="none"/>
                    </w:rPr>
                    <w:t>/</w:t>
                  </w:r>
                </w:p>
              </w:tc>
              <w:tc>
                <w:tcPr>
                  <w:tcW w:w="1312" w:type="pct"/>
                  <w:gridSpan w:val="2"/>
                  <w:tcBorders>
                    <w:tl2br w:val="nil"/>
                    <w:tr2bl w:val="nil"/>
                  </w:tcBorders>
                  <w:vAlign w:val="center"/>
                </w:tcPr>
                <w:p w14:paraId="43B7CDC6">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最小点火能（mJ）：</w:t>
                  </w:r>
                  <w:r>
                    <w:rPr>
                      <w:rFonts w:hint="eastAsia"/>
                      <w:color w:val="auto"/>
                      <w:highlight w:val="none"/>
                    </w:rPr>
                    <w:t>/</w:t>
                  </w:r>
                </w:p>
              </w:tc>
              <w:tc>
                <w:tcPr>
                  <w:tcW w:w="2125" w:type="pct"/>
                  <w:tcBorders>
                    <w:tl2br w:val="nil"/>
                    <w:tr2bl w:val="nil"/>
                  </w:tcBorders>
                  <w:vAlign w:val="center"/>
                </w:tcPr>
                <w:p w14:paraId="7D5E0908">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饱和蒸汽压（KPa）：338.42（21.1℃）</w:t>
                  </w:r>
                </w:p>
              </w:tc>
            </w:tr>
            <w:tr w14:paraId="31758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vMerge w:val="restart"/>
                  <w:tcBorders>
                    <w:tl2br w:val="nil"/>
                    <w:tr2bl w:val="nil"/>
                  </w:tcBorders>
                  <w:vAlign w:val="center"/>
                </w:tcPr>
                <w:p w14:paraId="1B62B1A6">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燃</w:t>
                  </w:r>
                </w:p>
                <w:p w14:paraId="3445E919">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烧</w:t>
                  </w:r>
                </w:p>
                <w:p w14:paraId="790C3BF8">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爆</w:t>
                  </w:r>
                </w:p>
                <w:p w14:paraId="65659BC4">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炸</w:t>
                  </w:r>
                </w:p>
                <w:p w14:paraId="0615A604">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危</w:t>
                  </w:r>
                </w:p>
                <w:p w14:paraId="078EABF1">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险</w:t>
                  </w:r>
                </w:p>
                <w:p w14:paraId="0766F0C8">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性</w:t>
                  </w:r>
                </w:p>
              </w:tc>
              <w:tc>
                <w:tcPr>
                  <w:tcW w:w="1323" w:type="pct"/>
                  <w:tcBorders>
                    <w:tl2br w:val="nil"/>
                    <w:tr2bl w:val="nil"/>
                  </w:tcBorders>
                  <w:vAlign w:val="center"/>
                </w:tcPr>
                <w:p w14:paraId="132FCCED">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燃烧性：不燃</w:t>
                  </w:r>
                </w:p>
              </w:tc>
              <w:tc>
                <w:tcPr>
                  <w:tcW w:w="3437" w:type="pct"/>
                  <w:gridSpan w:val="3"/>
                  <w:tcBorders>
                    <w:tl2br w:val="nil"/>
                    <w:tr2bl w:val="nil"/>
                  </w:tcBorders>
                  <w:vAlign w:val="center"/>
                </w:tcPr>
                <w:p w14:paraId="2BD55047">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燃烧分解产物：</w:t>
                  </w:r>
                  <w:r>
                    <w:rPr>
                      <w:rFonts w:hint="eastAsia"/>
                      <w:color w:val="auto"/>
                      <w:highlight w:val="none"/>
                    </w:rPr>
                    <w:t>氧化硫</w:t>
                  </w:r>
                  <w:r>
                    <w:rPr>
                      <w:color w:val="auto"/>
                      <w:highlight w:val="none"/>
                    </w:rPr>
                    <w:t>。</w:t>
                  </w:r>
                </w:p>
              </w:tc>
            </w:tr>
            <w:tr w14:paraId="4A90C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vMerge w:val="continue"/>
                  <w:tcBorders>
                    <w:tl2br w:val="nil"/>
                    <w:tr2bl w:val="nil"/>
                  </w:tcBorders>
                  <w:vAlign w:val="center"/>
                </w:tcPr>
                <w:p w14:paraId="04997F1B">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p>
              </w:tc>
              <w:tc>
                <w:tcPr>
                  <w:tcW w:w="1323" w:type="pct"/>
                  <w:tcBorders>
                    <w:tl2br w:val="nil"/>
                    <w:tr2bl w:val="nil"/>
                  </w:tcBorders>
                  <w:vAlign w:val="center"/>
                </w:tcPr>
                <w:p w14:paraId="0FADEC8E">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闪点（℃）：</w:t>
                  </w:r>
                  <w:r>
                    <w:rPr>
                      <w:rFonts w:hint="eastAsia"/>
                      <w:color w:val="auto"/>
                      <w:highlight w:val="none"/>
                    </w:rPr>
                    <w:t>/</w:t>
                  </w:r>
                </w:p>
              </w:tc>
              <w:tc>
                <w:tcPr>
                  <w:tcW w:w="3437" w:type="pct"/>
                  <w:gridSpan w:val="3"/>
                  <w:tcBorders>
                    <w:tl2br w:val="nil"/>
                    <w:tr2bl w:val="nil"/>
                  </w:tcBorders>
                  <w:vAlign w:val="center"/>
                </w:tcPr>
                <w:p w14:paraId="1E58AA7A">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聚合危害：不聚合</w:t>
                  </w:r>
                </w:p>
              </w:tc>
            </w:tr>
            <w:tr w14:paraId="15B14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vMerge w:val="continue"/>
                  <w:tcBorders>
                    <w:tl2br w:val="nil"/>
                    <w:tr2bl w:val="nil"/>
                  </w:tcBorders>
                  <w:vAlign w:val="center"/>
                </w:tcPr>
                <w:p w14:paraId="2F5D9ACE">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p>
              </w:tc>
              <w:tc>
                <w:tcPr>
                  <w:tcW w:w="1323" w:type="pct"/>
                  <w:tcBorders>
                    <w:tl2br w:val="nil"/>
                    <w:tr2bl w:val="nil"/>
                  </w:tcBorders>
                  <w:vAlign w:val="center"/>
                </w:tcPr>
                <w:p w14:paraId="3508ACD9">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爆炸下限（％）：</w:t>
                  </w:r>
                  <w:r>
                    <w:rPr>
                      <w:rFonts w:hint="eastAsia"/>
                      <w:color w:val="auto"/>
                      <w:highlight w:val="none"/>
                    </w:rPr>
                    <w:t>/</w:t>
                  </w:r>
                </w:p>
              </w:tc>
              <w:tc>
                <w:tcPr>
                  <w:tcW w:w="3437" w:type="pct"/>
                  <w:gridSpan w:val="3"/>
                  <w:tcBorders>
                    <w:tl2br w:val="nil"/>
                    <w:tr2bl w:val="nil"/>
                  </w:tcBorders>
                  <w:vAlign w:val="center"/>
                </w:tcPr>
                <w:p w14:paraId="28DBDCC5">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稳定性：稳定</w:t>
                  </w:r>
                </w:p>
              </w:tc>
            </w:tr>
            <w:tr w14:paraId="5D930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vMerge w:val="continue"/>
                  <w:tcBorders>
                    <w:tl2br w:val="nil"/>
                    <w:tr2bl w:val="nil"/>
                  </w:tcBorders>
                  <w:vAlign w:val="center"/>
                </w:tcPr>
                <w:p w14:paraId="4CEBCEDC">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p>
              </w:tc>
              <w:tc>
                <w:tcPr>
                  <w:tcW w:w="1323" w:type="pct"/>
                  <w:tcBorders>
                    <w:tl2br w:val="nil"/>
                    <w:tr2bl w:val="nil"/>
                  </w:tcBorders>
                  <w:vAlign w:val="center"/>
                </w:tcPr>
                <w:p w14:paraId="0D6BA6A4">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爆炸上限（％）：</w:t>
                  </w:r>
                  <w:r>
                    <w:rPr>
                      <w:rFonts w:hint="eastAsia"/>
                      <w:color w:val="auto"/>
                      <w:highlight w:val="none"/>
                    </w:rPr>
                    <w:t>/</w:t>
                  </w:r>
                </w:p>
              </w:tc>
              <w:tc>
                <w:tcPr>
                  <w:tcW w:w="3437" w:type="pct"/>
                  <w:gridSpan w:val="3"/>
                  <w:tcBorders>
                    <w:tl2br w:val="nil"/>
                    <w:tr2bl w:val="nil"/>
                  </w:tcBorders>
                  <w:vAlign w:val="center"/>
                </w:tcPr>
                <w:p w14:paraId="75E49773">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最大爆炸压力（MPa）：</w:t>
                  </w:r>
                  <w:r>
                    <w:rPr>
                      <w:rFonts w:hint="eastAsia"/>
                      <w:color w:val="auto"/>
                      <w:highlight w:val="none"/>
                    </w:rPr>
                    <w:t>/</w:t>
                  </w:r>
                </w:p>
              </w:tc>
            </w:tr>
            <w:tr w14:paraId="505AF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vMerge w:val="continue"/>
                  <w:tcBorders>
                    <w:tl2br w:val="nil"/>
                    <w:tr2bl w:val="nil"/>
                  </w:tcBorders>
                  <w:vAlign w:val="center"/>
                </w:tcPr>
                <w:p w14:paraId="6C982784">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p>
              </w:tc>
              <w:tc>
                <w:tcPr>
                  <w:tcW w:w="1323" w:type="pct"/>
                  <w:tcBorders>
                    <w:tl2br w:val="nil"/>
                    <w:tr2bl w:val="nil"/>
                  </w:tcBorders>
                  <w:vAlign w:val="center"/>
                </w:tcPr>
                <w:p w14:paraId="2430DB1B">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引燃温度（℃）：</w:t>
                  </w:r>
                  <w:r>
                    <w:rPr>
                      <w:rFonts w:hint="eastAsia"/>
                      <w:color w:val="auto"/>
                      <w:highlight w:val="none"/>
                    </w:rPr>
                    <w:t>/</w:t>
                  </w:r>
                </w:p>
              </w:tc>
              <w:tc>
                <w:tcPr>
                  <w:tcW w:w="3437" w:type="pct"/>
                  <w:gridSpan w:val="3"/>
                  <w:tcBorders>
                    <w:tl2br w:val="nil"/>
                    <w:tr2bl w:val="nil"/>
                  </w:tcBorders>
                  <w:vAlign w:val="center"/>
                </w:tcPr>
                <w:p w14:paraId="015260DF">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禁忌物：强还原剂、强氧化剂、易燃或可燃物</w:t>
                  </w:r>
                  <w:r>
                    <w:rPr>
                      <w:rFonts w:hint="eastAsia"/>
                      <w:color w:val="auto"/>
                      <w:highlight w:val="none"/>
                    </w:rPr>
                    <w:t>。</w:t>
                  </w:r>
                </w:p>
              </w:tc>
            </w:tr>
            <w:tr w14:paraId="052E0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vMerge w:val="continue"/>
                  <w:tcBorders>
                    <w:tl2br w:val="nil"/>
                    <w:tr2bl w:val="nil"/>
                  </w:tcBorders>
                  <w:vAlign w:val="center"/>
                </w:tcPr>
                <w:p w14:paraId="4CED7E13">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p>
              </w:tc>
              <w:tc>
                <w:tcPr>
                  <w:tcW w:w="4761" w:type="pct"/>
                  <w:gridSpan w:val="4"/>
                  <w:tcBorders>
                    <w:tl2br w:val="nil"/>
                    <w:tr2bl w:val="nil"/>
                  </w:tcBorders>
                  <w:vAlign w:val="center"/>
                </w:tcPr>
                <w:p w14:paraId="4E0A88C7">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危险特性：不燃。若遇高热，容器内压增大，有开裂和爆炸的危险。</w:t>
                  </w:r>
                </w:p>
              </w:tc>
            </w:tr>
            <w:tr w14:paraId="22593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vMerge w:val="continue"/>
                  <w:tcBorders>
                    <w:tl2br w:val="nil"/>
                    <w:tr2bl w:val="nil"/>
                  </w:tcBorders>
                  <w:vAlign w:val="center"/>
                </w:tcPr>
                <w:p w14:paraId="51D024A8">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p>
              </w:tc>
              <w:tc>
                <w:tcPr>
                  <w:tcW w:w="4761" w:type="pct"/>
                  <w:gridSpan w:val="4"/>
                  <w:tcBorders>
                    <w:tl2br w:val="nil"/>
                    <w:tr2bl w:val="nil"/>
                  </w:tcBorders>
                  <w:vAlign w:val="center"/>
                </w:tcPr>
                <w:p w14:paraId="391B12B4">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灭火方法：本品不燃。消防人员必须佩戴过滤式防毒面具（全面罩）或隔离式呼吸器、穿全身防火防毒服，在上风向灭火。切断气源。喷水冷却容器，可能的话将容器从火场移至空旷处。</w:t>
                  </w:r>
                </w:p>
                <w:p w14:paraId="5EA95CC7">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灭火剂：雾状水、泡沫、二氧化碳。</w:t>
                  </w:r>
                </w:p>
              </w:tc>
            </w:tr>
            <w:tr w14:paraId="2FCE1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tcBorders>
                    <w:tl2br w:val="nil"/>
                    <w:tr2bl w:val="nil"/>
                  </w:tcBorders>
                  <w:vAlign w:val="center"/>
                </w:tcPr>
                <w:p w14:paraId="5301D3DA">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rFonts w:hint="eastAsia"/>
                      <w:color w:val="auto"/>
                      <w:highlight w:val="none"/>
                    </w:rPr>
                    <w:t>毒</w:t>
                  </w:r>
                </w:p>
                <w:p w14:paraId="0829448A">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rFonts w:hint="eastAsia"/>
                      <w:color w:val="auto"/>
                      <w:highlight w:val="none"/>
                    </w:rPr>
                    <w:t>性</w:t>
                  </w:r>
                </w:p>
              </w:tc>
              <w:tc>
                <w:tcPr>
                  <w:tcW w:w="4761" w:type="pct"/>
                  <w:gridSpan w:val="4"/>
                  <w:tcBorders>
                    <w:tl2br w:val="nil"/>
                    <w:tr2bl w:val="nil"/>
                  </w:tcBorders>
                  <w:vAlign w:val="center"/>
                </w:tcPr>
                <w:p w14:paraId="32371CA7">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急性毒性：LC</w:t>
                  </w:r>
                  <w:r>
                    <w:rPr>
                      <w:color w:val="auto"/>
                      <w:highlight w:val="none"/>
                      <w:vertAlign w:val="subscript"/>
                    </w:rPr>
                    <w:t>50</w:t>
                  </w:r>
                  <w:r>
                    <w:rPr>
                      <w:rFonts w:hint="eastAsia"/>
                      <w:color w:val="auto"/>
                      <w:highlight w:val="none"/>
                    </w:rPr>
                    <w:t>：</w:t>
                  </w:r>
                  <w:r>
                    <w:rPr>
                      <w:color w:val="auto"/>
                      <w:highlight w:val="none"/>
                    </w:rPr>
                    <w:t>6600mg/m</w:t>
                  </w:r>
                  <w:r>
                    <w:rPr>
                      <w:color w:val="auto"/>
                      <w:highlight w:val="none"/>
                      <w:vertAlign w:val="superscript"/>
                    </w:rPr>
                    <w:t>3</w:t>
                  </w:r>
                  <w:r>
                    <w:rPr>
                      <w:color w:val="auto"/>
                      <w:highlight w:val="none"/>
                    </w:rPr>
                    <w:t>，1小时(大鼠吸入)</w:t>
                  </w:r>
                  <w:r>
                    <w:rPr>
                      <w:rFonts w:hint="eastAsia"/>
                      <w:color w:val="auto"/>
                      <w:highlight w:val="none"/>
                    </w:rPr>
                    <w:t>；</w:t>
                  </w:r>
                </w:p>
                <w:p w14:paraId="07530731">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刺激性：家兔经眼：6ppm/4小时，32天，轻度刺激</w:t>
                  </w:r>
                  <w:r>
                    <w:rPr>
                      <w:rFonts w:hint="eastAsia"/>
                      <w:color w:val="auto"/>
                      <w:highlight w:val="none"/>
                    </w:rPr>
                    <w:t>；</w:t>
                  </w:r>
                </w:p>
                <w:p w14:paraId="17479215">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致突变性：DNA损伤：人淋巴细胞5700ppb。DNA抑制：人淋巴细胞5700ppb。</w:t>
                  </w:r>
                </w:p>
                <w:p w14:paraId="2FBBFAB5">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生殖毒性：大鼠吸入最低中毒浓度(TCL</w:t>
                  </w:r>
                  <w:r>
                    <w:rPr>
                      <w:rFonts w:hint="eastAsia"/>
                      <w:color w:val="auto"/>
                      <w:highlight w:val="none"/>
                    </w:rPr>
                    <w:t>o</w:t>
                  </w:r>
                  <w:r>
                    <w:rPr>
                      <w:color w:val="auto"/>
                      <w:highlight w:val="none"/>
                    </w:rPr>
                    <w:t>)：4mg/m</w:t>
                  </w:r>
                  <w:r>
                    <w:rPr>
                      <w:color w:val="auto"/>
                      <w:highlight w:val="none"/>
                      <w:vertAlign w:val="superscript"/>
                    </w:rPr>
                    <w:t>3</w:t>
                  </w:r>
                  <w:r>
                    <w:rPr>
                      <w:color w:val="auto"/>
                      <w:highlight w:val="none"/>
                    </w:rPr>
                    <w:t>，24小时(交配前72天)，引起月经周期改变或失调，对分娩有影响，对雌性生育指数有影响。小鼠吸入最低中毒浓度(TCL</w:t>
                  </w:r>
                  <w:r>
                    <w:rPr>
                      <w:rFonts w:hint="eastAsia"/>
                      <w:color w:val="auto"/>
                      <w:highlight w:val="none"/>
                    </w:rPr>
                    <w:t>o</w:t>
                  </w:r>
                  <w:r>
                    <w:rPr>
                      <w:color w:val="auto"/>
                      <w:highlight w:val="none"/>
                    </w:rPr>
                    <w:t>)：25ppm(7小时)，(孕6-15天)，引起胚胎毒性。</w:t>
                  </w:r>
                </w:p>
                <w:p w14:paraId="598DCBBE">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致癌性：小鼠吸入最低中毒浓度(TCL</w:t>
                  </w:r>
                  <w:r>
                    <w:rPr>
                      <w:rFonts w:hint="eastAsia"/>
                      <w:color w:val="auto"/>
                      <w:highlight w:val="none"/>
                    </w:rPr>
                    <w:t>o</w:t>
                  </w:r>
                  <w:r>
                    <w:rPr>
                      <w:color w:val="auto"/>
                      <w:highlight w:val="none"/>
                    </w:rPr>
                    <w:t>)：500ppm(5分钟)，30周(间歇)，疑致肿瘤。</w:t>
                  </w:r>
                </w:p>
              </w:tc>
            </w:tr>
            <w:tr w14:paraId="18C5E0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tcBorders>
                    <w:tl2br w:val="nil"/>
                    <w:tr2bl w:val="nil"/>
                  </w:tcBorders>
                  <w:vAlign w:val="center"/>
                </w:tcPr>
                <w:p w14:paraId="106D7301">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对</w:t>
                  </w:r>
                </w:p>
                <w:p w14:paraId="51E195F9">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人</w:t>
                  </w:r>
                </w:p>
                <w:p w14:paraId="56435C87">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体</w:t>
                  </w:r>
                </w:p>
                <w:p w14:paraId="71419689">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危</w:t>
                  </w:r>
                </w:p>
                <w:p w14:paraId="7C38EA65">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害</w:t>
                  </w:r>
                </w:p>
              </w:tc>
              <w:tc>
                <w:tcPr>
                  <w:tcW w:w="4761" w:type="pct"/>
                  <w:gridSpan w:val="4"/>
                  <w:tcBorders>
                    <w:tl2br w:val="nil"/>
                    <w:tr2bl w:val="nil"/>
                  </w:tcBorders>
                  <w:vAlign w:val="center"/>
                </w:tcPr>
                <w:p w14:paraId="2E8522CC">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侵入途径：吸入。</w:t>
                  </w:r>
                </w:p>
                <w:p w14:paraId="4494BA8F">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易被湿润的粘膜表面吸收生成亚硫酸、硫酸。对眼及呼吸道粘膜有强烈的刺激作用。大量吸入可引起肺水肿、喉水肿、声带痉挛而致窒息。急性中毒：轻度中毒时，发生流泪、畏光、咳嗽，咽、喉灼痛等；严重中毒可在数小时内发生肺水肿；极高浓度吸入可引起反射性声门痉挛而致窒息。皮肤或眼接触发生炎症或灼伤。慢性影响：长期低浓度接触，可有头痛、头昏、乏力等全身症状以及慢性鼻炎、咽喉炎、支气管炎、嗅觉及味觉减退等。少数工人有牙齿酸蚀症。</w:t>
                  </w:r>
                </w:p>
              </w:tc>
            </w:tr>
            <w:tr w14:paraId="24B22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tcBorders>
                    <w:tl2br w:val="nil"/>
                    <w:tr2bl w:val="nil"/>
                  </w:tcBorders>
                  <w:vAlign w:val="center"/>
                </w:tcPr>
                <w:p w14:paraId="7A468048">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急</w:t>
                  </w:r>
                </w:p>
                <w:p w14:paraId="7DB45286">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救</w:t>
                  </w:r>
                </w:p>
              </w:tc>
              <w:tc>
                <w:tcPr>
                  <w:tcW w:w="4761" w:type="pct"/>
                  <w:gridSpan w:val="4"/>
                  <w:tcBorders>
                    <w:tl2br w:val="nil"/>
                    <w:tr2bl w:val="nil"/>
                  </w:tcBorders>
                  <w:vAlign w:val="center"/>
                </w:tcPr>
                <w:p w14:paraId="09CECF00">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皮肤接触：立即脱去被污染的衣着，用大量流动清水冲洗。就医。</w:t>
                  </w:r>
                </w:p>
                <w:p w14:paraId="5DE7F144">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眼睛接触：提起眼睑，用流动清水或生理盐水冲洗。</w:t>
                  </w:r>
                </w:p>
                <w:p w14:paraId="261F955F">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吸入：迅速脱离现场至空气新鲜处。保持呼吸道通畅。如呼吸困难，给输氧。如呼吸停止，立即进行人工呼吸。就医。</w:t>
                  </w:r>
                </w:p>
              </w:tc>
            </w:tr>
            <w:tr w14:paraId="3FDC9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tcBorders>
                    <w:tl2br w:val="nil"/>
                    <w:tr2bl w:val="nil"/>
                  </w:tcBorders>
                  <w:vAlign w:val="center"/>
                </w:tcPr>
                <w:p w14:paraId="613F292E">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防</w:t>
                  </w:r>
                </w:p>
                <w:p w14:paraId="4F1BB36F">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护</w:t>
                  </w:r>
                </w:p>
              </w:tc>
              <w:tc>
                <w:tcPr>
                  <w:tcW w:w="4761" w:type="pct"/>
                  <w:gridSpan w:val="4"/>
                  <w:tcBorders>
                    <w:tl2br w:val="nil"/>
                    <w:tr2bl w:val="nil"/>
                  </w:tcBorders>
                  <w:vAlign w:val="center"/>
                </w:tcPr>
                <w:p w14:paraId="74BF8E79">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呼吸系统防护：空气中浓度超标时，佩戴自吸过滤式防毒面具</w:t>
                  </w:r>
                  <w:r>
                    <w:rPr>
                      <w:rFonts w:hint="eastAsia"/>
                      <w:color w:val="auto"/>
                      <w:highlight w:val="none"/>
                    </w:rPr>
                    <w:t>(</w:t>
                  </w:r>
                  <w:r>
                    <w:rPr>
                      <w:color w:val="auto"/>
                      <w:highlight w:val="none"/>
                    </w:rPr>
                    <w:t>全面罩</w:t>
                  </w:r>
                  <w:r>
                    <w:rPr>
                      <w:rFonts w:hint="eastAsia"/>
                      <w:color w:val="auto"/>
                      <w:highlight w:val="none"/>
                    </w:rPr>
                    <w:t>)</w:t>
                  </w:r>
                  <w:r>
                    <w:rPr>
                      <w:color w:val="auto"/>
                      <w:highlight w:val="none"/>
                    </w:rPr>
                    <w:t>。紧急事态抢救或撤离时，建议佩戴自给正压式呼吸器。</w:t>
                  </w:r>
                </w:p>
                <w:p w14:paraId="73C9C066">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眼睛防护：呼吸系统防护中已</w:t>
                  </w:r>
                  <w:r>
                    <w:rPr>
                      <w:rFonts w:hint="eastAsia"/>
                      <w:color w:val="auto"/>
                      <w:highlight w:val="none"/>
                    </w:rPr>
                    <w:t>做</w:t>
                  </w:r>
                  <w:r>
                    <w:rPr>
                      <w:color w:val="auto"/>
                      <w:highlight w:val="none"/>
                    </w:rPr>
                    <w:t>防护。身体防护：穿聚乙烯防毒服。</w:t>
                  </w:r>
                </w:p>
                <w:p w14:paraId="1DE7006B">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手防护：戴橡胶手套。</w:t>
                  </w:r>
                </w:p>
                <w:p w14:paraId="4207C9FC">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其它：工作现场禁止吸烟、进食和饮水。工作毕，淋浴更衣。保持良好的卫生习惯。</w:t>
                  </w:r>
                </w:p>
              </w:tc>
            </w:tr>
            <w:tr w14:paraId="60A05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2138" w:hRule="atLeast"/>
                <w:jc w:val="center"/>
              </w:trPr>
              <w:tc>
                <w:tcPr>
                  <w:tcW w:w="238" w:type="pct"/>
                  <w:tcBorders>
                    <w:tl2br w:val="nil"/>
                    <w:tr2bl w:val="nil"/>
                  </w:tcBorders>
                  <w:vAlign w:val="center"/>
                </w:tcPr>
                <w:p w14:paraId="0D6B6BDB">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泄</w:t>
                  </w:r>
                </w:p>
                <w:p w14:paraId="6D15763D">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漏</w:t>
                  </w:r>
                </w:p>
                <w:p w14:paraId="6B65FF83">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处</w:t>
                  </w:r>
                </w:p>
                <w:p w14:paraId="43084072">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理</w:t>
                  </w:r>
                </w:p>
              </w:tc>
              <w:tc>
                <w:tcPr>
                  <w:tcW w:w="4761" w:type="pct"/>
                  <w:gridSpan w:val="4"/>
                  <w:tcBorders>
                    <w:tl2br w:val="nil"/>
                    <w:tr2bl w:val="nil"/>
                  </w:tcBorders>
                  <w:vAlign w:val="center"/>
                </w:tcPr>
                <w:p w14:paraId="689A74E0">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auto"/>
                      <w:highlight w:val="none"/>
                      <w:lang w:eastAsia="zh-CN"/>
                    </w:rPr>
                  </w:pPr>
                  <w:r>
                    <w:rPr>
                      <w:color w:val="auto"/>
                      <w:highlight w:val="none"/>
                    </w:rPr>
                    <w:t>迅速撤离泄漏污染区人员至上风处，并立即进行隔离</w:t>
                  </w:r>
                  <w:r>
                    <w:rPr>
                      <w:rFonts w:hint="eastAsia"/>
                      <w:color w:val="auto"/>
                      <w:highlight w:val="none"/>
                      <w:lang w:eastAsia="zh-CN"/>
                    </w:rPr>
                    <w:t>。</w:t>
                  </w:r>
                </w:p>
                <w:p w14:paraId="2E9D38FF">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小泄漏时隔离</w:t>
                  </w:r>
                  <w:r>
                    <w:rPr>
                      <w:rFonts w:hint="eastAsia"/>
                      <w:color w:val="auto"/>
                      <w:highlight w:val="none"/>
                    </w:rPr>
                    <w:t>150</w:t>
                  </w:r>
                  <w:r>
                    <w:rPr>
                      <w:color w:val="auto"/>
                      <w:highlight w:val="none"/>
                    </w:rPr>
                    <w:t>米，大泄漏时隔离</w:t>
                  </w:r>
                  <w:r>
                    <w:rPr>
                      <w:rFonts w:hint="eastAsia"/>
                      <w:color w:val="auto"/>
                      <w:highlight w:val="none"/>
                    </w:rPr>
                    <w:t>450</w:t>
                  </w:r>
                  <w:r>
                    <w:rPr>
                      <w:color w:val="auto"/>
                      <w:highlight w:val="none"/>
                    </w:rPr>
                    <w:t>米，严格限制出入。切断火源。建议应急处理人员戴自给正压式呼吸器，穿防毒服。从上风处进入现场。尽可能切断泄漏源。用工业覆盖层或吸附</w:t>
                  </w:r>
                  <w:r>
                    <w:rPr>
                      <w:rFonts w:hint="eastAsia"/>
                      <w:color w:val="auto"/>
                      <w:highlight w:val="none"/>
                    </w:rPr>
                    <w:t>/</w:t>
                  </w:r>
                  <w:r>
                    <w:rPr>
                      <w:color w:val="auto"/>
                      <w:highlight w:val="none"/>
                    </w:rPr>
                    <w:t>吸收剂盖住泄漏点附近的下水道等地方，防止气体进入。合理通风，加速扩散。喷雾状水稀释、溶解。构筑围堤或挖坑收容产生的大量废水。如有可能，用一捉捕器使气体通过次氯酸钠溶液。漏气容器要妥善处理，修复、检验后再用。</w:t>
                  </w:r>
                </w:p>
              </w:tc>
            </w:tr>
            <w:tr w14:paraId="4A97D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97" w:hRule="atLeast"/>
                <w:jc w:val="center"/>
              </w:trPr>
              <w:tc>
                <w:tcPr>
                  <w:tcW w:w="238" w:type="pct"/>
                  <w:tcBorders>
                    <w:tl2br w:val="nil"/>
                    <w:tr2bl w:val="nil"/>
                  </w:tcBorders>
                  <w:vAlign w:val="center"/>
                </w:tcPr>
                <w:p w14:paraId="016269B3">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贮</w:t>
                  </w:r>
                </w:p>
                <w:p w14:paraId="377DAA3B">
                  <w:pPr>
                    <w:pStyle w:val="127"/>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r>
                    <w:rPr>
                      <w:color w:val="auto"/>
                      <w:highlight w:val="none"/>
                    </w:rPr>
                    <w:t>运</w:t>
                  </w:r>
                </w:p>
              </w:tc>
              <w:tc>
                <w:tcPr>
                  <w:tcW w:w="4761" w:type="pct"/>
                  <w:gridSpan w:val="4"/>
                  <w:tcBorders>
                    <w:tl2br w:val="nil"/>
                    <w:tr2bl w:val="nil"/>
                  </w:tcBorders>
                  <w:vAlign w:val="center"/>
                </w:tcPr>
                <w:p w14:paraId="6AF867BC">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储运条件：储存于阴凉、通风的库房。远离火种、热源。库温不宜超过30℃。应与易（可）燃物、氧化剂、还原剂、食用化学品分开存放，切忌混储。储区应备有泄漏应急处理设备。</w:t>
                  </w:r>
                </w:p>
                <w:p w14:paraId="56B0757B">
                  <w:pPr>
                    <w:pStyle w:val="127"/>
                    <w:keepNext w:val="0"/>
                    <w:keepLines w:val="0"/>
                    <w:pageBreakBefore w:val="0"/>
                    <w:widowControl/>
                    <w:kinsoku/>
                    <w:wordWrap/>
                    <w:overflowPunct/>
                    <w:topLinePunct w:val="0"/>
                    <w:autoSpaceDE/>
                    <w:autoSpaceDN/>
                    <w:bidi w:val="0"/>
                    <w:adjustRightInd/>
                    <w:snapToGrid/>
                    <w:spacing w:line="320" w:lineRule="exact"/>
                    <w:jc w:val="both"/>
                    <w:textAlignment w:val="auto"/>
                    <w:rPr>
                      <w:color w:val="auto"/>
                      <w:highlight w:val="none"/>
                    </w:rPr>
                  </w:pPr>
                  <w:r>
                    <w:rPr>
                      <w:color w:val="auto"/>
                      <w:highlight w:val="none"/>
                    </w:rPr>
                    <w:t>本品铁路运输时限使用耐压液化气企业自备罐车装运，装运前需报有关部门批准。铁路运输时应严格按照铁道部《危险货物运输规则》中的危险货物配装表进行配装。采用</w:t>
                  </w:r>
                  <w:r>
                    <w:rPr>
                      <w:rFonts w:hint="eastAsia"/>
                      <w:color w:val="auto"/>
                      <w:highlight w:val="none"/>
                    </w:rPr>
                    <w:t>钢瓶</w:t>
                  </w:r>
                  <w:r>
                    <w:rPr>
                      <w:color w:val="auto"/>
                      <w:highlight w:val="none"/>
                    </w:rPr>
                    <w:t>运输时必须戴好钢瓶上的安全帽。钢瓶一般平放，并应将瓶口朝同一方向，不可交叉；高度不得超过车辆的防护栏板，并用三角木垫卡牢，防止滚动。严禁与易燃物或可燃物、氧化剂、还原剂、食用化学品等混装混运。夏季应早晚运输，防止日光</w:t>
                  </w:r>
                  <w:r>
                    <w:rPr>
                      <w:rFonts w:hint="eastAsia"/>
                      <w:color w:val="auto"/>
                      <w:highlight w:val="none"/>
                    </w:rPr>
                    <w:t>暴晒</w:t>
                  </w:r>
                  <w:r>
                    <w:rPr>
                      <w:color w:val="auto"/>
                      <w:highlight w:val="none"/>
                    </w:rPr>
                    <w:t>。公路运输时要按规定路线行驶，禁止在居民区和人口稠密区停留。铁路运输时要禁止溜放。</w:t>
                  </w:r>
                </w:p>
              </w:tc>
            </w:tr>
          </w:tbl>
          <w:p w14:paraId="5D5C5CCC">
            <w:pPr>
              <w:pStyle w:val="25"/>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center"/>
              <w:textAlignment w:val="auto"/>
              <w:rPr>
                <w:b/>
                <w:bCs/>
                <w:color w:val="auto"/>
                <w:highlight w:val="none"/>
              </w:rPr>
            </w:pPr>
            <w:r>
              <w:rPr>
                <w:rFonts w:hint="eastAsia"/>
                <w:b/>
                <w:bCs/>
                <w:color w:val="auto"/>
                <w:highlight w:val="none"/>
              </w:rPr>
              <w:t>4-</w:t>
            </w:r>
            <w:r>
              <w:rPr>
                <w:rFonts w:hint="eastAsia"/>
                <w:b/>
                <w:bCs/>
                <w:color w:val="auto"/>
                <w:highlight w:val="none"/>
                <w:lang w:val="en-US" w:eastAsia="zh-CN"/>
              </w:rPr>
              <w:t xml:space="preserve">36  </w:t>
            </w:r>
            <w:r>
              <w:rPr>
                <w:rFonts w:hint="eastAsia"/>
                <w:b/>
                <w:bCs/>
                <w:color w:val="auto"/>
                <w:highlight w:val="none"/>
              </w:rPr>
              <w:t>冰醋酸理化性质及危险性质一览表</w:t>
            </w:r>
          </w:p>
          <w:tbl>
            <w:tblPr>
              <w:tblStyle w:val="26"/>
              <w:tblW w:w="86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03"/>
              <w:gridCol w:w="7994"/>
            </w:tblGrid>
            <w:tr w14:paraId="70E1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404" w:type="pct"/>
                  <w:tcBorders>
                    <w:tl2br w:val="nil"/>
                    <w:tr2bl w:val="nil"/>
                  </w:tcBorders>
                  <w:shd w:val="clear" w:color="auto" w:fill="auto"/>
                  <w:tcMar>
                    <w:top w:w="96" w:type="dxa"/>
                    <w:left w:w="96" w:type="dxa"/>
                    <w:bottom w:w="96" w:type="dxa"/>
                    <w:right w:w="96" w:type="dxa"/>
                  </w:tcMar>
                  <w:vAlign w:val="center"/>
                </w:tcPr>
                <w:p w14:paraId="3B60E10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标识</w:t>
                  </w:r>
                </w:p>
              </w:tc>
              <w:tc>
                <w:tcPr>
                  <w:tcW w:w="4595" w:type="pct"/>
                  <w:tcBorders>
                    <w:tl2br w:val="nil"/>
                    <w:tr2bl w:val="nil"/>
                  </w:tcBorders>
                  <w:shd w:val="clear" w:color="auto" w:fill="auto"/>
                  <w:tcMar>
                    <w:top w:w="96" w:type="dxa"/>
                    <w:left w:w="96" w:type="dxa"/>
                    <w:bottom w:w="96" w:type="dxa"/>
                    <w:right w:w="96" w:type="dxa"/>
                  </w:tcMar>
                  <w:vAlign w:val="center"/>
                </w:tcPr>
                <w:p w14:paraId="4763C226">
                  <w:pPr>
                    <w:keepNext w:val="0"/>
                    <w:keepLines w:val="0"/>
                    <w:pageBreakBefore w:val="0"/>
                    <w:widowControl/>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中文名称：冰醋酸、冰乙酸</w:t>
                  </w:r>
                  <w:r>
                    <w:rPr>
                      <w:rFonts w:hint="eastAsia" w:cs="Times New Roman"/>
                      <w:snapToGrid w:val="0"/>
                      <w:color w:val="auto"/>
                      <w:kern w:val="0"/>
                      <w:sz w:val="21"/>
                      <w:szCs w:val="21"/>
                      <w:highlight w:val="none"/>
                      <w:lang w:val="en-US" w:eastAsia="zh-CN"/>
                    </w:rPr>
                    <w:t xml:space="preserve">       </w:t>
                  </w:r>
                  <w:r>
                    <w:rPr>
                      <w:rFonts w:hint="default" w:ascii="Times New Roman" w:hAnsi="Times New Roman" w:eastAsia="宋体" w:cs="Times New Roman"/>
                      <w:snapToGrid w:val="0"/>
                      <w:color w:val="auto"/>
                      <w:kern w:val="0"/>
                      <w:sz w:val="21"/>
                      <w:szCs w:val="21"/>
                      <w:highlight w:val="none"/>
                    </w:rPr>
                    <w:t>英文名称：Aceticacid,glacial</w:t>
                  </w:r>
                </w:p>
                <w:p w14:paraId="4E23B930">
                  <w:pPr>
                    <w:keepNext w:val="0"/>
                    <w:keepLines w:val="0"/>
                    <w:pageBreakBefore w:val="0"/>
                    <w:widowControl/>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分子式：CH₃COOH分子量：60.05</w:t>
                  </w:r>
                </w:p>
                <w:p w14:paraId="34C1989B">
                  <w:pPr>
                    <w:keepNext w:val="0"/>
                    <w:keepLines w:val="0"/>
                    <w:pageBreakBefore w:val="0"/>
                    <w:widowControl/>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CAS号：64-19-7</w:t>
                  </w:r>
                </w:p>
                <w:p w14:paraId="0EA5274E">
                  <w:pPr>
                    <w:keepNext w:val="0"/>
                    <w:keepLines w:val="0"/>
                    <w:pageBreakBefore w:val="0"/>
                    <w:widowControl/>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危险性类别：第8.1类酸性腐蚀品</w:t>
                  </w:r>
                </w:p>
              </w:tc>
            </w:tr>
            <w:tr w14:paraId="271CD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404" w:type="pct"/>
                  <w:tcBorders>
                    <w:tl2br w:val="nil"/>
                    <w:tr2bl w:val="nil"/>
                  </w:tcBorders>
                  <w:shd w:val="clear" w:color="auto" w:fill="auto"/>
                  <w:tcMar>
                    <w:top w:w="96" w:type="dxa"/>
                    <w:left w:w="96" w:type="dxa"/>
                    <w:bottom w:w="96" w:type="dxa"/>
                    <w:right w:w="96" w:type="dxa"/>
                  </w:tcMar>
                  <w:vAlign w:val="center"/>
                </w:tcPr>
                <w:p w14:paraId="182233E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理化性质</w:t>
                  </w:r>
                </w:p>
              </w:tc>
              <w:tc>
                <w:tcPr>
                  <w:tcW w:w="4595" w:type="pct"/>
                  <w:tcBorders>
                    <w:tl2br w:val="nil"/>
                    <w:tr2bl w:val="nil"/>
                  </w:tcBorders>
                  <w:shd w:val="clear" w:color="auto" w:fill="auto"/>
                  <w:tcMar>
                    <w:top w:w="96" w:type="dxa"/>
                    <w:left w:w="96" w:type="dxa"/>
                    <w:bottom w:w="96" w:type="dxa"/>
                    <w:right w:w="96" w:type="dxa"/>
                  </w:tcMar>
                  <w:vAlign w:val="center"/>
                </w:tcPr>
                <w:p w14:paraId="5AAE9663">
                  <w:pPr>
                    <w:keepNext w:val="0"/>
                    <w:keepLines w:val="0"/>
                    <w:pageBreakBefore w:val="0"/>
                    <w:widowControl/>
                    <w:numPr>
                      <w:ilvl w:val="0"/>
                      <w:numId w:val="0"/>
                    </w:numPr>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bidi="ar-SA"/>
                    </w:rPr>
                    <w:t>1.</w:t>
                  </w:r>
                  <w:r>
                    <w:rPr>
                      <w:rFonts w:hint="default" w:ascii="Times New Roman" w:hAnsi="Times New Roman" w:eastAsia="宋体" w:cs="Times New Roman"/>
                      <w:snapToGrid w:val="0"/>
                      <w:color w:val="auto"/>
                      <w:kern w:val="0"/>
                      <w:sz w:val="21"/>
                      <w:szCs w:val="21"/>
                      <w:highlight w:val="none"/>
                    </w:rPr>
                    <w:t>外观：无色透明液体，低温（≤16.6℃）下结成冰状固体</w:t>
                  </w:r>
                </w:p>
                <w:p w14:paraId="6F7C22B3">
                  <w:pPr>
                    <w:keepNext w:val="0"/>
                    <w:keepLines w:val="0"/>
                    <w:pageBreakBefore w:val="0"/>
                    <w:widowControl/>
                    <w:numPr>
                      <w:ilvl w:val="0"/>
                      <w:numId w:val="0"/>
                    </w:numPr>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bidi="ar-SA"/>
                    </w:rPr>
                    <w:t>2.</w:t>
                  </w:r>
                  <w:r>
                    <w:rPr>
                      <w:rFonts w:hint="default" w:ascii="Times New Roman" w:hAnsi="Times New Roman" w:eastAsia="宋体" w:cs="Times New Roman"/>
                      <w:snapToGrid w:val="0"/>
                      <w:color w:val="auto"/>
                      <w:kern w:val="0"/>
                      <w:sz w:val="21"/>
                      <w:szCs w:val="21"/>
                      <w:highlight w:val="none"/>
                    </w:rPr>
                    <w:t>气味：强烈刺激性酸味</w:t>
                  </w:r>
                </w:p>
                <w:p w14:paraId="3B2DCF15">
                  <w:pPr>
                    <w:keepNext w:val="0"/>
                    <w:keepLines w:val="0"/>
                    <w:pageBreakBefore w:val="0"/>
                    <w:widowControl/>
                    <w:numPr>
                      <w:ilvl w:val="0"/>
                      <w:numId w:val="0"/>
                    </w:numPr>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bidi="ar-SA"/>
                    </w:rPr>
                    <w:t>3.</w:t>
                  </w:r>
                  <w:r>
                    <w:rPr>
                      <w:rFonts w:hint="default" w:ascii="Times New Roman" w:hAnsi="Times New Roman" w:eastAsia="宋体" w:cs="Times New Roman"/>
                      <w:snapToGrid w:val="0"/>
                      <w:color w:val="auto"/>
                      <w:kern w:val="0"/>
                      <w:sz w:val="21"/>
                      <w:szCs w:val="21"/>
                      <w:highlight w:val="none"/>
                    </w:rPr>
                    <w:t>熔点：16.6℃；沸点：117.9℃</w:t>
                  </w:r>
                </w:p>
                <w:p w14:paraId="348EC9A1">
                  <w:pPr>
                    <w:keepNext w:val="0"/>
                    <w:keepLines w:val="0"/>
                    <w:pageBreakBefore w:val="0"/>
                    <w:widowControl/>
                    <w:numPr>
                      <w:ilvl w:val="0"/>
                      <w:numId w:val="0"/>
                    </w:numPr>
                    <w:kinsoku/>
                    <w:wordWrap/>
                    <w:overflowPunct/>
                    <w:topLinePunct w:val="0"/>
                    <w:autoSpaceDE/>
                    <w:autoSpaceDN/>
                    <w:bidi w:val="0"/>
                    <w:adjustRightInd/>
                    <w:snapToGrid/>
                    <w:spacing w:line="300" w:lineRule="exact"/>
                    <w:ind w:leftChars="0"/>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4.相对密度（水=1）：1.0</w:t>
                  </w:r>
                </w:p>
                <w:p w14:paraId="38A46BFE">
                  <w:pPr>
                    <w:keepNext w:val="0"/>
                    <w:keepLines w:val="0"/>
                    <w:pageBreakBefore w:val="0"/>
                    <w:widowControl/>
                    <w:numPr>
                      <w:ilvl w:val="0"/>
                      <w:numId w:val="0"/>
                    </w:numPr>
                    <w:kinsoku/>
                    <w:wordWrap/>
                    <w:overflowPunct/>
                    <w:topLinePunct w:val="0"/>
                    <w:autoSpaceDE/>
                    <w:autoSpaceDN/>
                    <w:bidi w:val="0"/>
                    <w:adjustRightInd/>
                    <w:snapToGrid/>
                    <w:spacing w:line="300" w:lineRule="exact"/>
                    <w:ind w:leftChars="0"/>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5</w:t>
                  </w:r>
                  <w:r>
                    <w:rPr>
                      <w:rFonts w:hint="default" w:ascii="Times New Roman" w:hAnsi="Times New Roman" w:eastAsia="宋体" w:cs="Times New Roman"/>
                      <w:snapToGrid w:val="0"/>
                      <w:color w:val="auto"/>
                      <w:kern w:val="0"/>
                      <w:sz w:val="21"/>
                      <w:szCs w:val="21"/>
                      <w:highlight w:val="none"/>
                      <w:lang w:eastAsia="zh-CN"/>
                    </w:rPr>
                    <w:t>.</w:t>
                  </w:r>
                  <w:r>
                    <w:rPr>
                      <w:rFonts w:hint="default" w:ascii="Times New Roman" w:hAnsi="Times New Roman" w:eastAsia="宋体" w:cs="Times New Roman"/>
                      <w:snapToGrid w:val="0"/>
                      <w:color w:val="auto"/>
                      <w:kern w:val="0"/>
                      <w:sz w:val="21"/>
                      <w:szCs w:val="21"/>
                      <w:highlight w:val="none"/>
                    </w:rPr>
                    <w:t>相对蒸气密度（空气=1）：2.075.饱和蒸气压：1.52kPa（20℃）</w:t>
                  </w:r>
                </w:p>
                <w:p w14:paraId="4215D6A5">
                  <w:pPr>
                    <w:keepNext w:val="0"/>
                    <w:keepLines w:val="0"/>
                    <w:pageBreakBefore w:val="0"/>
                    <w:widowControl/>
                    <w:numPr>
                      <w:ilvl w:val="0"/>
                      <w:numId w:val="0"/>
                    </w:numPr>
                    <w:kinsoku/>
                    <w:wordWrap/>
                    <w:overflowPunct/>
                    <w:topLinePunct w:val="0"/>
                    <w:autoSpaceDE/>
                    <w:autoSpaceDN/>
                    <w:bidi w:val="0"/>
                    <w:adjustRightInd/>
                    <w:snapToGrid/>
                    <w:spacing w:line="300" w:lineRule="exact"/>
                    <w:ind w:leftChars="0"/>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6.溶解性：与水、乙醇、乙醚、甘油任意混溶</w:t>
                  </w:r>
                </w:p>
                <w:p w14:paraId="3310F56C">
                  <w:pPr>
                    <w:keepNext w:val="0"/>
                    <w:keepLines w:val="0"/>
                    <w:pageBreakBefore w:val="0"/>
                    <w:widowControl/>
                    <w:numPr>
                      <w:ilvl w:val="0"/>
                      <w:numId w:val="0"/>
                    </w:numPr>
                    <w:kinsoku/>
                    <w:wordWrap/>
                    <w:overflowPunct/>
                    <w:topLinePunct w:val="0"/>
                    <w:autoSpaceDE/>
                    <w:autoSpaceDN/>
                    <w:bidi w:val="0"/>
                    <w:adjustRightInd/>
                    <w:snapToGrid/>
                    <w:spacing w:line="300" w:lineRule="exact"/>
                    <w:ind w:leftChars="0"/>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7.折射率：1.3718；闪点：39℃（闭杯）</w:t>
                  </w:r>
                </w:p>
                <w:p w14:paraId="732D2CCE">
                  <w:pPr>
                    <w:keepNext w:val="0"/>
                    <w:keepLines w:val="0"/>
                    <w:pageBreakBefore w:val="0"/>
                    <w:widowControl/>
                    <w:numPr>
                      <w:ilvl w:val="0"/>
                      <w:numId w:val="0"/>
                    </w:numPr>
                    <w:kinsoku/>
                    <w:wordWrap/>
                    <w:overflowPunct/>
                    <w:topLinePunct w:val="0"/>
                    <w:autoSpaceDE/>
                    <w:autoSpaceDN/>
                    <w:bidi w:val="0"/>
                    <w:adjustRightInd/>
                    <w:snapToGrid/>
                    <w:spacing w:line="300" w:lineRule="exact"/>
                    <w:ind w:leftChars="0"/>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8.凝固点16.6℃，纯品低温易结晶</w:t>
                  </w:r>
                </w:p>
              </w:tc>
            </w:tr>
            <w:tr w14:paraId="072C1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404" w:type="pct"/>
                  <w:tcBorders>
                    <w:tl2br w:val="nil"/>
                    <w:tr2bl w:val="nil"/>
                  </w:tcBorders>
                  <w:shd w:val="clear" w:color="auto" w:fill="auto"/>
                  <w:tcMar>
                    <w:top w:w="96" w:type="dxa"/>
                    <w:left w:w="96" w:type="dxa"/>
                    <w:bottom w:w="96" w:type="dxa"/>
                    <w:right w:w="96" w:type="dxa"/>
                  </w:tcMar>
                  <w:vAlign w:val="center"/>
                </w:tcPr>
                <w:p w14:paraId="1811CB8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燃烧爆炸危险性</w:t>
                  </w:r>
                </w:p>
              </w:tc>
              <w:tc>
                <w:tcPr>
                  <w:tcW w:w="4595" w:type="pct"/>
                  <w:tcBorders>
                    <w:tl2br w:val="nil"/>
                    <w:tr2bl w:val="nil"/>
                  </w:tcBorders>
                  <w:shd w:val="clear" w:color="auto" w:fill="auto"/>
                  <w:tcMar>
                    <w:top w:w="96" w:type="dxa"/>
                    <w:left w:w="96" w:type="dxa"/>
                    <w:bottom w:w="96" w:type="dxa"/>
                    <w:right w:w="96" w:type="dxa"/>
                  </w:tcMar>
                  <w:vAlign w:val="center"/>
                </w:tcPr>
                <w:p w14:paraId="1F246A6B">
                  <w:pPr>
                    <w:keepNext w:val="0"/>
                    <w:keepLines w:val="0"/>
                    <w:pageBreakBefore w:val="0"/>
                    <w:widowControl/>
                    <w:numPr>
                      <w:ilvl w:val="0"/>
                      <w:numId w:val="0"/>
                    </w:numPr>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bidi="ar-SA"/>
                    </w:rPr>
                    <w:t>1.</w:t>
                  </w:r>
                  <w:r>
                    <w:rPr>
                      <w:rFonts w:hint="default" w:ascii="Times New Roman" w:hAnsi="Times New Roman" w:eastAsia="宋体" w:cs="Times New Roman"/>
                      <w:snapToGrid w:val="0"/>
                      <w:color w:val="auto"/>
                      <w:kern w:val="0"/>
                      <w:sz w:val="21"/>
                      <w:szCs w:val="21"/>
                      <w:highlight w:val="none"/>
                    </w:rPr>
                    <w:t>燃烧性：易燃液体，蒸气可形成爆炸性混合气体</w:t>
                  </w:r>
                </w:p>
                <w:p w14:paraId="6917CFCD">
                  <w:pPr>
                    <w:keepNext w:val="0"/>
                    <w:keepLines w:val="0"/>
                    <w:pageBreakBefore w:val="0"/>
                    <w:widowControl/>
                    <w:numPr>
                      <w:ilvl w:val="0"/>
                      <w:numId w:val="0"/>
                    </w:numPr>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2.闪点：39℃；爆炸极限（体积分数）：5.4%～16.0%</w:t>
                  </w:r>
                </w:p>
                <w:p w14:paraId="6F82BFA2">
                  <w:pPr>
                    <w:keepNext w:val="0"/>
                    <w:keepLines w:val="0"/>
                    <w:pageBreakBefore w:val="0"/>
                    <w:widowControl/>
                    <w:numPr>
                      <w:ilvl w:val="0"/>
                      <w:numId w:val="0"/>
                    </w:numPr>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3.自燃温度：427℃</w:t>
                  </w:r>
                </w:p>
                <w:p w14:paraId="36875F91">
                  <w:pPr>
                    <w:keepNext w:val="0"/>
                    <w:keepLines w:val="0"/>
                    <w:pageBreakBefore w:val="0"/>
                    <w:widowControl/>
                    <w:numPr>
                      <w:ilvl w:val="0"/>
                      <w:numId w:val="0"/>
                    </w:numPr>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4.危险特性：蒸气比空气重，能在低处扩散至远处火源，回燃；遇强氧化剂、强碱剧烈反应；与金属反应释放氢气，有爆炸风险；高温分解产生刺激性烟气</w:t>
                  </w:r>
                </w:p>
                <w:p w14:paraId="617112C9">
                  <w:pPr>
                    <w:keepNext w:val="0"/>
                    <w:keepLines w:val="0"/>
                    <w:pageBreakBefore w:val="0"/>
                    <w:widowControl/>
                    <w:numPr>
                      <w:ilvl w:val="0"/>
                      <w:numId w:val="0"/>
                    </w:numPr>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5.灭火介质：雾状水、抗溶性泡沫、干粉、二氧化碳</w:t>
                  </w:r>
                </w:p>
                <w:p w14:paraId="7DBAED3C">
                  <w:pPr>
                    <w:keepNext w:val="0"/>
                    <w:keepLines w:val="0"/>
                    <w:pageBreakBefore w:val="0"/>
                    <w:widowControl/>
                    <w:numPr>
                      <w:ilvl w:val="0"/>
                      <w:numId w:val="0"/>
                    </w:numPr>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6.禁忌灭火剂：直流水冲击（易造成液体流淌扩散火情）</w:t>
                  </w:r>
                </w:p>
              </w:tc>
            </w:tr>
            <w:tr w14:paraId="4E07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397" w:hRule="atLeast"/>
                <w:jc w:val="center"/>
              </w:trPr>
              <w:tc>
                <w:tcPr>
                  <w:tcW w:w="404" w:type="pct"/>
                  <w:tcBorders>
                    <w:tl2br w:val="nil"/>
                    <w:tr2bl w:val="nil"/>
                  </w:tcBorders>
                  <w:shd w:val="clear" w:color="auto" w:fill="auto"/>
                  <w:tcMar>
                    <w:top w:w="96" w:type="dxa"/>
                    <w:left w:w="96" w:type="dxa"/>
                    <w:bottom w:w="96" w:type="dxa"/>
                    <w:right w:w="96" w:type="dxa"/>
                  </w:tcMar>
                  <w:vAlign w:val="center"/>
                </w:tcPr>
                <w:p w14:paraId="409AF6D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毒性</w:t>
                  </w:r>
                </w:p>
              </w:tc>
              <w:tc>
                <w:tcPr>
                  <w:tcW w:w="4595" w:type="pct"/>
                  <w:tcBorders>
                    <w:tl2br w:val="nil"/>
                    <w:tr2bl w:val="nil"/>
                  </w:tcBorders>
                  <w:shd w:val="clear" w:color="auto" w:fill="auto"/>
                  <w:tcMar>
                    <w:top w:w="96" w:type="dxa"/>
                    <w:left w:w="96" w:type="dxa"/>
                    <w:bottom w:w="96" w:type="dxa"/>
                    <w:right w:w="96" w:type="dxa"/>
                  </w:tcMar>
                  <w:vAlign w:val="center"/>
                </w:tcPr>
                <w:p w14:paraId="13FC384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LD₅₀（大鼠经口）：3530mg/kg；低毒类腐蚀介质</w:t>
                  </w:r>
                </w:p>
              </w:tc>
            </w:tr>
            <w:tr w14:paraId="44B5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404" w:type="pct"/>
                  <w:tcBorders>
                    <w:tl2br w:val="nil"/>
                    <w:tr2bl w:val="nil"/>
                  </w:tcBorders>
                  <w:shd w:val="clear" w:color="auto" w:fill="auto"/>
                  <w:tcMar>
                    <w:top w:w="96" w:type="dxa"/>
                    <w:left w:w="96" w:type="dxa"/>
                    <w:bottom w:w="96" w:type="dxa"/>
                    <w:right w:w="96" w:type="dxa"/>
                  </w:tcMar>
                  <w:vAlign w:val="center"/>
                </w:tcPr>
                <w:p w14:paraId="16DEC71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对人体危害</w:t>
                  </w:r>
                </w:p>
              </w:tc>
              <w:tc>
                <w:tcPr>
                  <w:tcW w:w="4595" w:type="pct"/>
                  <w:tcBorders>
                    <w:tl2br w:val="nil"/>
                    <w:tr2bl w:val="nil"/>
                  </w:tcBorders>
                  <w:shd w:val="clear" w:color="auto" w:fill="auto"/>
                  <w:tcMar>
                    <w:top w:w="96" w:type="dxa"/>
                    <w:left w:w="96" w:type="dxa"/>
                    <w:bottom w:w="96" w:type="dxa"/>
                    <w:right w:w="96" w:type="dxa"/>
                  </w:tcMar>
                  <w:vAlign w:val="center"/>
                </w:tcPr>
                <w:p w14:paraId="7B89B4A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·皮肤：强腐蚀，接触造成红斑、水疱、深度灼伤；高浓度长期接触致皮炎</w:t>
                  </w:r>
                </w:p>
                <w:p w14:paraId="6CE4FE1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·眼睛：溅入立即剧痛、结膜充血、角膜糜烂，严重可失明</w:t>
                  </w:r>
                </w:p>
                <w:p w14:paraId="27F5208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·吸入：蒸气刺激鼻、咽喉、呼吸道，引发咳嗽、胸闷、支气管炎；高浓度吸入肺水肿</w:t>
                  </w:r>
                </w:p>
                <w:p w14:paraId="01EEE43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color w:val="auto"/>
                      <w:sz w:val="21"/>
                      <w:szCs w:val="21"/>
                      <w:highlight w:val="none"/>
                    </w:rPr>
                    <w:t>·食入：口腔、食道、胃腐蚀灼伤，恶心、呕吐、消化道穿孔</w:t>
                  </w:r>
                </w:p>
              </w:tc>
            </w:tr>
            <w:tr w14:paraId="0BEE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703" w:type="dxa"/>
                  <w:tcBorders>
                    <w:tl2br w:val="nil"/>
                    <w:tr2bl w:val="nil"/>
                  </w:tcBorders>
                  <w:shd w:val="clear" w:color="auto" w:fill="auto"/>
                  <w:tcMar>
                    <w:top w:w="96" w:type="dxa"/>
                    <w:left w:w="96" w:type="dxa"/>
                    <w:bottom w:w="96" w:type="dxa"/>
                    <w:right w:w="96" w:type="dxa"/>
                  </w:tcMar>
                  <w:vAlign w:val="center"/>
                </w:tcPr>
                <w:p w14:paraId="700AD1B9">
                  <w:pPr>
                    <w:pStyle w:val="127"/>
                    <w:keepNext w:val="0"/>
                    <w:keepLines w:val="0"/>
                    <w:pageBreakBefore w:val="0"/>
                    <w:widowControl/>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急</w:t>
                  </w:r>
                </w:p>
                <w:p w14:paraId="6A1C9FD0">
                  <w:pPr>
                    <w:pStyle w:val="127"/>
                    <w:keepNext w:val="0"/>
                    <w:keepLines w:val="0"/>
                    <w:pageBreakBefore w:val="0"/>
                    <w:widowControl/>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救</w:t>
                  </w:r>
                </w:p>
              </w:tc>
              <w:tc>
                <w:tcPr>
                  <w:tcW w:w="4595" w:type="pct"/>
                  <w:tcBorders>
                    <w:tl2br w:val="nil"/>
                    <w:tr2bl w:val="nil"/>
                  </w:tcBorders>
                  <w:shd w:val="clear" w:color="auto" w:fill="auto"/>
                  <w:tcMar>
                    <w:top w:w="96" w:type="dxa"/>
                    <w:left w:w="96" w:type="dxa"/>
                    <w:bottom w:w="96" w:type="dxa"/>
                    <w:right w:w="96" w:type="dxa"/>
                  </w:tcMar>
                  <w:vAlign w:val="center"/>
                </w:tcPr>
                <w:p w14:paraId="672BE74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·皮肤接触：立即脱去污染衣物，大量流动清水持续冲洗至少15min，就医</w:t>
                  </w:r>
                </w:p>
                <w:p w14:paraId="1A5433C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·眼睛接触：立即提起眼睑，大量流动清水/生理盐水冲洗15min以上，紧急就医</w:t>
                  </w:r>
                </w:p>
                <w:p w14:paraId="2B545BB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·吸入：迅速脱离现场至空气新鲜处，呼吸困难吸氧；呼吸停止立即心肺复苏，就医</w:t>
                  </w:r>
                </w:p>
                <w:p w14:paraId="5E4EB12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napToGrid w:val="0"/>
                      <w:color w:val="auto"/>
                      <w:kern w:val="0"/>
                      <w:sz w:val="21"/>
                      <w:szCs w:val="21"/>
                      <w:highlight w:val="none"/>
                      <w:lang w:eastAsia="zh-CN"/>
                    </w:rPr>
                  </w:pPr>
                  <w:r>
                    <w:rPr>
                      <w:rFonts w:hint="default" w:ascii="Times New Roman" w:hAnsi="Times New Roman" w:eastAsia="宋体" w:cs="Times New Roman"/>
                      <w:color w:val="auto"/>
                      <w:sz w:val="21"/>
                      <w:szCs w:val="21"/>
                      <w:highlight w:val="none"/>
                    </w:rPr>
                    <w:t>·食入：禁止催吐！饮大量温水、牛奶或蛋清稀释，严禁洗胃，立即就医</w:t>
                  </w:r>
                </w:p>
              </w:tc>
            </w:tr>
            <w:tr w14:paraId="595EA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703" w:type="dxa"/>
                  <w:tcBorders>
                    <w:tl2br w:val="nil"/>
                    <w:tr2bl w:val="nil"/>
                  </w:tcBorders>
                  <w:shd w:val="clear" w:color="auto" w:fill="auto"/>
                  <w:tcMar>
                    <w:top w:w="96" w:type="dxa"/>
                    <w:left w:w="96" w:type="dxa"/>
                    <w:bottom w:w="96" w:type="dxa"/>
                    <w:right w:w="96" w:type="dxa"/>
                  </w:tcMar>
                  <w:vAlign w:val="center"/>
                </w:tcPr>
                <w:p w14:paraId="69A5CDD0">
                  <w:pPr>
                    <w:pStyle w:val="127"/>
                    <w:keepNext w:val="0"/>
                    <w:keepLines w:val="0"/>
                    <w:pageBreakBefore w:val="0"/>
                    <w:widowControl/>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w:t>
                  </w:r>
                </w:p>
                <w:p w14:paraId="18D589F1">
                  <w:pPr>
                    <w:pStyle w:val="127"/>
                    <w:keepNext w:val="0"/>
                    <w:keepLines w:val="0"/>
                    <w:pageBreakBefore w:val="0"/>
                    <w:widowControl/>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护</w:t>
                  </w:r>
                </w:p>
              </w:tc>
              <w:tc>
                <w:tcPr>
                  <w:tcW w:w="4595" w:type="pct"/>
                  <w:tcBorders>
                    <w:tl2br w:val="nil"/>
                    <w:tr2bl w:val="nil"/>
                  </w:tcBorders>
                  <w:shd w:val="clear" w:color="auto" w:fill="auto"/>
                  <w:tcMar>
                    <w:top w:w="96" w:type="dxa"/>
                    <w:left w:w="96" w:type="dxa"/>
                    <w:bottom w:w="96" w:type="dxa"/>
                    <w:right w:w="96" w:type="dxa"/>
                  </w:tcMar>
                  <w:vAlign w:val="center"/>
                </w:tcPr>
                <w:p w14:paraId="5319B32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·呼吸系统：密闭操作，局部排风；高浓度环境佩戴自吸过滤式防毒面具（半面罩）</w:t>
                  </w:r>
                </w:p>
                <w:p w14:paraId="1BFB89E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·眼部防护：戴化学安全防护眼镜</w:t>
                  </w:r>
                </w:p>
                <w:p w14:paraId="1BE66AD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·身体防护：耐酸碱防腐工作服</w:t>
                  </w:r>
                </w:p>
                <w:p w14:paraId="719D809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·手部防护：橡胶耐酸碱手套</w:t>
                  </w:r>
                </w:p>
                <w:p w14:paraId="425BDDF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color w:val="auto"/>
                      <w:sz w:val="21"/>
                      <w:szCs w:val="21"/>
                      <w:highlight w:val="none"/>
                    </w:rPr>
                    <w:t>·其他：现场设置洗眼器、紧急喷淋；严禁饮食、吸烟；操作后彻底清洗|</w:t>
                  </w:r>
                </w:p>
              </w:tc>
            </w:tr>
            <w:tr w14:paraId="3A30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703" w:type="dxa"/>
                  <w:tcBorders>
                    <w:tl2br w:val="nil"/>
                    <w:tr2bl w:val="nil"/>
                  </w:tcBorders>
                  <w:shd w:val="clear" w:color="auto" w:fill="auto"/>
                  <w:tcMar>
                    <w:top w:w="96" w:type="dxa"/>
                    <w:left w:w="96" w:type="dxa"/>
                    <w:bottom w:w="96" w:type="dxa"/>
                    <w:right w:w="96" w:type="dxa"/>
                  </w:tcMar>
                  <w:vAlign w:val="center"/>
                </w:tcPr>
                <w:p w14:paraId="1F635B04">
                  <w:pPr>
                    <w:pStyle w:val="127"/>
                    <w:keepNext w:val="0"/>
                    <w:keepLines w:val="0"/>
                    <w:pageBreakBefore w:val="0"/>
                    <w:widowControl/>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泄</w:t>
                  </w:r>
                </w:p>
                <w:p w14:paraId="41A76811">
                  <w:pPr>
                    <w:pStyle w:val="127"/>
                    <w:keepNext w:val="0"/>
                    <w:keepLines w:val="0"/>
                    <w:pageBreakBefore w:val="0"/>
                    <w:widowControl/>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漏</w:t>
                  </w:r>
                </w:p>
                <w:p w14:paraId="4E50362E">
                  <w:pPr>
                    <w:pStyle w:val="127"/>
                    <w:keepNext w:val="0"/>
                    <w:keepLines w:val="0"/>
                    <w:pageBreakBefore w:val="0"/>
                    <w:widowControl/>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处</w:t>
                  </w:r>
                </w:p>
                <w:p w14:paraId="763B7307">
                  <w:pPr>
                    <w:pStyle w:val="127"/>
                    <w:keepNext w:val="0"/>
                    <w:keepLines w:val="0"/>
                    <w:pageBreakBefore w:val="0"/>
                    <w:widowControl/>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理</w:t>
                  </w:r>
                </w:p>
              </w:tc>
              <w:tc>
                <w:tcPr>
                  <w:tcW w:w="4595" w:type="pct"/>
                  <w:tcBorders>
                    <w:tl2br w:val="nil"/>
                    <w:tr2bl w:val="nil"/>
                  </w:tcBorders>
                  <w:shd w:val="clear" w:color="auto" w:fill="auto"/>
                  <w:tcMar>
                    <w:top w:w="96" w:type="dxa"/>
                    <w:left w:w="96" w:type="dxa"/>
                    <w:bottom w:w="96" w:type="dxa"/>
                    <w:right w:w="96" w:type="dxa"/>
                  </w:tcMar>
                  <w:vAlign w:val="center"/>
                </w:tcPr>
                <w:p w14:paraId="61B8B81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·小量泄漏：砂土、蛭石吸附吸收，收集至密闭耐腐蚀容器，禁止直接冲入下水道</w:t>
                  </w:r>
                </w:p>
                <w:p w14:paraId="067B67E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·大量泄漏：构筑围堤、挖坑收容；用耐酸泵转移至槽车；用石灰、苏打水中和；隔离泄漏区，禁止无关人员进入，切断火源</w:t>
                  </w:r>
                </w:p>
                <w:p w14:paraId="474EEEE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napToGrid w:val="0"/>
                      <w:color w:val="auto"/>
                      <w:kern w:val="0"/>
                      <w:sz w:val="21"/>
                      <w:szCs w:val="21"/>
                      <w:highlight w:val="none"/>
                      <w:lang w:eastAsia="zh-CN"/>
                    </w:rPr>
                  </w:pPr>
                  <w:r>
                    <w:rPr>
                      <w:rFonts w:hint="default" w:ascii="Times New Roman" w:hAnsi="Times New Roman" w:eastAsia="宋体" w:cs="Times New Roman"/>
                      <w:color w:val="auto"/>
                      <w:sz w:val="21"/>
                      <w:szCs w:val="21"/>
                      <w:highlight w:val="none"/>
                    </w:rPr>
                    <w:t>·环保处置：中和达标后废液处理，避免进入水体、土壤</w:t>
                  </w:r>
                </w:p>
              </w:tc>
            </w:tr>
            <w:tr w14:paraId="16C08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703" w:type="dxa"/>
                  <w:tcBorders>
                    <w:tl2br w:val="nil"/>
                    <w:tr2bl w:val="nil"/>
                  </w:tcBorders>
                  <w:shd w:val="clear" w:color="auto" w:fill="auto"/>
                  <w:tcMar>
                    <w:top w:w="96" w:type="dxa"/>
                    <w:left w:w="96" w:type="dxa"/>
                    <w:bottom w:w="96" w:type="dxa"/>
                    <w:right w:w="96" w:type="dxa"/>
                  </w:tcMar>
                  <w:vAlign w:val="center"/>
                </w:tcPr>
                <w:p w14:paraId="7D8D37E0">
                  <w:pPr>
                    <w:pStyle w:val="127"/>
                    <w:keepNext w:val="0"/>
                    <w:keepLines w:val="0"/>
                    <w:pageBreakBefore w:val="0"/>
                    <w:widowControl/>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贮</w:t>
                  </w:r>
                </w:p>
                <w:p w14:paraId="2DA57F17">
                  <w:pPr>
                    <w:pStyle w:val="127"/>
                    <w:keepNext w:val="0"/>
                    <w:keepLines w:val="0"/>
                    <w:pageBreakBefore w:val="0"/>
                    <w:widowControl/>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运</w:t>
                  </w:r>
                </w:p>
              </w:tc>
              <w:tc>
                <w:tcPr>
                  <w:tcW w:w="4595" w:type="pct"/>
                  <w:tcBorders>
                    <w:tl2br w:val="nil"/>
                    <w:tr2bl w:val="nil"/>
                  </w:tcBorders>
                  <w:shd w:val="clear" w:color="auto" w:fill="auto"/>
                  <w:tcMar>
                    <w:top w:w="96" w:type="dxa"/>
                    <w:left w:w="96" w:type="dxa"/>
                    <w:bottom w:w="96" w:type="dxa"/>
                    <w:right w:w="96" w:type="dxa"/>
                  </w:tcMar>
                  <w:vAlign w:val="center"/>
                </w:tcPr>
                <w:p w14:paraId="410972C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·储存：阴凉通风专用腐蚀品库房，库温控制30℃以下，防冻（防止结晶胀裂容器）；与氧化剂、强碱、金属类分开存放，远离火种热源</w:t>
                  </w:r>
                </w:p>
                <w:p w14:paraId="22859CA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·容器：塑料桶、耐酸玻璃钢、不锈钢储罐，密封保存</w:t>
                  </w:r>
                </w:p>
                <w:p w14:paraId="7AD69FE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napToGrid w:val="0"/>
                      <w:color w:val="auto"/>
                      <w:kern w:val="0"/>
                      <w:sz w:val="21"/>
                      <w:szCs w:val="21"/>
                      <w:highlight w:val="none"/>
                      <w:lang w:eastAsia="zh-CN"/>
                    </w:rPr>
                  </w:pPr>
                  <w:r>
                    <w:rPr>
                      <w:rFonts w:hint="default" w:ascii="Times New Roman" w:hAnsi="Times New Roman" w:eastAsia="宋体" w:cs="Times New Roman"/>
                      <w:color w:val="auto"/>
                      <w:sz w:val="21"/>
                      <w:szCs w:val="21"/>
                      <w:highlight w:val="none"/>
                    </w:rPr>
                    <w:t>·运输：按8.1类腐蚀品运输，夏季早晚运输，防止暴晒；轻装轻卸，避免撞击；配备泄漏应急器材；严禁与强碱、强氧化剂混运</w:t>
                  </w:r>
                </w:p>
              </w:tc>
            </w:tr>
          </w:tbl>
          <w:p w14:paraId="709A50DA">
            <w:pPr>
              <w:pStyle w:val="25"/>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center"/>
              <w:textAlignment w:val="auto"/>
              <w:rPr>
                <w:rFonts w:hint="eastAsia"/>
                <w:b/>
                <w:bCs/>
                <w:color w:val="auto"/>
                <w:highlight w:val="none"/>
              </w:rPr>
            </w:pPr>
          </w:p>
          <w:p w14:paraId="23A23D0C">
            <w:pPr>
              <w:pStyle w:val="25"/>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center"/>
              <w:textAlignment w:val="auto"/>
              <w:rPr>
                <w:b/>
                <w:bCs/>
                <w:color w:val="auto"/>
                <w:highlight w:val="none"/>
              </w:rPr>
            </w:pPr>
            <w:r>
              <w:rPr>
                <w:rFonts w:hint="eastAsia"/>
                <w:b/>
                <w:bCs/>
                <w:color w:val="auto"/>
                <w:highlight w:val="none"/>
              </w:rPr>
              <w:t>4-</w:t>
            </w:r>
            <w:r>
              <w:rPr>
                <w:rFonts w:hint="eastAsia"/>
                <w:b/>
                <w:bCs/>
                <w:color w:val="auto"/>
                <w:highlight w:val="none"/>
                <w:lang w:val="en-US" w:eastAsia="zh-CN"/>
              </w:rPr>
              <w:t>37  硫酸铵</w:t>
            </w:r>
            <w:r>
              <w:rPr>
                <w:rFonts w:hint="eastAsia"/>
                <w:b/>
                <w:bCs/>
                <w:color w:val="auto"/>
                <w:highlight w:val="none"/>
              </w:rPr>
              <w:t>理化性质及危险性质一览表</w:t>
            </w:r>
          </w:p>
          <w:tbl>
            <w:tblPr>
              <w:tblStyle w:val="26"/>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1"/>
              <w:gridCol w:w="2034"/>
              <w:gridCol w:w="1984"/>
              <w:gridCol w:w="1984"/>
              <w:gridCol w:w="1989"/>
            </w:tblGrid>
            <w:tr w14:paraId="0A22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403" w:type="pct"/>
                  <w:vMerge w:val="restart"/>
                  <w:tcBorders>
                    <w:tl2br w:val="nil"/>
                    <w:tr2bl w:val="nil"/>
                  </w:tcBorders>
                  <w:shd w:val="clear" w:color="auto" w:fill="auto"/>
                  <w:tcMar>
                    <w:top w:w="96" w:type="dxa"/>
                    <w:left w:w="96" w:type="dxa"/>
                    <w:bottom w:w="96" w:type="dxa"/>
                    <w:right w:w="96" w:type="dxa"/>
                  </w:tcMar>
                  <w:vAlign w:val="center"/>
                </w:tcPr>
                <w:p w14:paraId="6C0308B5">
                  <w:pPr>
                    <w:keepNext w:val="0"/>
                    <w:keepLines w:val="0"/>
                    <w:pageBreakBefore w:val="0"/>
                    <w:widowControl/>
                    <w:kinsoku/>
                    <w:wordWrap/>
                    <w:overflowPunct/>
                    <w:topLinePunct w:val="0"/>
                    <w:autoSpaceDE/>
                    <w:autoSpaceDN/>
                    <w:bidi w:val="0"/>
                    <w:adjustRightInd/>
                    <w:snapToGrid/>
                    <w:spacing w:line="320" w:lineRule="exact"/>
                    <w:jc w:val="center"/>
                    <w:textAlignment w:val="auto"/>
                    <w:rPr>
                      <w:snapToGrid w:val="0"/>
                      <w:color w:val="auto"/>
                      <w:kern w:val="0"/>
                      <w:highlight w:val="none"/>
                    </w:rPr>
                  </w:pPr>
                  <w:r>
                    <w:rPr>
                      <w:snapToGrid w:val="0"/>
                      <w:color w:val="auto"/>
                      <w:kern w:val="0"/>
                      <w:highlight w:val="none"/>
                    </w:rPr>
                    <w:t>标识</w:t>
                  </w:r>
                </w:p>
              </w:tc>
              <w:tc>
                <w:tcPr>
                  <w:tcW w:w="1170" w:type="pct"/>
                  <w:tcBorders>
                    <w:tl2br w:val="nil"/>
                    <w:tr2bl w:val="nil"/>
                  </w:tcBorders>
                  <w:shd w:val="clear" w:color="auto" w:fill="auto"/>
                  <w:tcMar>
                    <w:top w:w="96" w:type="dxa"/>
                    <w:left w:w="96" w:type="dxa"/>
                    <w:bottom w:w="96" w:type="dxa"/>
                    <w:right w:w="96" w:type="dxa"/>
                  </w:tcMar>
                  <w:vAlign w:val="center"/>
                </w:tcPr>
                <w:p w14:paraId="6265834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snapToGrid w:val="0"/>
                      <w:color w:val="auto"/>
                      <w:kern w:val="0"/>
                      <w:highlight w:val="none"/>
                      <w:lang w:val="en-US" w:eastAsia="zh-CN"/>
                    </w:rPr>
                  </w:pPr>
                  <w:r>
                    <w:rPr>
                      <w:rFonts w:hint="eastAsia"/>
                      <w:snapToGrid w:val="0"/>
                      <w:color w:val="auto"/>
                      <w:kern w:val="0"/>
                      <w:highlight w:val="none"/>
                      <w:lang w:val="en-US" w:eastAsia="zh-CN"/>
                    </w:rPr>
                    <w:t>中文名称</w:t>
                  </w:r>
                </w:p>
              </w:tc>
              <w:tc>
                <w:tcPr>
                  <w:tcW w:w="3426" w:type="pct"/>
                  <w:gridSpan w:val="3"/>
                  <w:tcBorders>
                    <w:tl2br w:val="nil"/>
                    <w:tr2bl w:val="nil"/>
                  </w:tcBorders>
                  <w:shd w:val="clear" w:color="auto" w:fill="auto"/>
                  <w:tcMar>
                    <w:top w:w="96" w:type="dxa"/>
                    <w:left w:w="96" w:type="dxa"/>
                    <w:bottom w:w="96" w:type="dxa"/>
                    <w:right w:w="96" w:type="dxa"/>
                  </w:tcMar>
                  <w:vAlign w:val="center"/>
                </w:tcPr>
                <w:p w14:paraId="3328BCE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snapToGrid w:val="0"/>
                      <w:color w:val="auto"/>
                      <w:kern w:val="0"/>
                      <w:highlight w:val="none"/>
                      <w:lang w:val="en-US" w:eastAsia="zh-CN"/>
                    </w:rPr>
                  </w:pPr>
                  <w:r>
                    <w:rPr>
                      <w:rFonts w:hint="eastAsia"/>
                      <w:snapToGrid w:val="0"/>
                      <w:color w:val="auto"/>
                      <w:kern w:val="0"/>
                      <w:highlight w:val="none"/>
                      <w:lang w:val="en-US" w:eastAsia="zh-CN"/>
                    </w:rPr>
                    <w:t>硫酸铵、硫铵</w:t>
                  </w:r>
                </w:p>
              </w:tc>
            </w:tr>
            <w:tr w14:paraId="331C3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403" w:type="pct"/>
                  <w:vMerge w:val="continue"/>
                  <w:tcBorders>
                    <w:tl2br w:val="nil"/>
                    <w:tr2bl w:val="nil"/>
                  </w:tcBorders>
                  <w:shd w:val="clear" w:color="auto" w:fill="auto"/>
                  <w:tcMar>
                    <w:top w:w="96" w:type="dxa"/>
                    <w:left w:w="96" w:type="dxa"/>
                    <w:bottom w:w="96" w:type="dxa"/>
                    <w:right w:w="96" w:type="dxa"/>
                  </w:tcMar>
                  <w:vAlign w:val="center"/>
                </w:tcPr>
                <w:p w14:paraId="0A19A561">
                  <w:pPr>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p>
              </w:tc>
              <w:tc>
                <w:tcPr>
                  <w:tcW w:w="1170" w:type="pct"/>
                  <w:tcBorders>
                    <w:tl2br w:val="nil"/>
                    <w:tr2bl w:val="nil"/>
                  </w:tcBorders>
                  <w:shd w:val="clear" w:color="auto" w:fill="auto"/>
                  <w:tcMar>
                    <w:top w:w="96" w:type="dxa"/>
                    <w:left w:w="96" w:type="dxa"/>
                    <w:bottom w:w="96" w:type="dxa"/>
                    <w:right w:w="96" w:type="dxa"/>
                  </w:tcMar>
                  <w:vAlign w:val="center"/>
                </w:tcPr>
                <w:p w14:paraId="01599A3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color w:val="auto"/>
                      <w:highlight w:val="none"/>
                      <w:lang w:val="en-US" w:eastAsia="zh-CN"/>
                    </w:rPr>
                  </w:pPr>
                  <w:r>
                    <w:rPr>
                      <w:rFonts w:hint="eastAsia"/>
                      <w:color w:val="auto"/>
                      <w:highlight w:val="none"/>
                      <w:lang w:val="en-US" w:eastAsia="zh-CN"/>
                    </w:rPr>
                    <w:t>英文名称</w:t>
                  </w:r>
                </w:p>
              </w:tc>
              <w:tc>
                <w:tcPr>
                  <w:tcW w:w="3426" w:type="pct"/>
                  <w:gridSpan w:val="3"/>
                  <w:tcBorders>
                    <w:tl2br w:val="nil"/>
                    <w:tr2bl w:val="nil"/>
                  </w:tcBorders>
                  <w:shd w:val="clear" w:color="auto" w:fill="auto"/>
                  <w:tcMar>
                    <w:top w:w="96" w:type="dxa"/>
                    <w:left w:w="96" w:type="dxa"/>
                    <w:bottom w:w="96" w:type="dxa"/>
                    <w:right w:w="96" w:type="dxa"/>
                  </w:tcMar>
                  <w:vAlign w:val="center"/>
                </w:tcPr>
                <w:p w14:paraId="7B1DEA71">
                  <w:pPr>
                    <w:keepNext w:val="0"/>
                    <w:keepLines w:val="0"/>
                    <w:pageBreakBefore w:val="0"/>
                    <w:widowControl/>
                    <w:kinsoku/>
                    <w:wordWrap/>
                    <w:overflowPunct/>
                    <w:topLinePunct w:val="0"/>
                    <w:autoSpaceDE/>
                    <w:autoSpaceDN/>
                    <w:bidi w:val="0"/>
                    <w:adjustRightInd/>
                    <w:snapToGrid/>
                    <w:spacing w:line="320" w:lineRule="exact"/>
                    <w:jc w:val="center"/>
                    <w:textAlignment w:val="auto"/>
                    <w:rPr>
                      <w:snapToGrid w:val="0"/>
                      <w:color w:val="auto"/>
                      <w:kern w:val="0"/>
                      <w:highlight w:val="none"/>
                    </w:rPr>
                  </w:pPr>
                  <w:r>
                    <w:rPr>
                      <w:rFonts w:hint="eastAsia"/>
                      <w:snapToGrid w:val="0"/>
                      <w:color w:val="auto"/>
                      <w:kern w:val="0"/>
                      <w:highlight w:val="none"/>
                    </w:rPr>
                    <w:t>Ammoniumsulfate;Sulfuricaciddiammoniumsalt</w:t>
                  </w:r>
                </w:p>
              </w:tc>
            </w:tr>
            <w:tr w14:paraId="5F8F0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403" w:type="pct"/>
                  <w:vMerge w:val="continue"/>
                  <w:tcBorders>
                    <w:tl2br w:val="nil"/>
                    <w:tr2bl w:val="nil"/>
                  </w:tcBorders>
                  <w:shd w:val="clear" w:color="auto" w:fill="auto"/>
                  <w:tcMar>
                    <w:top w:w="96" w:type="dxa"/>
                    <w:left w:w="96" w:type="dxa"/>
                    <w:bottom w:w="96" w:type="dxa"/>
                    <w:right w:w="96" w:type="dxa"/>
                  </w:tcMar>
                  <w:vAlign w:val="center"/>
                </w:tcPr>
                <w:p w14:paraId="7BBF7076">
                  <w:pPr>
                    <w:keepNext w:val="0"/>
                    <w:keepLines w:val="0"/>
                    <w:pageBreakBefore w:val="0"/>
                    <w:widowControl/>
                    <w:kinsoku/>
                    <w:wordWrap/>
                    <w:overflowPunct/>
                    <w:topLinePunct w:val="0"/>
                    <w:autoSpaceDE/>
                    <w:autoSpaceDN/>
                    <w:bidi w:val="0"/>
                    <w:adjustRightInd/>
                    <w:snapToGrid/>
                    <w:spacing w:line="320" w:lineRule="exact"/>
                    <w:textAlignment w:val="auto"/>
                    <w:rPr>
                      <w:snapToGrid w:val="0"/>
                      <w:color w:val="auto"/>
                      <w:kern w:val="0"/>
                      <w:highlight w:val="none"/>
                    </w:rPr>
                  </w:pPr>
                </w:p>
              </w:tc>
              <w:tc>
                <w:tcPr>
                  <w:tcW w:w="1170" w:type="pct"/>
                  <w:tcBorders>
                    <w:tl2br w:val="nil"/>
                    <w:tr2bl w:val="nil"/>
                  </w:tcBorders>
                  <w:shd w:val="clear" w:color="auto" w:fill="auto"/>
                  <w:tcMar>
                    <w:top w:w="96" w:type="dxa"/>
                    <w:left w:w="96" w:type="dxa"/>
                    <w:bottom w:w="96" w:type="dxa"/>
                    <w:right w:w="96" w:type="dxa"/>
                  </w:tcMar>
                  <w:vAlign w:val="center"/>
                </w:tcPr>
                <w:p w14:paraId="398E7DD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eastAsia="宋体"/>
                      <w:snapToGrid w:val="0"/>
                      <w:color w:val="auto"/>
                      <w:kern w:val="0"/>
                      <w:highlight w:val="none"/>
                      <w:lang w:val="en-US" w:eastAsia="zh-CN"/>
                    </w:rPr>
                  </w:pPr>
                  <w:r>
                    <w:rPr>
                      <w:rFonts w:hint="eastAsia"/>
                      <w:snapToGrid w:val="0"/>
                      <w:color w:val="auto"/>
                      <w:kern w:val="0"/>
                      <w:highlight w:val="none"/>
                      <w:lang w:val="en-US" w:eastAsia="zh-CN"/>
                    </w:rPr>
                    <w:t>分子式</w:t>
                  </w:r>
                </w:p>
              </w:tc>
              <w:tc>
                <w:tcPr>
                  <w:tcW w:w="1141" w:type="pct"/>
                  <w:tcBorders>
                    <w:tl2br w:val="nil"/>
                    <w:tr2bl w:val="nil"/>
                  </w:tcBorders>
                  <w:shd w:val="clear" w:color="auto" w:fill="auto"/>
                  <w:tcMar>
                    <w:top w:w="96" w:type="dxa"/>
                    <w:left w:w="96" w:type="dxa"/>
                    <w:bottom w:w="96" w:type="dxa"/>
                    <w:right w:w="96" w:type="dxa"/>
                  </w:tcMar>
                  <w:vAlign w:val="center"/>
                </w:tcPr>
                <w:p w14:paraId="7DA8945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snapToGrid w:val="0"/>
                      <w:color w:val="auto"/>
                      <w:kern w:val="0"/>
                      <w:highlight w:val="none"/>
                      <w:lang w:val="en-US" w:eastAsia="zh-CN"/>
                    </w:rPr>
                  </w:pPr>
                  <w:r>
                    <w:rPr>
                      <w:rFonts w:hint="eastAsia"/>
                      <w:snapToGrid w:val="0"/>
                      <w:color w:val="auto"/>
                      <w:kern w:val="0"/>
                      <w:highlight w:val="none"/>
                      <w:lang w:eastAsia="zh-CN"/>
                    </w:rPr>
                    <w:t>（</w:t>
                  </w:r>
                  <w:r>
                    <w:rPr>
                      <w:rFonts w:hint="eastAsia"/>
                      <w:snapToGrid w:val="0"/>
                      <w:color w:val="auto"/>
                      <w:kern w:val="0"/>
                      <w:highlight w:val="none"/>
                      <w:lang w:val="en-US" w:eastAsia="zh-CN"/>
                    </w:rPr>
                    <w:t>NH</w:t>
                  </w:r>
                  <w:r>
                    <w:rPr>
                      <w:rFonts w:hint="eastAsia"/>
                      <w:snapToGrid w:val="0"/>
                      <w:color w:val="auto"/>
                      <w:kern w:val="0"/>
                      <w:highlight w:val="none"/>
                      <w:vertAlign w:val="subscript"/>
                      <w:lang w:val="en-US" w:eastAsia="zh-CN"/>
                    </w:rPr>
                    <w:t>4</w:t>
                  </w:r>
                  <w:r>
                    <w:rPr>
                      <w:rFonts w:hint="eastAsia"/>
                      <w:snapToGrid w:val="0"/>
                      <w:color w:val="auto"/>
                      <w:kern w:val="0"/>
                      <w:highlight w:val="none"/>
                      <w:lang w:eastAsia="zh-CN"/>
                    </w:rPr>
                    <w:t>）</w:t>
                  </w:r>
                  <w:r>
                    <w:rPr>
                      <w:rFonts w:hint="eastAsia"/>
                      <w:snapToGrid w:val="0"/>
                      <w:color w:val="auto"/>
                      <w:kern w:val="0"/>
                      <w:highlight w:val="none"/>
                      <w:vertAlign w:val="subscript"/>
                      <w:lang w:val="en-US" w:eastAsia="zh-CN"/>
                    </w:rPr>
                    <w:t>2</w:t>
                  </w:r>
                  <w:r>
                    <w:rPr>
                      <w:rFonts w:hint="eastAsia"/>
                      <w:snapToGrid w:val="0"/>
                      <w:color w:val="auto"/>
                      <w:kern w:val="0"/>
                      <w:highlight w:val="none"/>
                      <w:lang w:val="en-US" w:eastAsia="zh-CN"/>
                    </w:rPr>
                    <w:t>SO</w:t>
                  </w:r>
                  <w:r>
                    <w:rPr>
                      <w:rFonts w:hint="eastAsia"/>
                      <w:snapToGrid w:val="0"/>
                      <w:color w:val="auto"/>
                      <w:kern w:val="0"/>
                      <w:highlight w:val="none"/>
                      <w:vertAlign w:val="subscript"/>
                      <w:lang w:val="en-US" w:eastAsia="zh-CN"/>
                    </w:rPr>
                    <w:t>4</w:t>
                  </w:r>
                </w:p>
              </w:tc>
              <w:tc>
                <w:tcPr>
                  <w:tcW w:w="1141" w:type="pct"/>
                  <w:tcBorders>
                    <w:tl2br w:val="nil"/>
                    <w:tr2bl w:val="nil"/>
                  </w:tcBorders>
                  <w:shd w:val="clear" w:color="auto" w:fill="auto"/>
                  <w:tcMar>
                    <w:top w:w="96" w:type="dxa"/>
                    <w:left w:w="96" w:type="dxa"/>
                    <w:bottom w:w="96" w:type="dxa"/>
                    <w:right w:w="96" w:type="dxa"/>
                  </w:tcMar>
                  <w:vAlign w:val="center"/>
                </w:tcPr>
                <w:p w14:paraId="1B77022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snapToGrid w:val="0"/>
                      <w:color w:val="auto"/>
                      <w:kern w:val="0"/>
                      <w:highlight w:val="none"/>
                      <w:lang w:val="en-US" w:eastAsia="zh-CN"/>
                    </w:rPr>
                  </w:pPr>
                  <w:r>
                    <w:rPr>
                      <w:rFonts w:hint="eastAsia"/>
                      <w:snapToGrid w:val="0"/>
                      <w:color w:val="auto"/>
                      <w:kern w:val="0"/>
                      <w:highlight w:val="none"/>
                      <w:lang w:val="en-US" w:eastAsia="zh-CN"/>
                    </w:rPr>
                    <w:t>CAS</w:t>
                  </w:r>
                </w:p>
              </w:tc>
              <w:tc>
                <w:tcPr>
                  <w:tcW w:w="1144" w:type="pct"/>
                  <w:tcBorders>
                    <w:tl2br w:val="nil"/>
                    <w:tr2bl w:val="nil"/>
                  </w:tcBorders>
                  <w:shd w:val="clear" w:color="auto" w:fill="auto"/>
                  <w:tcMar>
                    <w:top w:w="96" w:type="dxa"/>
                    <w:left w:w="96" w:type="dxa"/>
                    <w:bottom w:w="96" w:type="dxa"/>
                    <w:right w:w="96" w:type="dxa"/>
                  </w:tcMar>
                  <w:vAlign w:val="center"/>
                </w:tcPr>
                <w:p w14:paraId="3FEB683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snapToGrid w:val="0"/>
                      <w:color w:val="auto"/>
                      <w:kern w:val="0"/>
                      <w:highlight w:val="none"/>
                      <w:lang w:val="en-US" w:eastAsia="zh-CN"/>
                    </w:rPr>
                  </w:pPr>
                  <w:r>
                    <w:rPr>
                      <w:rFonts w:hint="eastAsia"/>
                      <w:snapToGrid w:val="0"/>
                      <w:color w:val="auto"/>
                      <w:kern w:val="0"/>
                      <w:highlight w:val="none"/>
                      <w:lang w:val="en-US" w:eastAsia="zh-CN"/>
                    </w:rPr>
                    <w:t>7783-20-2</w:t>
                  </w:r>
                </w:p>
              </w:tc>
            </w:tr>
            <w:tr w14:paraId="6811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403" w:type="pct"/>
                  <w:vMerge w:val="restart"/>
                  <w:tcBorders>
                    <w:tl2br w:val="nil"/>
                    <w:tr2bl w:val="nil"/>
                  </w:tcBorders>
                  <w:shd w:val="clear" w:color="auto" w:fill="auto"/>
                  <w:tcMar>
                    <w:top w:w="96" w:type="dxa"/>
                    <w:left w:w="96" w:type="dxa"/>
                    <w:bottom w:w="96" w:type="dxa"/>
                    <w:right w:w="96" w:type="dxa"/>
                  </w:tcMar>
                  <w:vAlign w:val="center"/>
                </w:tcPr>
                <w:p w14:paraId="236575D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snapToGrid w:val="0"/>
                      <w:color w:val="auto"/>
                      <w:kern w:val="0"/>
                      <w:highlight w:val="none"/>
                      <w:lang w:val="en-US" w:eastAsia="zh-CN"/>
                    </w:rPr>
                  </w:pPr>
                  <w:r>
                    <w:rPr>
                      <w:rFonts w:hint="eastAsia"/>
                      <w:snapToGrid w:val="0"/>
                      <w:color w:val="auto"/>
                      <w:kern w:val="0"/>
                      <w:highlight w:val="none"/>
                      <w:lang w:val="en-US" w:eastAsia="zh-CN"/>
                    </w:rPr>
                    <w:t>危险信息</w:t>
                  </w:r>
                </w:p>
              </w:tc>
              <w:tc>
                <w:tcPr>
                  <w:tcW w:w="1170" w:type="pct"/>
                  <w:tcBorders>
                    <w:tl2br w:val="nil"/>
                    <w:tr2bl w:val="nil"/>
                  </w:tcBorders>
                  <w:shd w:val="clear" w:color="auto" w:fill="auto"/>
                  <w:tcMar>
                    <w:top w:w="96" w:type="dxa"/>
                    <w:left w:w="96" w:type="dxa"/>
                    <w:bottom w:w="96" w:type="dxa"/>
                    <w:right w:w="96" w:type="dxa"/>
                  </w:tcMar>
                  <w:vAlign w:val="center"/>
                </w:tcPr>
                <w:p w14:paraId="39EA1EA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eastAsia="宋体"/>
                      <w:snapToGrid w:val="0"/>
                      <w:color w:val="auto"/>
                      <w:kern w:val="0"/>
                      <w:highlight w:val="none"/>
                      <w:lang w:val="en-US" w:eastAsia="zh-CN"/>
                    </w:rPr>
                  </w:pPr>
                  <w:r>
                    <w:rPr>
                      <w:rFonts w:hint="eastAsia"/>
                      <w:snapToGrid w:val="0"/>
                      <w:color w:val="auto"/>
                      <w:kern w:val="0"/>
                      <w:highlight w:val="none"/>
                      <w:lang w:val="en-US" w:eastAsia="zh-CN"/>
                    </w:rPr>
                    <w:t>禁忌物</w:t>
                  </w:r>
                </w:p>
              </w:tc>
              <w:tc>
                <w:tcPr>
                  <w:tcW w:w="3426" w:type="pct"/>
                  <w:gridSpan w:val="3"/>
                  <w:tcBorders>
                    <w:tl2br w:val="nil"/>
                    <w:tr2bl w:val="nil"/>
                  </w:tcBorders>
                  <w:shd w:val="clear" w:color="auto" w:fill="auto"/>
                  <w:tcMar>
                    <w:top w:w="96" w:type="dxa"/>
                    <w:left w:w="96" w:type="dxa"/>
                    <w:bottom w:w="96" w:type="dxa"/>
                    <w:right w:w="96" w:type="dxa"/>
                  </w:tcMar>
                  <w:vAlign w:val="center"/>
                </w:tcPr>
                <w:p w14:paraId="282B672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snapToGrid w:val="0"/>
                      <w:color w:val="auto"/>
                      <w:kern w:val="0"/>
                      <w:highlight w:val="none"/>
                      <w:lang w:val="en-US" w:eastAsia="zh-CN"/>
                    </w:rPr>
                  </w:pPr>
                  <w:r>
                    <w:rPr>
                      <w:rFonts w:hint="eastAsia"/>
                      <w:snapToGrid w:val="0"/>
                      <w:color w:val="auto"/>
                      <w:kern w:val="0"/>
                      <w:highlight w:val="none"/>
                      <w:lang w:val="en-US" w:eastAsia="zh-CN"/>
                    </w:rPr>
                    <w:t>强酸、强碱</w:t>
                  </w:r>
                </w:p>
              </w:tc>
            </w:tr>
            <w:tr w14:paraId="5E10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403" w:type="pct"/>
                  <w:vMerge w:val="continue"/>
                  <w:tcBorders>
                    <w:tl2br w:val="nil"/>
                    <w:tr2bl w:val="nil"/>
                  </w:tcBorders>
                  <w:shd w:val="clear" w:color="auto" w:fill="auto"/>
                  <w:tcMar>
                    <w:top w:w="96" w:type="dxa"/>
                    <w:left w:w="96" w:type="dxa"/>
                    <w:bottom w:w="96" w:type="dxa"/>
                    <w:right w:w="96" w:type="dxa"/>
                  </w:tcMar>
                  <w:vAlign w:val="center"/>
                </w:tcPr>
                <w:p w14:paraId="125BDEA8">
                  <w:pPr>
                    <w:keepNext w:val="0"/>
                    <w:keepLines w:val="0"/>
                    <w:pageBreakBefore w:val="0"/>
                    <w:widowControl/>
                    <w:kinsoku/>
                    <w:wordWrap/>
                    <w:overflowPunct/>
                    <w:topLinePunct w:val="0"/>
                    <w:autoSpaceDE/>
                    <w:autoSpaceDN/>
                    <w:bidi w:val="0"/>
                    <w:adjustRightInd/>
                    <w:snapToGrid/>
                    <w:spacing w:line="320" w:lineRule="exact"/>
                    <w:textAlignment w:val="auto"/>
                    <w:rPr>
                      <w:color w:val="auto"/>
                      <w:highlight w:val="none"/>
                    </w:rPr>
                  </w:pPr>
                </w:p>
              </w:tc>
              <w:tc>
                <w:tcPr>
                  <w:tcW w:w="1170" w:type="pct"/>
                  <w:tcBorders>
                    <w:tl2br w:val="nil"/>
                    <w:tr2bl w:val="nil"/>
                  </w:tcBorders>
                  <w:shd w:val="clear" w:color="auto" w:fill="auto"/>
                  <w:tcMar>
                    <w:top w:w="96" w:type="dxa"/>
                    <w:left w:w="96" w:type="dxa"/>
                    <w:bottom w:w="96" w:type="dxa"/>
                    <w:right w:w="96" w:type="dxa"/>
                  </w:tcMar>
                  <w:vAlign w:val="center"/>
                </w:tcPr>
                <w:p w14:paraId="03F11A9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eastAsia="宋体"/>
                      <w:color w:val="auto"/>
                      <w:highlight w:val="none"/>
                      <w:lang w:val="en-US" w:eastAsia="zh-CN"/>
                    </w:rPr>
                  </w:pPr>
                  <w:r>
                    <w:rPr>
                      <w:rFonts w:hint="eastAsia"/>
                      <w:color w:val="auto"/>
                      <w:highlight w:val="none"/>
                      <w:lang w:val="en-US" w:eastAsia="zh-CN"/>
                    </w:rPr>
                    <w:t>毒性</w:t>
                  </w:r>
                </w:p>
              </w:tc>
              <w:tc>
                <w:tcPr>
                  <w:tcW w:w="3426" w:type="pct"/>
                  <w:gridSpan w:val="3"/>
                  <w:tcBorders>
                    <w:tl2br w:val="nil"/>
                    <w:tr2bl w:val="nil"/>
                  </w:tcBorders>
                  <w:shd w:val="clear" w:color="auto" w:fill="auto"/>
                  <w:tcMar>
                    <w:top w:w="96" w:type="dxa"/>
                    <w:left w:w="96" w:type="dxa"/>
                    <w:bottom w:w="96" w:type="dxa"/>
                    <w:right w:w="96" w:type="dxa"/>
                  </w:tcMar>
                  <w:vAlign w:val="center"/>
                </w:tcPr>
                <w:p w14:paraId="51C6D5A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snapToGrid w:val="0"/>
                      <w:color w:val="auto"/>
                      <w:kern w:val="0"/>
                      <w:highlight w:val="none"/>
                    </w:rPr>
                  </w:pPr>
                  <w:r>
                    <w:rPr>
                      <w:rFonts w:hint="eastAsia"/>
                      <w:snapToGrid w:val="0"/>
                      <w:color w:val="auto"/>
                      <w:kern w:val="0"/>
                      <w:highlight w:val="none"/>
                    </w:rPr>
                    <w:t>大鼠经口LD50:2840mg/kg;小鼠经口LD50:640mg/kg。</w:t>
                  </w:r>
                </w:p>
                <w:p w14:paraId="4ECBA0E7">
                  <w:pPr>
                    <w:keepNext w:val="0"/>
                    <w:keepLines w:val="0"/>
                    <w:pageBreakBefore w:val="0"/>
                    <w:widowControl/>
                    <w:kinsoku/>
                    <w:wordWrap/>
                    <w:overflowPunct/>
                    <w:topLinePunct w:val="0"/>
                    <w:autoSpaceDE/>
                    <w:autoSpaceDN/>
                    <w:bidi w:val="0"/>
                    <w:adjustRightInd/>
                    <w:snapToGrid/>
                    <w:spacing w:line="320" w:lineRule="exact"/>
                    <w:jc w:val="center"/>
                    <w:textAlignment w:val="auto"/>
                    <w:rPr>
                      <w:snapToGrid w:val="0"/>
                      <w:color w:val="auto"/>
                      <w:kern w:val="0"/>
                      <w:highlight w:val="none"/>
                    </w:rPr>
                  </w:pPr>
                  <w:r>
                    <w:rPr>
                      <w:rFonts w:hint="eastAsia"/>
                      <w:snapToGrid w:val="0"/>
                      <w:color w:val="auto"/>
                      <w:kern w:val="0"/>
                      <w:highlight w:val="none"/>
                    </w:rPr>
                    <w:t>对眼晴、黏膜和皮肤有刺激作用。</w:t>
                  </w:r>
                </w:p>
              </w:tc>
            </w:tr>
            <w:tr w14:paraId="720C2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403" w:type="pct"/>
                  <w:vMerge w:val="continue"/>
                  <w:tcBorders>
                    <w:tl2br w:val="nil"/>
                    <w:tr2bl w:val="nil"/>
                  </w:tcBorders>
                  <w:shd w:val="clear" w:color="auto" w:fill="auto"/>
                  <w:tcMar>
                    <w:top w:w="96" w:type="dxa"/>
                    <w:left w:w="96" w:type="dxa"/>
                    <w:bottom w:w="96" w:type="dxa"/>
                    <w:right w:w="96" w:type="dxa"/>
                  </w:tcMar>
                  <w:vAlign w:val="center"/>
                </w:tcPr>
                <w:p w14:paraId="759751F7">
                  <w:pPr>
                    <w:keepNext w:val="0"/>
                    <w:keepLines w:val="0"/>
                    <w:pageBreakBefore w:val="0"/>
                    <w:widowControl/>
                    <w:kinsoku/>
                    <w:wordWrap/>
                    <w:overflowPunct/>
                    <w:topLinePunct w:val="0"/>
                    <w:autoSpaceDE/>
                    <w:autoSpaceDN/>
                    <w:bidi w:val="0"/>
                    <w:adjustRightInd/>
                    <w:snapToGrid/>
                    <w:spacing w:line="320" w:lineRule="exact"/>
                    <w:textAlignment w:val="auto"/>
                    <w:rPr>
                      <w:snapToGrid w:val="0"/>
                      <w:color w:val="auto"/>
                      <w:kern w:val="0"/>
                      <w:highlight w:val="none"/>
                    </w:rPr>
                  </w:pPr>
                </w:p>
              </w:tc>
              <w:tc>
                <w:tcPr>
                  <w:tcW w:w="1170" w:type="pct"/>
                  <w:tcBorders>
                    <w:tl2br w:val="nil"/>
                    <w:tr2bl w:val="nil"/>
                  </w:tcBorders>
                  <w:shd w:val="clear" w:color="auto" w:fill="auto"/>
                  <w:tcMar>
                    <w:top w:w="96" w:type="dxa"/>
                    <w:left w:w="96" w:type="dxa"/>
                    <w:bottom w:w="96" w:type="dxa"/>
                    <w:right w:w="96" w:type="dxa"/>
                  </w:tcMar>
                  <w:vAlign w:val="center"/>
                </w:tcPr>
                <w:p w14:paraId="24CD836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snapToGrid w:val="0"/>
                      <w:color w:val="auto"/>
                      <w:kern w:val="0"/>
                      <w:highlight w:val="none"/>
                      <w:lang w:val="en-US" w:eastAsia="zh-CN"/>
                    </w:rPr>
                  </w:pPr>
                  <w:r>
                    <w:rPr>
                      <w:rFonts w:hint="eastAsia"/>
                      <w:snapToGrid w:val="0"/>
                      <w:color w:val="auto"/>
                      <w:kern w:val="0"/>
                      <w:highlight w:val="none"/>
                      <w:lang w:val="en-US" w:eastAsia="zh-CN"/>
                    </w:rPr>
                    <w:t>浸入途径</w:t>
                  </w:r>
                </w:p>
              </w:tc>
              <w:tc>
                <w:tcPr>
                  <w:tcW w:w="3426" w:type="pct"/>
                  <w:gridSpan w:val="3"/>
                  <w:tcBorders>
                    <w:tl2br w:val="nil"/>
                    <w:tr2bl w:val="nil"/>
                  </w:tcBorders>
                  <w:shd w:val="clear" w:color="auto" w:fill="auto"/>
                  <w:tcMar>
                    <w:top w:w="96" w:type="dxa"/>
                    <w:left w:w="96" w:type="dxa"/>
                    <w:bottom w:w="96" w:type="dxa"/>
                    <w:right w:w="96" w:type="dxa"/>
                  </w:tcMar>
                  <w:vAlign w:val="center"/>
                </w:tcPr>
                <w:p w14:paraId="14F208B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snapToGrid w:val="0"/>
                      <w:color w:val="auto"/>
                      <w:kern w:val="0"/>
                      <w:highlight w:val="none"/>
                      <w:lang w:val="en-US" w:eastAsia="zh-CN"/>
                    </w:rPr>
                  </w:pPr>
                  <w:r>
                    <w:rPr>
                      <w:rFonts w:hint="eastAsia"/>
                      <w:snapToGrid w:val="0"/>
                      <w:color w:val="auto"/>
                      <w:kern w:val="0"/>
                      <w:highlight w:val="none"/>
                      <w:lang w:val="en-US" w:eastAsia="zh-CN"/>
                    </w:rPr>
                    <w:t>吸入、食入</w:t>
                  </w:r>
                </w:p>
              </w:tc>
            </w:tr>
            <w:tr w14:paraId="2DB3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403" w:type="pct"/>
                  <w:tcBorders>
                    <w:tl2br w:val="nil"/>
                    <w:tr2bl w:val="nil"/>
                  </w:tcBorders>
                  <w:shd w:val="clear" w:color="auto" w:fill="auto"/>
                  <w:tcMar>
                    <w:top w:w="96" w:type="dxa"/>
                    <w:left w:w="96" w:type="dxa"/>
                    <w:bottom w:w="96" w:type="dxa"/>
                    <w:right w:w="96" w:type="dxa"/>
                  </w:tcMar>
                  <w:vAlign w:val="center"/>
                </w:tcPr>
                <w:p w14:paraId="6AC9C407">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eastAsia="宋体"/>
                      <w:snapToGrid w:val="0"/>
                      <w:color w:val="auto"/>
                      <w:kern w:val="0"/>
                      <w:highlight w:val="none"/>
                      <w:lang w:val="en-US" w:eastAsia="zh-CN"/>
                    </w:rPr>
                  </w:pPr>
                  <w:r>
                    <w:rPr>
                      <w:rFonts w:hint="eastAsia"/>
                      <w:snapToGrid w:val="0"/>
                      <w:color w:val="auto"/>
                      <w:kern w:val="0"/>
                      <w:highlight w:val="none"/>
                      <w:lang w:val="en-US" w:eastAsia="zh-CN"/>
                    </w:rPr>
                    <w:t>理化性质</w:t>
                  </w:r>
                </w:p>
              </w:tc>
              <w:tc>
                <w:tcPr>
                  <w:tcW w:w="4596" w:type="pct"/>
                  <w:gridSpan w:val="4"/>
                  <w:tcBorders>
                    <w:tl2br w:val="nil"/>
                    <w:tr2bl w:val="nil"/>
                  </w:tcBorders>
                  <w:shd w:val="clear" w:color="auto" w:fill="auto"/>
                  <w:tcMar>
                    <w:top w:w="96" w:type="dxa"/>
                    <w:left w:w="96" w:type="dxa"/>
                    <w:bottom w:w="96" w:type="dxa"/>
                    <w:right w:w="96" w:type="dxa"/>
                  </w:tcMar>
                  <w:vAlign w:val="center"/>
                </w:tcPr>
                <w:p w14:paraId="5E86152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snapToGrid w:val="0"/>
                      <w:color w:val="auto"/>
                      <w:kern w:val="0"/>
                      <w:highlight w:val="none"/>
                      <w:lang w:val="en-US" w:eastAsia="zh-CN"/>
                    </w:rPr>
                  </w:pPr>
                  <w:r>
                    <w:rPr>
                      <w:rFonts w:hint="eastAsia"/>
                      <w:snapToGrid w:val="0"/>
                      <w:color w:val="auto"/>
                      <w:kern w:val="0"/>
                      <w:highlight w:val="none"/>
                      <w:lang w:val="en-US" w:eastAsia="zh-CN"/>
                    </w:rPr>
                    <w:t>硫酸铵是一种无机盐化合物，化学式为(NH4)2SO4，分子量132.14。常温下呈无色斜方结晶，工业品一般为白色或微带黄色的小晶粒，但少数副产品带有微青、暗褐等颜色，相对密度1.77g/cm</w:t>
                  </w:r>
                  <w:r>
                    <w:rPr>
                      <w:rFonts w:hint="eastAsia"/>
                      <w:snapToGrid w:val="0"/>
                      <w:color w:val="auto"/>
                      <w:kern w:val="0"/>
                      <w:highlight w:val="none"/>
                      <w:vertAlign w:val="superscript"/>
                      <w:lang w:val="en-US" w:eastAsia="zh-CN"/>
                    </w:rPr>
                    <w:t>3</w:t>
                  </w:r>
                  <w:r>
                    <w:rPr>
                      <w:rFonts w:hint="eastAsia"/>
                      <w:snapToGrid w:val="0"/>
                      <w:color w:val="auto"/>
                      <w:kern w:val="0"/>
                      <w:highlight w:val="none"/>
                      <w:lang w:val="en-US" w:eastAsia="zh-CN"/>
                    </w:rPr>
                    <w:t>，熔点280℃（分解），易溶于水，不溶于乙醇和丙酮，水溶液为酸性（pH=5.5，0.1mol/L），水中溶解度随氨含量升高而降低。硫酸铵易吸湿，吸湿后固结成块。化学性质上体现铵盐和硫酸盐的特性，与碱反应释放氨气，加热可分解为氨气、氮气及二氧化硫，与氯化钡生成硫酸钡沉淀，与碱性碘化汞钾溶液生成棕色沉淀。</w:t>
                  </w:r>
                </w:p>
              </w:tc>
            </w:tr>
            <w:tr w14:paraId="351E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403" w:type="pct"/>
                  <w:tcBorders>
                    <w:tl2br w:val="nil"/>
                    <w:tr2bl w:val="nil"/>
                  </w:tcBorders>
                  <w:shd w:val="clear" w:color="auto" w:fill="auto"/>
                  <w:tcMar>
                    <w:top w:w="96" w:type="dxa"/>
                    <w:left w:w="96" w:type="dxa"/>
                    <w:bottom w:w="96" w:type="dxa"/>
                    <w:right w:w="96" w:type="dxa"/>
                  </w:tcMar>
                  <w:vAlign w:val="center"/>
                </w:tcPr>
                <w:p w14:paraId="75F1EEB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eastAsia="宋体"/>
                      <w:snapToGrid w:val="0"/>
                      <w:color w:val="auto"/>
                      <w:kern w:val="0"/>
                      <w:highlight w:val="none"/>
                      <w:lang w:val="en-US" w:eastAsia="zh-CN"/>
                    </w:rPr>
                  </w:pPr>
                  <w:r>
                    <w:rPr>
                      <w:rFonts w:hint="eastAsia"/>
                      <w:snapToGrid w:val="0"/>
                      <w:color w:val="auto"/>
                      <w:kern w:val="0"/>
                      <w:highlight w:val="none"/>
                      <w:lang w:val="en-US" w:eastAsia="zh-CN"/>
                    </w:rPr>
                    <w:t>急救</w:t>
                  </w:r>
                </w:p>
              </w:tc>
              <w:tc>
                <w:tcPr>
                  <w:tcW w:w="4596" w:type="pct"/>
                  <w:gridSpan w:val="4"/>
                  <w:tcBorders>
                    <w:tl2br w:val="nil"/>
                    <w:tr2bl w:val="nil"/>
                  </w:tcBorders>
                  <w:shd w:val="clear" w:color="auto" w:fill="auto"/>
                  <w:tcMar>
                    <w:top w:w="96" w:type="dxa"/>
                    <w:left w:w="96" w:type="dxa"/>
                    <w:bottom w:w="96" w:type="dxa"/>
                    <w:right w:w="96" w:type="dxa"/>
                  </w:tcMar>
                  <w:vAlign w:val="center"/>
                </w:tcPr>
                <w:p w14:paraId="0020795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snapToGrid w:val="0"/>
                      <w:color w:val="auto"/>
                      <w:kern w:val="0"/>
                      <w:highlight w:val="none"/>
                    </w:rPr>
                  </w:pPr>
                  <w:r>
                    <w:rPr>
                      <w:rFonts w:hint="eastAsia"/>
                      <w:snapToGrid w:val="0"/>
                      <w:color w:val="auto"/>
                      <w:kern w:val="0"/>
                      <w:highlight w:val="none"/>
                    </w:rPr>
                    <w:t>皮肤接触：脱去污染的衣着，用大量流动清水冲洗。</w:t>
                  </w:r>
                </w:p>
                <w:p w14:paraId="1E3E5D5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snapToGrid w:val="0"/>
                      <w:color w:val="auto"/>
                      <w:kern w:val="0"/>
                      <w:highlight w:val="none"/>
                    </w:rPr>
                  </w:pPr>
                  <w:r>
                    <w:rPr>
                      <w:rFonts w:hint="eastAsia"/>
                      <w:snapToGrid w:val="0"/>
                      <w:color w:val="auto"/>
                      <w:kern w:val="0"/>
                      <w:highlight w:val="none"/>
                    </w:rPr>
                    <w:t>眼睛接触：提起眼睑，用流动清水或生理盐水至少冲洗15分钟。就医。</w:t>
                  </w:r>
                </w:p>
                <w:p w14:paraId="0DCCB7A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snapToGrid w:val="0"/>
                      <w:color w:val="auto"/>
                      <w:kern w:val="0"/>
                      <w:highlight w:val="none"/>
                    </w:rPr>
                  </w:pPr>
                  <w:r>
                    <w:rPr>
                      <w:rFonts w:hint="eastAsia"/>
                      <w:snapToGrid w:val="0"/>
                      <w:color w:val="auto"/>
                      <w:kern w:val="0"/>
                      <w:highlight w:val="none"/>
                    </w:rPr>
                    <w:t>吸入：脱离现场至空气新鲜处。如呼吸困难，给输氧。就医。</w:t>
                  </w:r>
                </w:p>
                <w:p w14:paraId="3A017DB9">
                  <w:pPr>
                    <w:keepNext w:val="0"/>
                    <w:keepLines w:val="0"/>
                    <w:pageBreakBefore w:val="0"/>
                    <w:widowControl/>
                    <w:kinsoku/>
                    <w:wordWrap/>
                    <w:overflowPunct/>
                    <w:topLinePunct w:val="0"/>
                    <w:autoSpaceDE/>
                    <w:autoSpaceDN/>
                    <w:bidi w:val="0"/>
                    <w:adjustRightInd/>
                    <w:snapToGrid/>
                    <w:spacing w:line="320" w:lineRule="exact"/>
                    <w:jc w:val="left"/>
                    <w:textAlignment w:val="auto"/>
                    <w:rPr>
                      <w:snapToGrid w:val="0"/>
                      <w:color w:val="auto"/>
                      <w:kern w:val="0"/>
                      <w:highlight w:val="none"/>
                    </w:rPr>
                  </w:pPr>
                  <w:r>
                    <w:rPr>
                      <w:rFonts w:hint="eastAsia"/>
                      <w:snapToGrid w:val="0"/>
                      <w:color w:val="auto"/>
                      <w:kern w:val="0"/>
                      <w:highlight w:val="none"/>
                    </w:rPr>
                    <w:t>食入：饮足量温水，催吐。就医</w:t>
                  </w:r>
                </w:p>
              </w:tc>
            </w:tr>
            <w:tr w14:paraId="569C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403" w:type="pct"/>
                  <w:tcBorders>
                    <w:tl2br w:val="nil"/>
                    <w:tr2bl w:val="nil"/>
                  </w:tcBorders>
                  <w:shd w:val="clear" w:color="auto" w:fill="auto"/>
                  <w:tcMar>
                    <w:top w:w="96" w:type="dxa"/>
                    <w:left w:w="96" w:type="dxa"/>
                    <w:bottom w:w="96" w:type="dxa"/>
                    <w:right w:w="96" w:type="dxa"/>
                  </w:tcMar>
                  <w:vAlign w:val="center"/>
                </w:tcPr>
                <w:p w14:paraId="04557DA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eastAsia="宋体"/>
                      <w:snapToGrid w:val="0"/>
                      <w:color w:val="auto"/>
                      <w:kern w:val="0"/>
                      <w:highlight w:val="none"/>
                      <w:lang w:val="en-US" w:eastAsia="zh-CN"/>
                    </w:rPr>
                  </w:pPr>
                  <w:r>
                    <w:rPr>
                      <w:rFonts w:hint="eastAsia"/>
                      <w:snapToGrid w:val="0"/>
                      <w:color w:val="auto"/>
                      <w:kern w:val="0"/>
                      <w:highlight w:val="none"/>
                      <w:lang w:val="en-US" w:eastAsia="zh-CN"/>
                    </w:rPr>
                    <w:t>消防</w:t>
                  </w:r>
                </w:p>
              </w:tc>
              <w:tc>
                <w:tcPr>
                  <w:tcW w:w="4596" w:type="pct"/>
                  <w:gridSpan w:val="4"/>
                  <w:tcBorders>
                    <w:tl2br w:val="nil"/>
                    <w:tr2bl w:val="nil"/>
                  </w:tcBorders>
                  <w:shd w:val="clear" w:color="auto" w:fill="auto"/>
                  <w:tcMar>
                    <w:top w:w="96" w:type="dxa"/>
                    <w:left w:w="96" w:type="dxa"/>
                    <w:bottom w:w="96" w:type="dxa"/>
                    <w:right w:w="96" w:type="dxa"/>
                  </w:tcMar>
                  <w:vAlign w:val="center"/>
                </w:tcPr>
                <w:p w14:paraId="03F0A3EC">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snapToGrid w:val="0"/>
                      <w:color w:val="auto"/>
                      <w:kern w:val="0"/>
                      <w:highlight w:val="none"/>
                    </w:rPr>
                  </w:pPr>
                  <w:r>
                    <w:rPr>
                      <w:rFonts w:hint="eastAsia"/>
                      <w:snapToGrid w:val="0"/>
                      <w:color w:val="auto"/>
                      <w:kern w:val="0"/>
                      <w:highlight w:val="none"/>
                    </w:rPr>
                    <w:t>危险特性：受热分解产生有毒的烟气。</w:t>
                  </w:r>
                </w:p>
                <w:p w14:paraId="7740B56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snapToGrid w:val="0"/>
                      <w:color w:val="auto"/>
                      <w:kern w:val="0"/>
                      <w:highlight w:val="none"/>
                    </w:rPr>
                  </w:pPr>
                  <w:r>
                    <w:rPr>
                      <w:rFonts w:hint="eastAsia"/>
                      <w:snapToGrid w:val="0"/>
                      <w:color w:val="auto"/>
                      <w:kern w:val="0"/>
                      <w:highlight w:val="none"/>
                    </w:rPr>
                    <w:t>有害燃烧产物：氮氧化物、硫化物。</w:t>
                  </w:r>
                </w:p>
                <w:p w14:paraId="625B3325">
                  <w:pPr>
                    <w:keepNext w:val="0"/>
                    <w:keepLines w:val="0"/>
                    <w:pageBreakBefore w:val="0"/>
                    <w:widowControl/>
                    <w:kinsoku/>
                    <w:wordWrap/>
                    <w:overflowPunct/>
                    <w:topLinePunct w:val="0"/>
                    <w:autoSpaceDE/>
                    <w:autoSpaceDN/>
                    <w:bidi w:val="0"/>
                    <w:adjustRightInd/>
                    <w:snapToGrid/>
                    <w:spacing w:line="320" w:lineRule="exact"/>
                    <w:jc w:val="left"/>
                    <w:textAlignment w:val="auto"/>
                    <w:rPr>
                      <w:snapToGrid w:val="0"/>
                      <w:color w:val="auto"/>
                      <w:kern w:val="0"/>
                      <w:highlight w:val="none"/>
                    </w:rPr>
                  </w:pPr>
                  <w:r>
                    <w:rPr>
                      <w:rFonts w:hint="eastAsia"/>
                      <w:snapToGrid w:val="0"/>
                      <w:color w:val="auto"/>
                      <w:kern w:val="0"/>
                      <w:highlight w:val="none"/>
                    </w:rPr>
                    <w:t>灭火方法：消防人员必须穿全身防火防毒服，在上风向灭火。灭火时尽可能将容器从火场移至空旷处。</w:t>
                  </w:r>
                </w:p>
              </w:tc>
            </w:tr>
            <w:tr w14:paraId="0B9F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403" w:type="pct"/>
                  <w:tcBorders>
                    <w:tl2br w:val="nil"/>
                    <w:tr2bl w:val="nil"/>
                  </w:tcBorders>
                  <w:shd w:val="clear" w:color="auto" w:fill="auto"/>
                  <w:tcMar>
                    <w:top w:w="96" w:type="dxa"/>
                    <w:left w:w="96" w:type="dxa"/>
                    <w:bottom w:w="96" w:type="dxa"/>
                    <w:right w:w="96" w:type="dxa"/>
                  </w:tcMar>
                  <w:vAlign w:val="center"/>
                </w:tcPr>
                <w:p w14:paraId="7FB48605">
                  <w:pPr>
                    <w:keepNext w:val="0"/>
                    <w:keepLines w:val="0"/>
                    <w:pageBreakBefore w:val="0"/>
                    <w:widowControl/>
                    <w:kinsoku/>
                    <w:wordWrap/>
                    <w:overflowPunct/>
                    <w:topLinePunct w:val="0"/>
                    <w:autoSpaceDE/>
                    <w:autoSpaceDN/>
                    <w:bidi w:val="0"/>
                    <w:adjustRightInd/>
                    <w:snapToGrid/>
                    <w:spacing w:line="320" w:lineRule="exact"/>
                    <w:jc w:val="center"/>
                    <w:textAlignment w:val="auto"/>
                    <w:rPr>
                      <w:snapToGrid w:val="0"/>
                      <w:color w:val="auto"/>
                      <w:kern w:val="0"/>
                      <w:highlight w:val="none"/>
                    </w:rPr>
                  </w:pPr>
                  <w:r>
                    <w:rPr>
                      <w:rFonts w:hint="eastAsia"/>
                      <w:snapToGrid w:val="0"/>
                      <w:color w:val="auto"/>
                      <w:kern w:val="0"/>
                      <w:highlight w:val="none"/>
                    </w:rPr>
                    <w:t>泄漏应急处理</w:t>
                  </w:r>
                </w:p>
              </w:tc>
              <w:tc>
                <w:tcPr>
                  <w:tcW w:w="4596" w:type="pct"/>
                  <w:gridSpan w:val="4"/>
                  <w:tcBorders>
                    <w:tl2br w:val="nil"/>
                    <w:tr2bl w:val="nil"/>
                  </w:tcBorders>
                  <w:shd w:val="clear" w:color="auto" w:fill="auto"/>
                  <w:tcMar>
                    <w:top w:w="96" w:type="dxa"/>
                    <w:left w:w="96" w:type="dxa"/>
                    <w:bottom w:w="96" w:type="dxa"/>
                    <w:right w:w="96" w:type="dxa"/>
                  </w:tcMar>
                  <w:vAlign w:val="center"/>
                </w:tcPr>
                <w:p w14:paraId="2E9884C7">
                  <w:pPr>
                    <w:keepNext w:val="0"/>
                    <w:keepLines w:val="0"/>
                    <w:pageBreakBefore w:val="0"/>
                    <w:widowControl/>
                    <w:kinsoku/>
                    <w:wordWrap/>
                    <w:overflowPunct/>
                    <w:topLinePunct w:val="0"/>
                    <w:autoSpaceDE/>
                    <w:autoSpaceDN/>
                    <w:bidi w:val="0"/>
                    <w:adjustRightInd/>
                    <w:snapToGrid/>
                    <w:spacing w:line="320" w:lineRule="exact"/>
                    <w:jc w:val="left"/>
                    <w:textAlignment w:val="auto"/>
                    <w:rPr>
                      <w:snapToGrid w:val="0"/>
                      <w:color w:val="auto"/>
                      <w:kern w:val="0"/>
                      <w:highlight w:val="none"/>
                    </w:rPr>
                  </w:pPr>
                  <w:r>
                    <w:rPr>
                      <w:rFonts w:hint="eastAsia"/>
                      <w:snapToGrid w:val="0"/>
                      <w:color w:val="auto"/>
                      <w:kern w:val="0"/>
                      <w:highlight w:val="none"/>
                    </w:rPr>
                    <w:t>应急处理：隔离泄漏污染区，限制出入。建议应急处理人员戴防尘面具（全面罩），穿防毒服。用洁净的铲子收集于干燥、洁净、有盖的容器中，转移至安全场所。若大量泄漏，收集回收或运至废物处理场所处置。</w:t>
                  </w:r>
                </w:p>
              </w:tc>
            </w:tr>
            <w:tr w14:paraId="17B10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403" w:type="pct"/>
                  <w:tcBorders>
                    <w:tl2br w:val="nil"/>
                    <w:tr2bl w:val="nil"/>
                  </w:tcBorders>
                  <w:shd w:val="clear" w:color="auto" w:fill="auto"/>
                  <w:tcMar>
                    <w:top w:w="96" w:type="dxa"/>
                    <w:left w:w="96" w:type="dxa"/>
                    <w:bottom w:w="96" w:type="dxa"/>
                    <w:right w:w="96" w:type="dxa"/>
                  </w:tcMar>
                  <w:vAlign w:val="center"/>
                </w:tcPr>
                <w:p w14:paraId="53291B5A">
                  <w:pPr>
                    <w:pStyle w:val="127"/>
                    <w:keepNext w:val="0"/>
                    <w:keepLines w:val="0"/>
                    <w:pageBreakBefore w:val="0"/>
                    <w:widowControl/>
                    <w:kinsoku/>
                    <w:wordWrap/>
                    <w:overflowPunct/>
                    <w:topLinePunct w:val="0"/>
                    <w:autoSpaceDE/>
                    <w:autoSpaceDN/>
                    <w:bidi w:val="0"/>
                    <w:adjustRightInd/>
                    <w:snapToGrid/>
                    <w:spacing w:line="320" w:lineRule="exact"/>
                    <w:textAlignment w:val="auto"/>
                    <w:rPr>
                      <w:rFonts w:hint="default" w:eastAsia="宋体"/>
                      <w:color w:val="auto"/>
                      <w:highlight w:val="none"/>
                      <w:lang w:val="en-US" w:eastAsia="zh-CN"/>
                    </w:rPr>
                  </w:pPr>
                  <w:r>
                    <w:rPr>
                      <w:rFonts w:hint="eastAsia"/>
                      <w:color w:val="auto"/>
                      <w:highlight w:val="none"/>
                      <w:lang w:val="en-US" w:eastAsia="zh-CN"/>
                    </w:rPr>
                    <w:t>操作处置</w:t>
                  </w:r>
                </w:p>
              </w:tc>
              <w:tc>
                <w:tcPr>
                  <w:tcW w:w="4596" w:type="pct"/>
                  <w:gridSpan w:val="4"/>
                  <w:tcBorders>
                    <w:tl2br w:val="nil"/>
                    <w:tr2bl w:val="nil"/>
                  </w:tcBorders>
                  <w:shd w:val="clear" w:color="auto" w:fill="auto"/>
                  <w:tcMar>
                    <w:top w:w="96" w:type="dxa"/>
                    <w:left w:w="96" w:type="dxa"/>
                    <w:bottom w:w="96" w:type="dxa"/>
                    <w:right w:w="96" w:type="dxa"/>
                  </w:tcMar>
                  <w:vAlign w:val="center"/>
                </w:tcPr>
                <w:p w14:paraId="7021BF3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snapToGrid w:val="0"/>
                      <w:color w:val="auto"/>
                      <w:kern w:val="0"/>
                      <w:highlight w:val="none"/>
                    </w:rPr>
                  </w:pPr>
                  <w:r>
                    <w:rPr>
                      <w:rFonts w:hint="eastAsia"/>
                      <w:snapToGrid w:val="0"/>
                      <w:color w:val="auto"/>
                      <w:kern w:val="0"/>
                      <w:highlight w:val="none"/>
                    </w:rPr>
                    <w:t>操作注意事项：密闭操作，局部排风。操作人员必须经过专门培训，严格遵守操作规程。建议操作人员佩戴自吸过滤式防尘口罩，戴化学安全防护眼镜，穿防毒物渗透工作服，戴橡胶手套。避免产生粉尘。避免与酸类、碱类接触。搬运时要轻装轻卸，防止包装及容器损坏。配备泄漏应急处理设备。倒空的容器可能残留有害物。</w:t>
                  </w:r>
                </w:p>
                <w:p w14:paraId="61CD1E11">
                  <w:pPr>
                    <w:keepNext w:val="0"/>
                    <w:keepLines w:val="0"/>
                    <w:pageBreakBefore w:val="0"/>
                    <w:widowControl/>
                    <w:kinsoku/>
                    <w:wordWrap/>
                    <w:overflowPunct/>
                    <w:topLinePunct w:val="0"/>
                    <w:autoSpaceDE/>
                    <w:autoSpaceDN/>
                    <w:bidi w:val="0"/>
                    <w:adjustRightInd/>
                    <w:snapToGrid/>
                    <w:spacing w:line="320" w:lineRule="exact"/>
                    <w:jc w:val="left"/>
                    <w:textAlignment w:val="auto"/>
                    <w:rPr>
                      <w:snapToGrid w:val="0"/>
                      <w:color w:val="auto"/>
                      <w:kern w:val="0"/>
                      <w:highlight w:val="none"/>
                    </w:rPr>
                  </w:pPr>
                  <w:r>
                    <w:rPr>
                      <w:rFonts w:hint="eastAsia"/>
                      <w:snapToGrid w:val="0"/>
                      <w:color w:val="auto"/>
                      <w:kern w:val="0"/>
                      <w:highlight w:val="none"/>
                    </w:rPr>
                    <w:t>储存注意事项：储存于阴凉、通风的库房。远离火种、热源。应与酸类、碱类分开存放，切忌混储。储区应备有合适的材料收容泄漏物。</w:t>
                  </w:r>
                </w:p>
              </w:tc>
            </w:tr>
          </w:tbl>
          <w:p w14:paraId="3640CE4E">
            <w:pPr>
              <w:keepNext w:val="0"/>
              <w:keepLines w:val="0"/>
              <w:pageBreakBefore w:val="0"/>
              <w:widowControl w:val="0"/>
              <w:kinsoku/>
              <w:wordWrap/>
              <w:overflowPunct/>
              <w:topLinePunct w:val="0"/>
              <w:autoSpaceDE/>
              <w:autoSpaceDN/>
              <w:bidi w:val="0"/>
              <w:adjustRightInd/>
              <w:snapToGrid/>
              <w:spacing w:before="157" w:beforeLines="50" w:line="320" w:lineRule="exact"/>
              <w:jc w:val="center"/>
              <w:textAlignment w:val="auto"/>
              <w:rPr>
                <w:b/>
                <w:color w:val="auto"/>
                <w:szCs w:val="21"/>
                <w:highlight w:val="none"/>
              </w:rPr>
            </w:pPr>
          </w:p>
          <w:p w14:paraId="59418E31">
            <w:pPr>
              <w:keepNext w:val="0"/>
              <w:keepLines w:val="0"/>
              <w:pageBreakBefore w:val="0"/>
              <w:widowControl w:val="0"/>
              <w:kinsoku/>
              <w:wordWrap/>
              <w:overflowPunct/>
              <w:topLinePunct w:val="0"/>
              <w:autoSpaceDE/>
              <w:autoSpaceDN/>
              <w:bidi w:val="0"/>
              <w:adjustRightInd/>
              <w:snapToGrid/>
              <w:spacing w:before="157" w:beforeLines="50" w:line="320" w:lineRule="exact"/>
              <w:jc w:val="center"/>
              <w:textAlignment w:val="auto"/>
              <w:rPr>
                <w:b/>
                <w:color w:val="auto"/>
                <w:szCs w:val="21"/>
                <w:highlight w:val="none"/>
              </w:rPr>
            </w:pPr>
          </w:p>
          <w:p w14:paraId="722D963A">
            <w:pPr>
              <w:keepNext w:val="0"/>
              <w:keepLines w:val="0"/>
              <w:pageBreakBefore w:val="0"/>
              <w:widowControl w:val="0"/>
              <w:kinsoku/>
              <w:wordWrap/>
              <w:overflowPunct/>
              <w:topLinePunct w:val="0"/>
              <w:autoSpaceDE/>
              <w:autoSpaceDN/>
              <w:bidi w:val="0"/>
              <w:adjustRightInd/>
              <w:snapToGrid/>
              <w:spacing w:before="157" w:beforeLines="50" w:line="320" w:lineRule="exact"/>
              <w:jc w:val="center"/>
              <w:textAlignment w:val="auto"/>
              <w:rPr>
                <w:b/>
                <w:color w:val="auto"/>
                <w:szCs w:val="21"/>
                <w:highlight w:val="none"/>
              </w:rPr>
            </w:pPr>
            <w:r>
              <w:rPr>
                <w:b/>
                <w:color w:val="auto"/>
                <w:szCs w:val="21"/>
                <w:highlight w:val="none"/>
              </w:rPr>
              <w:t>表</w:t>
            </w:r>
            <w:r>
              <w:rPr>
                <w:rFonts w:hint="eastAsia"/>
                <w:b/>
                <w:color w:val="auto"/>
                <w:szCs w:val="21"/>
                <w:highlight w:val="none"/>
              </w:rPr>
              <w:t>4</w:t>
            </w:r>
            <w:r>
              <w:rPr>
                <w:b/>
                <w:color w:val="auto"/>
                <w:szCs w:val="21"/>
                <w:highlight w:val="none"/>
              </w:rPr>
              <w:t>-</w:t>
            </w:r>
            <w:r>
              <w:rPr>
                <w:rFonts w:hint="eastAsia"/>
                <w:b/>
                <w:color w:val="auto"/>
                <w:szCs w:val="21"/>
                <w:highlight w:val="none"/>
                <w:lang w:val="en-US" w:eastAsia="zh-CN"/>
              </w:rPr>
              <w:t>3</w:t>
            </w:r>
            <w:r>
              <w:rPr>
                <w:rFonts w:hint="eastAsia"/>
                <w:b/>
                <w:color w:val="auto"/>
                <w:szCs w:val="21"/>
                <w:highlight w:val="none"/>
              </w:rPr>
              <w:t>8</w:t>
            </w:r>
            <w:r>
              <w:rPr>
                <w:rFonts w:hint="eastAsia"/>
                <w:b/>
                <w:color w:val="auto"/>
                <w:szCs w:val="21"/>
                <w:highlight w:val="none"/>
                <w:lang w:val="en-US" w:eastAsia="zh-CN"/>
              </w:rPr>
              <w:t xml:space="preserve">  </w:t>
            </w:r>
            <w:r>
              <w:rPr>
                <w:b/>
                <w:color w:val="auto"/>
                <w:szCs w:val="21"/>
                <w:highlight w:val="none"/>
              </w:rPr>
              <w:t>项目物料存储情况</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6"/>
              <w:gridCol w:w="1697"/>
              <w:gridCol w:w="1697"/>
              <w:gridCol w:w="2196"/>
              <w:gridCol w:w="1378"/>
            </w:tblGrid>
            <w:tr w14:paraId="28A0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88" w:type="pct"/>
                  <w:vAlign w:val="center"/>
                </w:tcPr>
                <w:p w14:paraId="59E929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kern w:val="1"/>
                      <w:sz w:val="21"/>
                      <w:szCs w:val="21"/>
                      <w:highlight w:val="none"/>
                    </w:rPr>
                  </w:pPr>
                  <w:r>
                    <w:rPr>
                      <w:rFonts w:hint="default" w:ascii="Times New Roman" w:hAnsi="Times New Roman" w:cs="Times New Roman" w:eastAsiaTheme="minorEastAsia"/>
                      <w:b/>
                      <w:bCs/>
                      <w:color w:val="auto"/>
                      <w:kern w:val="1"/>
                      <w:sz w:val="21"/>
                      <w:szCs w:val="21"/>
                      <w:highlight w:val="none"/>
                    </w:rPr>
                    <w:t>危险物质</w:t>
                  </w:r>
                </w:p>
              </w:tc>
              <w:tc>
                <w:tcPr>
                  <w:tcW w:w="977" w:type="pct"/>
                  <w:vAlign w:val="center"/>
                </w:tcPr>
                <w:p w14:paraId="60F58B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kern w:val="1"/>
                      <w:sz w:val="21"/>
                      <w:szCs w:val="21"/>
                      <w:highlight w:val="none"/>
                    </w:rPr>
                  </w:pPr>
                  <w:r>
                    <w:rPr>
                      <w:rFonts w:hint="default" w:ascii="Times New Roman" w:hAnsi="Times New Roman" w:cs="Times New Roman" w:eastAsiaTheme="minorEastAsia"/>
                      <w:b/>
                      <w:bCs/>
                      <w:color w:val="auto"/>
                      <w:kern w:val="1"/>
                      <w:sz w:val="21"/>
                      <w:szCs w:val="21"/>
                      <w:highlight w:val="none"/>
                    </w:rPr>
                    <w:t>CAS号</w:t>
                  </w:r>
                </w:p>
              </w:tc>
              <w:tc>
                <w:tcPr>
                  <w:tcW w:w="977" w:type="pct"/>
                  <w:vAlign w:val="center"/>
                </w:tcPr>
                <w:p w14:paraId="46FCE6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kern w:val="1"/>
                      <w:sz w:val="21"/>
                      <w:szCs w:val="21"/>
                      <w:highlight w:val="none"/>
                    </w:rPr>
                  </w:pPr>
                  <w:r>
                    <w:rPr>
                      <w:rFonts w:hint="default" w:ascii="Times New Roman" w:hAnsi="Times New Roman" w:cs="Times New Roman" w:eastAsiaTheme="minorEastAsia"/>
                      <w:b/>
                      <w:bCs/>
                      <w:color w:val="auto"/>
                      <w:sz w:val="21"/>
                      <w:szCs w:val="21"/>
                      <w:highlight w:val="none"/>
                    </w:rPr>
                    <w:t>临界量Qn/t</w:t>
                  </w:r>
                </w:p>
              </w:tc>
              <w:tc>
                <w:tcPr>
                  <w:tcW w:w="1264" w:type="pct"/>
                  <w:vAlign w:val="center"/>
                </w:tcPr>
                <w:p w14:paraId="6F25CC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kern w:val="1"/>
                      <w:sz w:val="21"/>
                      <w:szCs w:val="21"/>
                      <w:highlight w:val="none"/>
                    </w:rPr>
                  </w:pPr>
                  <w:r>
                    <w:rPr>
                      <w:rFonts w:hint="default" w:ascii="Times New Roman" w:hAnsi="Times New Roman" w:cs="Times New Roman" w:eastAsiaTheme="minorEastAsia"/>
                      <w:b/>
                      <w:bCs/>
                      <w:color w:val="auto"/>
                      <w:kern w:val="1"/>
                      <w:sz w:val="21"/>
                      <w:szCs w:val="21"/>
                      <w:highlight w:val="none"/>
                    </w:rPr>
                    <w:t>最大存在量qn/t</w:t>
                  </w:r>
                </w:p>
              </w:tc>
              <w:tc>
                <w:tcPr>
                  <w:tcW w:w="793" w:type="pct"/>
                  <w:vAlign w:val="center"/>
                </w:tcPr>
                <w:p w14:paraId="183447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b/>
                      <w:bCs/>
                      <w:color w:val="auto"/>
                      <w:kern w:val="1"/>
                      <w:sz w:val="21"/>
                      <w:szCs w:val="21"/>
                      <w:highlight w:val="none"/>
                    </w:rPr>
                    <w:t>q/Q</w:t>
                  </w:r>
                </w:p>
              </w:tc>
            </w:tr>
            <w:tr w14:paraId="4FA0B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88" w:type="pct"/>
                  <w:vAlign w:val="center"/>
                </w:tcPr>
                <w:p w14:paraId="394140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kern w:val="1"/>
                      <w:sz w:val="21"/>
                      <w:szCs w:val="21"/>
                      <w:highlight w:val="none"/>
                    </w:rPr>
                  </w:pPr>
                  <w:r>
                    <w:rPr>
                      <w:rFonts w:hint="default" w:ascii="Times New Roman" w:hAnsi="Times New Roman" w:cs="Times New Roman" w:eastAsiaTheme="minorEastAsia"/>
                      <w:color w:val="auto"/>
                      <w:kern w:val="1"/>
                      <w:sz w:val="21"/>
                      <w:szCs w:val="21"/>
                      <w:highlight w:val="none"/>
                    </w:rPr>
                    <w:t>废矿物油</w:t>
                  </w:r>
                </w:p>
              </w:tc>
              <w:tc>
                <w:tcPr>
                  <w:tcW w:w="977" w:type="pct"/>
                  <w:vAlign w:val="center"/>
                </w:tcPr>
                <w:p w14:paraId="1758D9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kern w:val="1"/>
                      <w:sz w:val="21"/>
                      <w:szCs w:val="21"/>
                      <w:highlight w:val="none"/>
                    </w:rPr>
                    <w:t>/</w:t>
                  </w:r>
                </w:p>
              </w:tc>
              <w:tc>
                <w:tcPr>
                  <w:tcW w:w="977" w:type="pct"/>
                  <w:vAlign w:val="center"/>
                </w:tcPr>
                <w:p w14:paraId="468C620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kern w:val="1"/>
                      <w:sz w:val="21"/>
                      <w:szCs w:val="21"/>
                      <w:highlight w:val="none"/>
                    </w:rPr>
                  </w:pPr>
                  <w:r>
                    <w:rPr>
                      <w:rFonts w:hint="default" w:ascii="Times New Roman" w:hAnsi="Times New Roman" w:cs="Times New Roman" w:eastAsiaTheme="minorEastAsia"/>
                      <w:color w:val="auto"/>
                      <w:kern w:val="1"/>
                      <w:sz w:val="21"/>
                      <w:szCs w:val="21"/>
                      <w:highlight w:val="none"/>
                    </w:rPr>
                    <w:t>2500</w:t>
                  </w:r>
                </w:p>
              </w:tc>
              <w:tc>
                <w:tcPr>
                  <w:tcW w:w="1264" w:type="pct"/>
                  <w:vAlign w:val="center"/>
                </w:tcPr>
                <w:p w14:paraId="129A76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kern w:val="1"/>
                      <w:sz w:val="21"/>
                      <w:szCs w:val="21"/>
                      <w:highlight w:val="none"/>
                    </w:rPr>
                    <w:t>0.06</w:t>
                  </w:r>
                </w:p>
              </w:tc>
              <w:tc>
                <w:tcPr>
                  <w:tcW w:w="793" w:type="pct"/>
                  <w:vAlign w:val="center"/>
                </w:tcPr>
                <w:p w14:paraId="4ACA580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lang w:val="en-US" w:eastAsia="zh-CN"/>
                    </w:rPr>
                  </w:pPr>
                  <w:r>
                    <w:rPr>
                      <w:rFonts w:hint="default" w:ascii="Times New Roman" w:hAnsi="Times New Roman" w:cs="Times New Roman" w:eastAsiaTheme="minorEastAsia"/>
                      <w:color w:val="auto"/>
                      <w:kern w:val="1"/>
                      <w:sz w:val="21"/>
                      <w:szCs w:val="21"/>
                      <w:highlight w:val="none"/>
                      <w:lang w:val="en-US" w:eastAsia="zh-CN"/>
                    </w:rPr>
                    <w:t>0.00002</w:t>
                  </w:r>
                </w:p>
              </w:tc>
            </w:tr>
            <w:tr w14:paraId="160C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88" w:type="pct"/>
                  <w:vAlign w:val="center"/>
                </w:tcPr>
                <w:p w14:paraId="646568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kern w:val="1"/>
                      <w:sz w:val="21"/>
                      <w:szCs w:val="21"/>
                      <w:highlight w:val="none"/>
                    </w:rPr>
                    <w:t>CH</w:t>
                  </w:r>
                  <w:r>
                    <w:rPr>
                      <w:rFonts w:hint="default" w:ascii="Times New Roman" w:hAnsi="Times New Roman" w:cs="Times New Roman" w:eastAsiaTheme="minorEastAsia"/>
                      <w:color w:val="auto"/>
                      <w:kern w:val="1"/>
                      <w:sz w:val="21"/>
                      <w:szCs w:val="21"/>
                      <w:highlight w:val="none"/>
                      <w:vertAlign w:val="subscript"/>
                    </w:rPr>
                    <w:t>4</w:t>
                  </w:r>
                </w:p>
              </w:tc>
              <w:tc>
                <w:tcPr>
                  <w:tcW w:w="977" w:type="pct"/>
                  <w:vAlign w:val="center"/>
                </w:tcPr>
                <w:p w14:paraId="215BB1F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sz w:val="21"/>
                      <w:szCs w:val="21"/>
                      <w:highlight w:val="none"/>
                    </w:rPr>
                    <w:t>74-82-8</w:t>
                  </w:r>
                </w:p>
              </w:tc>
              <w:tc>
                <w:tcPr>
                  <w:tcW w:w="977" w:type="pct"/>
                  <w:vAlign w:val="center"/>
                </w:tcPr>
                <w:p w14:paraId="55C71C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sz w:val="21"/>
                      <w:szCs w:val="21"/>
                      <w:highlight w:val="none"/>
                    </w:rPr>
                    <w:t>10</w:t>
                  </w:r>
                </w:p>
              </w:tc>
              <w:tc>
                <w:tcPr>
                  <w:tcW w:w="1264" w:type="pct"/>
                  <w:vAlign w:val="center"/>
                </w:tcPr>
                <w:p w14:paraId="52E06A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lang w:val="en-US" w:eastAsia="zh-CN"/>
                    </w:rPr>
                  </w:pPr>
                  <w:r>
                    <w:rPr>
                      <w:rFonts w:hint="default" w:ascii="Times New Roman" w:hAnsi="Times New Roman" w:cs="Times New Roman" w:eastAsiaTheme="minorEastAsia"/>
                      <w:color w:val="auto"/>
                      <w:kern w:val="1"/>
                      <w:sz w:val="21"/>
                      <w:szCs w:val="21"/>
                      <w:highlight w:val="none"/>
                      <w:lang w:val="en-US" w:eastAsia="zh-CN"/>
                    </w:rPr>
                    <w:t>0.082</w:t>
                  </w:r>
                </w:p>
                <w:p w14:paraId="337AEE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kern w:val="1"/>
                      <w:sz w:val="21"/>
                      <w:szCs w:val="21"/>
                      <w:highlight w:val="none"/>
                    </w:rPr>
                    <w:t>（按1h</w:t>
                  </w:r>
                  <w:r>
                    <w:rPr>
                      <w:rFonts w:hint="default" w:ascii="Times New Roman" w:hAnsi="Times New Roman" w:cs="Times New Roman" w:eastAsiaTheme="minorEastAsia"/>
                      <w:color w:val="auto"/>
                      <w:kern w:val="1"/>
                      <w:sz w:val="21"/>
                      <w:szCs w:val="21"/>
                      <w:highlight w:val="none"/>
                      <w:lang w:val="en-US" w:eastAsia="zh-CN"/>
                    </w:rPr>
                    <w:t>产生</w:t>
                  </w:r>
                  <w:r>
                    <w:rPr>
                      <w:rFonts w:hint="default" w:ascii="Times New Roman" w:hAnsi="Times New Roman" w:cs="Times New Roman" w:eastAsiaTheme="minorEastAsia"/>
                      <w:color w:val="auto"/>
                      <w:kern w:val="1"/>
                      <w:sz w:val="21"/>
                      <w:szCs w:val="21"/>
                      <w:highlight w:val="none"/>
                    </w:rPr>
                    <w:t>量计）</w:t>
                  </w:r>
                </w:p>
              </w:tc>
              <w:tc>
                <w:tcPr>
                  <w:tcW w:w="793" w:type="pct"/>
                  <w:vAlign w:val="center"/>
                </w:tcPr>
                <w:p w14:paraId="0E20A9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0.0082</w:t>
                  </w:r>
                </w:p>
              </w:tc>
            </w:tr>
            <w:tr w14:paraId="59C9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88" w:type="pct"/>
                  <w:vAlign w:val="center"/>
                </w:tcPr>
                <w:p w14:paraId="762525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kern w:val="1"/>
                      <w:sz w:val="21"/>
                      <w:szCs w:val="21"/>
                      <w:highlight w:val="none"/>
                    </w:rPr>
                    <w:t>H</w:t>
                  </w:r>
                  <w:r>
                    <w:rPr>
                      <w:rFonts w:hint="default" w:ascii="Times New Roman" w:hAnsi="Times New Roman" w:cs="Times New Roman" w:eastAsiaTheme="minorEastAsia"/>
                      <w:color w:val="auto"/>
                      <w:kern w:val="1"/>
                      <w:sz w:val="21"/>
                      <w:szCs w:val="21"/>
                      <w:highlight w:val="none"/>
                      <w:vertAlign w:val="subscript"/>
                    </w:rPr>
                    <w:t>2</w:t>
                  </w:r>
                  <w:r>
                    <w:rPr>
                      <w:rFonts w:hint="default" w:ascii="Times New Roman" w:hAnsi="Times New Roman" w:cs="Times New Roman" w:eastAsiaTheme="minorEastAsia"/>
                      <w:color w:val="auto"/>
                      <w:kern w:val="1"/>
                      <w:sz w:val="21"/>
                      <w:szCs w:val="21"/>
                      <w:highlight w:val="none"/>
                    </w:rPr>
                    <w:t>S</w:t>
                  </w:r>
                </w:p>
              </w:tc>
              <w:tc>
                <w:tcPr>
                  <w:tcW w:w="977" w:type="pct"/>
                  <w:vAlign w:val="center"/>
                </w:tcPr>
                <w:p w14:paraId="0A11F2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sz w:val="21"/>
                      <w:szCs w:val="21"/>
                      <w:highlight w:val="none"/>
                    </w:rPr>
                    <w:t>7446-09-5</w:t>
                  </w:r>
                </w:p>
              </w:tc>
              <w:tc>
                <w:tcPr>
                  <w:tcW w:w="977" w:type="pct"/>
                  <w:vAlign w:val="center"/>
                </w:tcPr>
                <w:p w14:paraId="6D985B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sz w:val="21"/>
                      <w:szCs w:val="21"/>
                      <w:highlight w:val="none"/>
                    </w:rPr>
                    <w:t>2.5</w:t>
                  </w:r>
                </w:p>
              </w:tc>
              <w:tc>
                <w:tcPr>
                  <w:tcW w:w="1264" w:type="pct"/>
                  <w:vAlign w:val="center"/>
                </w:tcPr>
                <w:p w14:paraId="0CB5A6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lang w:val="en-US" w:eastAsia="zh-CN"/>
                    </w:rPr>
                  </w:pPr>
                  <w:r>
                    <w:rPr>
                      <w:rFonts w:hint="default" w:ascii="Times New Roman" w:hAnsi="Times New Roman" w:cs="Times New Roman" w:eastAsiaTheme="minorEastAsia"/>
                      <w:color w:val="auto"/>
                      <w:kern w:val="1"/>
                      <w:sz w:val="21"/>
                      <w:szCs w:val="21"/>
                      <w:highlight w:val="none"/>
                      <w:lang w:val="en-US" w:eastAsia="zh-CN"/>
                    </w:rPr>
                    <w:t>0.00007</w:t>
                  </w:r>
                </w:p>
                <w:p w14:paraId="1D0223F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lang w:val="en-US" w:eastAsia="zh-CN"/>
                    </w:rPr>
                  </w:pPr>
                  <w:r>
                    <w:rPr>
                      <w:rFonts w:hint="default" w:ascii="Times New Roman" w:hAnsi="Times New Roman" w:cs="Times New Roman" w:eastAsiaTheme="minorEastAsia"/>
                      <w:color w:val="auto"/>
                      <w:kern w:val="1"/>
                      <w:sz w:val="21"/>
                      <w:szCs w:val="21"/>
                      <w:highlight w:val="none"/>
                    </w:rPr>
                    <w:t>（按1h</w:t>
                  </w:r>
                  <w:r>
                    <w:rPr>
                      <w:rFonts w:hint="default" w:ascii="Times New Roman" w:hAnsi="Times New Roman" w:cs="Times New Roman" w:eastAsiaTheme="minorEastAsia"/>
                      <w:color w:val="auto"/>
                      <w:kern w:val="1"/>
                      <w:sz w:val="21"/>
                      <w:szCs w:val="21"/>
                      <w:highlight w:val="none"/>
                      <w:lang w:val="en-US" w:eastAsia="zh-CN"/>
                    </w:rPr>
                    <w:t>产生</w:t>
                  </w:r>
                  <w:r>
                    <w:rPr>
                      <w:rFonts w:hint="default" w:ascii="Times New Roman" w:hAnsi="Times New Roman" w:cs="Times New Roman" w:eastAsiaTheme="minorEastAsia"/>
                      <w:color w:val="auto"/>
                      <w:kern w:val="1"/>
                      <w:sz w:val="21"/>
                      <w:szCs w:val="21"/>
                      <w:highlight w:val="none"/>
                    </w:rPr>
                    <w:t>量计）</w:t>
                  </w:r>
                </w:p>
              </w:tc>
              <w:tc>
                <w:tcPr>
                  <w:tcW w:w="793" w:type="pct"/>
                  <w:vAlign w:val="center"/>
                </w:tcPr>
                <w:p w14:paraId="2FBBFC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0.00003</w:t>
                  </w:r>
                </w:p>
              </w:tc>
            </w:tr>
            <w:tr w14:paraId="0809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88" w:type="pct"/>
                  <w:vAlign w:val="center"/>
                </w:tcPr>
                <w:p w14:paraId="33EF3F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kern w:val="1"/>
                      <w:sz w:val="21"/>
                      <w:szCs w:val="21"/>
                      <w:highlight w:val="none"/>
                    </w:rPr>
                    <w:t>NH</w:t>
                  </w:r>
                  <w:r>
                    <w:rPr>
                      <w:rFonts w:hint="default" w:ascii="Times New Roman" w:hAnsi="Times New Roman" w:cs="Times New Roman" w:eastAsiaTheme="minorEastAsia"/>
                      <w:color w:val="auto"/>
                      <w:kern w:val="1"/>
                      <w:sz w:val="21"/>
                      <w:szCs w:val="21"/>
                      <w:highlight w:val="none"/>
                      <w:vertAlign w:val="subscript"/>
                    </w:rPr>
                    <w:t>3</w:t>
                  </w:r>
                </w:p>
              </w:tc>
              <w:tc>
                <w:tcPr>
                  <w:tcW w:w="977" w:type="pct"/>
                  <w:vAlign w:val="center"/>
                </w:tcPr>
                <w:p w14:paraId="7C6057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sz w:val="21"/>
                      <w:szCs w:val="21"/>
                      <w:highlight w:val="none"/>
                    </w:rPr>
                    <w:t>10102-44-0</w:t>
                  </w:r>
                </w:p>
              </w:tc>
              <w:tc>
                <w:tcPr>
                  <w:tcW w:w="977" w:type="pct"/>
                  <w:vAlign w:val="center"/>
                </w:tcPr>
                <w:p w14:paraId="1711E6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sz w:val="21"/>
                      <w:szCs w:val="21"/>
                      <w:highlight w:val="none"/>
                    </w:rPr>
                    <w:t>1</w:t>
                  </w:r>
                </w:p>
              </w:tc>
              <w:tc>
                <w:tcPr>
                  <w:tcW w:w="1264" w:type="pct"/>
                  <w:vAlign w:val="center"/>
                </w:tcPr>
                <w:p w14:paraId="09E94E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lang w:val="en-US" w:eastAsia="zh-CN"/>
                    </w:rPr>
                  </w:pPr>
                  <w:r>
                    <w:rPr>
                      <w:rFonts w:hint="default" w:ascii="Times New Roman" w:hAnsi="Times New Roman" w:cs="Times New Roman" w:eastAsiaTheme="minorEastAsia"/>
                      <w:color w:val="auto"/>
                      <w:kern w:val="1"/>
                      <w:sz w:val="21"/>
                      <w:szCs w:val="21"/>
                      <w:highlight w:val="none"/>
                      <w:lang w:val="en-US" w:eastAsia="zh-CN"/>
                    </w:rPr>
                    <w:t>0.0007</w:t>
                  </w:r>
                </w:p>
                <w:p w14:paraId="71F31E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kern w:val="1"/>
                      <w:sz w:val="21"/>
                      <w:szCs w:val="21"/>
                      <w:highlight w:val="none"/>
                    </w:rPr>
                    <w:t>（按1h</w:t>
                  </w:r>
                  <w:r>
                    <w:rPr>
                      <w:rFonts w:hint="default" w:ascii="Times New Roman" w:hAnsi="Times New Roman" w:cs="Times New Roman" w:eastAsiaTheme="minorEastAsia"/>
                      <w:color w:val="auto"/>
                      <w:kern w:val="1"/>
                      <w:sz w:val="21"/>
                      <w:szCs w:val="21"/>
                      <w:highlight w:val="none"/>
                      <w:lang w:val="en-US" w:eastAsia="zh-CN"/>
                    </w:rPr>
                    <w:t>产生</w:t>
                  </w:r>
                  <w:r>
                    <w:rPr>
                      <w:rFonts w:hint="default" w:ascii="Times New Roman" w:hAnsi="Times New Roman" w:cs="Times New Roman" w:eastAsiaTheme="minorEastAsia"/>
                      <w:color w:val="auto"/>
                      <w:kern w:val="1"/>
                      <w:sz w:val="21"/>
                      <w:szCs w:val="21"/>
                      <w:highlight w:val="none"/>
                    </w:rPr>
                    <w:t>量计）</w:t>
                  </w:r>
                </w:p>
              </w:tc>
              <w:tc>
                <w:tcPr>
                  <w:tcW w:w="793" w:type="pct"/>
                  <w:vAlign w:val="center"/>
                </w:tcPr>
                <w:p w14:paraId="16DBC4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0.0007</w:t>
                  </w:r>
                </w:p>
              </w:tc>
            </w:tr>
            <w:tr w14:paraId="5164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88" w:type="pct"/>
                  <w:vAlign w:val="center"/>
                </w:tcPr>
                <w:p w14:paraId="7DED98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sz w:val="21"/>
                      <w:szCs w:val="21"/>
                      <w:highlight w:val="none"/>
                    </w:rPr>
                    <w:t>SO</w:t>
                  </w:r>
                  <w:r>
                    <w:rPr>
                      <w:rFonts w:hint="default" w:ascii="Times New Roman" w:hAnsi="Times New Roman" w:cs="Times New Roman" w:eastAsiaTheme="minorEastAsia"/>
                      <w:color w:val="auto"/>
                      <w:sz w:val="21"/>
                      <w:szCs w:val="21"/>
                      <w:highlight w:val="none"/>
                      <w:vertAlign w:val="subscript"/>
                    </w:rPr>
                    <w:t>2</w:t>
                  </w:r>
                </w:p>
              </w:tc>
              <w:tc>
                <w:tcPr>
                  <w:tcW w:w="977" w:type="pct"/>
                  <w:vAlign w:val="center"/>
                </w:tcPr>
                <w:p w14:paraId="1EF1E5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sz w:val="21"/>
                      <w:szCs w:val="21"/>
                      <w:highlight w:val="none"/>
                    </w:rPr>
                    <w:t>7783-06-4</w:t>
                  </w:r>
                </w:p>
              </w:tc>
              <w:tc>
                <w:tcPr>
                  <w:tcW w:w="977" w:type="pct"/>
                  <w:vAlign w:val="center"/>
                </w:tcPr>
                <w:p w14:paraId="410901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sz w:val="21"/>
                      <w:szCs w:val="21"/>
                      <w:highlight w:val="none"/>
                    </w:rPr>
                    <w:t>2.5</w:t>
                  </w:r>
                </w:p>
              </w:tc>
              <w:tc>
                <w:tcPr>
                  <w:tcW w:w="1264" w:type="pct"/>
                  <w:vAlign w:val="center"/>
                </w:tcPr>
                <w:p w14:paraId="4E9868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lang w:val="en-US" w:eastAsia="zh-CN"/>
                    </w:rPr>
                  </w:pPr>
                  <w:r>
                    <w:rPr>
                      <w:rFonts w:hint="default" w:ascii="Times New Roman" w:hAnsi="Times New Roman" w:cs="Times New Roman" w:eastAsiaTheme="minorEastAsia"/>
                      <w:color w:val="auto"/>
                      <w:kern w:val="1"/>
                      <w:sz w:val="21"/>
                      <w:szCs w:val="21"/>
                      <w:highlight w:val="none"/>
                      <w:lang w:val="en-US" w:eastAsia="zh-CN"/>
                    </w:rPr>
                    <w:t>0.0046</w:t>
                  </w:r>
                </w:p>
                <w:p w14:paraId="4DA421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kern w:val="1"/>
                      <w:sz w:val="21"/>
                      <w:szCs w:val="21"/>
                      <w:highlight w:val="none"/>
                    </w:rPr>
                    <w:t>（按1h</w:t>
                  </w:r>
                  <w:r>
                    <w:rPr>
                      <w:rFonts w:hint="default" w:ascii="Times New Roman" w:hAnsi="Times New Roman" w:cs="Times New Roman" w:eastAsiaTheme="minorEastAsia"/>
                      <w:color w:val="auto"/>
                      <w:kern w:val="1"/>
                      <w:sz w:val="21"/>
                      <w:szCs w:val="21"/>
                      <w:highlight w:val="none"/>
                      <w:lang w:val="en-US" w:eastAsia="zh-CN"/>
                    </w:rPr>
                    <w:t>产生</w:t>
                  </w:r>
                  <w:r>
                    <w:rPr>
                      <w:rFonts w:hint="default" w:ascii="Times New Roman" w:hAnsi="Times New Roman" w:cs="Times New Roman" w:eastAsiaTheme="minorEastAsia"/>
                      <w:color w:val="auto"/>
                      <w:kern w:val="1"/>
                      <w:sz w:val="21"/>
                      <w:szCs w:val="21"/>
                      <w:highlight w:val="none"/>
                    </w:rPr>
                    <w:t>量计）</w:t>
                  </w:r>
                </w:p>
              </w:tc>
              <w:tc>
                <w:tcPr>
                  <w:tcW w:w="793" w:type="pct"/>
                  <w:vAlign w:val="center"/>
                </w:tcPr>
                <w:p w14:paraId="2C9B003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0.00184</w:t>
                  </w:r>
                </w:p>
              </w:tc>
            </w:tr>
            <w:tr w14:paraId="473EE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88" w:type="pct"/>
                  <w:vAlign w:val="center"/>
                </w:tcPr>
                <w:p w14:paraId="07012F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冰醋酸</w:t>
                  </w:r>
                </w:p>
              </w:tc>
              <w:tc>
                <w:tcPr>
                  <w:tcW w:w="977" w:type="pct"/>
                  <w:vAlign w:val="center"/>
                </w:tcPr>
                <w:p w14:paraId="53948B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64-19-7</w:t>
                  </w:r>
                </w:p>
              </w:tc>
              <w:tc>
                <w:tcPr>
                  <w:tcW w:w="977" w:type="pct"/>
                  <w:vAlign w:val="center"/>
                </w:tcPr>
                <w:p w14:paraId="04C971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10</w:t>
                  </w:r>
                </w:p>
              </w:tc>
              <w:tc>
                <w:tcPr>
                  <w:tcW w:w="1264" w:type="pct"/>
                  <w:vAlign w:val="center"/>
                </w:tcPr>
                <w:p w14:paraId="3F1A94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lang w:eastAsia="zh-CN"/>
                    </w:rPr>
                  </w:pPr>
                  <w:r>
                    <w:rPr>
                      <w:rFonts w:hint="default" w:ascii="Times New Roman" w:hAnsi="Times New Roman" w:cs="Times New Roman" w:eastAsiaTheme="minorEastAsia"/>
                      <w:color w:val="auto"/>
                      <w:kern w:val="1"/>
                      <w:sz w:val="21"/>
                      <w:szCs w:val="21"/>
                      <w:highlight w:val="none"/>
                      <w:lang w:val="en-US" w:eastAsia="zh-CN"/>
                    </w:rPr>
                    <w:t>2</w:t>
                  </w:r>
                </w:p>
              </w:tc>
              <w:tc>
                <w:tcPr>
                  <w:tcW w:w="793" w:type="pct"/>
                  <w:vAlign w:val="center"/>
                </w:tcPr>
                <w:p w14:paraId="79B246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0.2</w:t>
                  </w:r>
                </w:p>
              </w:tc>
            </w:tr>
            <w:tr w14:paraId="03743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88" w:type="pct"/>
                  <w:vAlign w:val="center"/>
                </w:tcPr>
                <w:p w14:paraId="13B8BC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硫酸铵</w:t>
                  </w:r>
                </w:p>
              </w:tc>
              <w:tc>
                <w:tcPr>
                  <w:tcW w:w="977" w:type="pct"/>
                  <w:vAlign w:val="center"/>
                </w:tcPr>
                <w:p w14:paraId="380326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7783-20-2</w:t>
                  </w:r>
                </w:p>
              </w:tc>
              <w:tc>
                <w:tcPr>
                  <w:tcW w:w="977" w:type="pct"/>
                  <w:vAlign w:val="center"/>
                </w:tcPr>
                <w:p w14:paraId="409180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10</w:t>
                  </w:r>
                </w:p>
              </w:tc>
              <w:tc>
                <w:tcPr>
                  <w:tcW w:w="1264" w:type="pct"/>
                  <w:vAlign w:val="center"/>
                </w:tcPr>
                <w:p w14:paraId="6422E0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lang w:val="en-US" w:eastAsia="zh-CN"/>
                    </w:rPr>
                  </w:pPr>
                  <w:r>
                    <w:rPr>
                      <w:rFonts w:hint="default" w:ascii="Times New Roman" w:hAnsi="Times New Roman" w:cs="Times New Roman" w:eastAsiaTheme="minorEastAsia"/>
                      <w:color w:val="auto"/>
                      <w:kern w:val="1"/>
                      <w:sz w:val="21"/>
                      <w:szCs w:val="21"/>
                      <w:highlight w:val="none"/>
                      <w:lang w:val="en-US" w:eastAsia="zh-CN"/>
                    </w:rPr>
                    <w:t>6.15（纯度20.5%，最大储量为30t）</w:t>
                  </w:r>
                </w:p>
              </w:tc>
              <w:tc>
                <w:tcPr>
                  <w:tcW w:w="793" w:type="pct"/>
                  <w:vAlign w:val="center"/>
                </w:tcPr>
                <w:p w14:paraId="76EF7F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0.615</w:t>
                  </w:r>
                </w:p>
              </w:tc>
            </w:tr>
            <w:tr w14:paraId="2A708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06" w:type="pct"/>
                  <w:gridSpan w:val="4"/>
                  <w:vAlign w:val="center"/>
                </w:tcPr>
                <w:p w14:paraId="49A068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sz w:val="21"/>
                      <w:szCs w:val="21"/>
                      <w:highlight w:val="none"/>
                    </w:rPr>
                    <w:t>项目Q值Σ</w:t>
                  </w:r>
                </w:p>
              </w:tc>
              <w:tc>
                <w:tcPr>
                  <w:tcW w:w="793" w:type="pct"/>
                  <w:vAlign w:val="center"/>
                </w:tcPr>
                <w:p w14:paraId="29CFF8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0.82579</w:t>
                  </w:r>
                </w:p>
              </w:tc>
            </w:tr>
          </w:tbl>
          <w:p w14:paraId="392AE36C">
            <w:pPr>
              <w:keepNext w:val="0"/>
              <w:keepLines w:val="0"/>
              <w:pageBreakBefore w:val="0"/>
              <w:kinsoku/>
              <w:wordWrap/>
              <w:overflowPunct/>
              <w:topLinePunct w:val="0"/>
              <w:autoSpaceDE/>
              <w:autoSpaceDN/>
              <w:bidi w:val="0"/>
              <w:adjustRightInd/>
              <w:spacing w:line="440" w:lineRule="exact"/>
              <w:ind w:firstLine="480" w:firstLineChars="200"/>
              <w:textAlignment w:val="auto"/>
              <w:rPr>
                <w:color w:val="auto"/>
                <w:kern w:val="1"/>
                <w:sz w:val="24"/>
                <w:highlight w:val="none"/>
              </w:rPr>
            </w:pPr>
            <w:r>
              <w:rPr>
                <w:rFonts w:hint="eastAsia"/>
                <w:color w:val="auto"/>
                <w:kern w:val="1"/>
                <w:sz w:val="24"/>
                <w:highlight w:val="none"/>
              </w:rPr>
              <w:t>根据以上分析，项目Q=0.</w:t>
            </w:r>
            <w:r>
              <w:rPr>
                <w:rFonts w:hint="eastAsia"/>
                <w:color w:val="auto"/>
                <w:kern w:val="1"/>
                <w:sz w:val="24"/>
                <w:highlight w:val="none"/>
                <w:lang w:val="en-US" w:eastAsia="zh-CN"/>
              </w:rPr>
              <w:t>826</w:t>
            </w:r>
            <w:r>
              <w:rPr>
                <w:rFonts w:hint="eastAsia"/>
                <w:color w:val="auto"/>
                <w:kern w:val="1"/>
                <w:sz w:val="24"/>
                <w:highlight w:val="none"/>
              </w:rPr>
              <w:t>＜1，故环境风险潜势为Ⅰ，环境风险评价等级为简单分析。</w:t>
            </w:r>
          </w:p>
          <w:p w14:paraId="3D637476">
            <w:pPr>
              <w:keepNext w:val="0"/>
              <w:keepLines w:val="0"/>
              <w:pageBreakBefore w:val="0"/>
              <w:kinsoku/>
              <w:wordWrap/>
              <w:overflowPunct/>
              <w:topLinePunct w:val="0"/>
              <w:autoSpaceDE/>
              <w:autoSpaceDN/>
              <w:bidi w:val="0"/>
              <w:adjustRightInd/>
              <w:spacing w:line="440" w:lineRule="exact"/>
              <w:ind w:left="420" w:leftChars="200" w:firstLine="241" w:firstLineChars="100"/>
              <w:textAlignment w:val="auto"/>
              <w:rPr>
                <w:rFonts w:hint="default" w:eastAsia="宋体"/>
                <w:b/>
                <w:color w:val="auto"/>
                <w:kern w:val="0"/>
                <w:sz w:val="24"/>
                <w:highlight w:val="none"/>
                <w:lang w:val="en-US" w:eastAsia="zh-CN"/>
              </w:rPr>
            </w:pPr>
            <w:r>
              <w:rPr>
                <w:rFonts w:hint="eastAsia"/>
                <w:b/>
                <w:color w:val="auto"/>
                <w:kern w:val="0"/>
                <w:sz w:val="24"/>
                <w:highlight w:val="none"/>
                <w:lang w:eastAsia="zh-CN"/>
              </w:rPr>
              <w:t>（</w:t>
            </w:r>
            <w:r>
              <w:rPr>
                <w:rFonts w:hint="eastAsia"/>
                <w:b/>
                <w:color w:val="auto"/>
                <w:kern w:val="0"/>
                <w:sz w:val="24"/>
                <w:highlight w:val="none"/>
                <w:lang w:val="en-US" w:eastAsia="zh-CN"/>
              </w:rPr>
              <w:t>2</w:t>
            </w:r>
            <w:r>
              <w:rPr>
                <w:rFonts w:hint="eastAsia"/>
                <w:b/>
                <w:color w:val="auto"/>
                <w:kern w:val="0"/>
                <w:sz w:val="24"/>
                <w:highlight w:val="none"/>
                <w:lang w:eastAsia="zh-CN"/>
              </w:rPr>
              <w:t>）</w:t>
            </w:r>
            <w:r>
              <w:rPr>
                <w:rFonts w:hint="eastAsia"/>
                <w:b/>
                <w:color w:val="auto"/>
                <w:kern w:val="0"/>
                <w:sz w:val="24"/>
                <w:highlight w:val="none"/>
              </w:rPr>
              <w:t>风险分析</w:t>
            </w:r>
          </w:p>
          <w:p w14:paraId="587CD9A9">
            <w:pPr>
              <w:keepNext w:val="0"/>
              <w:keepLines w:val="0"/>
              <w:pageBreakBefore w:val="0"/>
              <w:kinsoku/>
              <w:wordWrap/>
              <w:overflowPunct/>
              <w:topLinePunct w:val="0"/>
              <w:autoSpaceDE/>
              <w:autoSpaceDN/>
              <w:bidi w:val="0"/>
              <w:adjustRightInd/>
              <w:spacing w:line="440" w:lineRule="exact"/>
              <w:ind w:firstLine="480" w:firstLineChars="200"/>
              <w:textAlignment w:val="auto"/>
              <w:rPr>
                <w:rFonts w:hint="eastAsia"/>
                <w:bCs/>
                <w:color w:val="auto"/>
                <w:kern w:val="0"/>
                <w:sz w:val="24"/>
                <w:highlight w:val="none"/>
              </w:rPr>
            </w:pPr>
            <w:r>
              <w:rPr>
                <w:rFonts w:hint="eastAsia"/>
                <w:bCs/>
                <w:color w:val="auto"/>
                <w:kern w:val="0"/>
                <w:sz w:val="24"/>
                <w:highlight w:val="none"/>
              </w:rPr>
              <w:t>本项目运营阶段潜在的环境风险主要源于危险废物贮存、生产区原辅材料泄漏及防渗系统失效等环节。</w:t>
            </w:r>
          </w:p>
          <w:p w14:paraId="5C1A9B3A">
            <w:pPr>
              <w:keepNext w:val="0"/>
              <w:keepLines w:val="0"/>
              <w:pageBreakBefore w:val="0"/>
              <w:kinsoku/>
              <w:wordWrap/>
              <w:overflowPunct/>
              <w:topLinePunct w:val="0"/>
              <w:autoSpaceDE/>
              <w:autoSpaceDN/>
              <w:bidi w:val="0"/>
              <w:adjustRightInd/>
              <w:spacing w:line="440" w:lineRule="exact"/>
              <w:ind w:firstLine="480" w:firstLineChars="200"/>
              <w:textAlignment w:val="auto"/>
              <w:rPr>
                <w:rFonts w:hint="eastAsia"/>
                <w:bCs/>
                <w:color w:val="auto"/>
                <w:kern w:val="0"/>
                <w:sz w:val="24"/>
                <w:highlight w:val="none"/>
              </w:rPr>
            </w:pPr>
            <w:r>
              <w:rPr>
                <w:rFonts w:hint="eastAsia"/>
                <w:bCs/>
                <w:color w:val="auto"/>
                <w:kern w:val="0"/>
                <w:sz w:val="24"/>
                <w:highlight w:val="none"/>
              </w:rPr>
              <w:t>风险物质包括危险废物</w:t>
            </w:r>
            <w:r>
              <w:rPr>
                <w:rFonts w:hint="eastAsia"/>
                <w:bCs/>
                <w:color w:val="auto"/>
                <w:kern w:val="0"/>
                <w:sz w:val="24"/>
                <w:highlight w:val="none"/>
                <w:lang w:val="en-US" w:eastAsia="zh-CN"/>
              </w:rPr>
              <w:t>暂存间暂存的废机油</w:t>
            </w:r>
            <w:r>
              <w:rPr>
                <w:rFonts w:hint="eastAsia"/>
                <w:bCs/>
                <w:color w:val="auto"/>
                <w:kern w:val="0"/>
                <w:sz w:val="24"/>
                <w:highlight w:val="none"/>
                <w:lang w:eastAsia="zh-CN"/>
              </w:rPr>
              <w:t>；</w:t>
            </w:r>
            <w:r>
              <w:rPr>
                <w:rFonts w:hint="eastAsia"/>
                <w:bCs/>
                <w:color w:val="auto"/>
                <w:kern w:val="0"/>
                <w:sz w:val="24"/>
                <w:highlight w:val="none"/>
                <w:lang w:val="en-US" w:eastAsia="zh-CN"/>
              </w:rPr>
              <w:t>原辅料仓库储存的冰醋酸、硫酸铵；废气收集管道中的氨和硫化氢、污水处理站产生的沼气和储存的废水等</w:t>
            </w:r>
            <w:r>
              <w:rPr>
                <w:rFonts w:hint="eastAsia"/>
                <w:bCs/>
                <w:color w:val="auto"/>
                <w:kern w:val="0"/>
                <w:sz w:val="24"/>
                <w:highlight w:val="none"/>
              </w:rPr>
              <w:t>。</w:t>
            </w:r>
          </w:p>
          <w:p w14:paraId="5F79C88B">
            <w:pPr>
              <w:keepNext w:val="0"/>
              <w:keepLines w:val="0"/>
              <w:pageBreakBefore w:val="0"/>
              <w:kinsoku/>
              <w:wordWrap/>
              <w:overflowPunct/>
              <w:topLinePunct w:val="0"/>
              <w:autoSpaceDE/>
              <w:autoSpaceDN/>
              <w:bidi w:val="0"/>
              <w:adjustRightInd/>
              <w:spacing w:line="440" w:lineRule="exact"/>
              <w:ind w:firstLine="480" w:firstLineChars="200"/>
              <w:textAlignment w:val="auto"/>
              <w:rPr>
                <w:rFonts w:hint="default" w:eastAsia="宋体"/>
                <w:bCs/>
                <w:color w:val="auto"/>
                <w:kern w:val="0"/>
                <w:sz w:val="24"/>
                <w:highlight w:val="none"/>
                <w:lang w:val="en-US" w:eastAsia="zh-CN"/>
              </w:rPr>
            </w:pPr>
            <w:r>
              <w:rPr>
                <w:rFonts w:hint="eastAsia"/>
                <w:bCs/>
                <w:color w:val="auto"/>
                <w:kern w:val="0"/>
                <w:sz w:val="24"/>
                <w:highlight w:val="none"/>
              </w:rPr>
              <w:t>可能发生的风险事故类型为：危险废物贮存间防渗层破损导致</w:t>
            </w:r>
            <w:r>
              <w:rPr>
                <w:rFonts w:hint="eastAsia"/>
                <w:bCs/>
                <w:color w:val="auto"/>
                <w:kern w:val="0"/>
                <w:sz w:val="24"/>
                <w:highlight w:val="none"/>
                <w:lang w:val="en-US" w:eastAsia="zh-CN"/>
              </w:rPr>
              <w:t>废机油</w:t>
            </w:r>
            <w:r>
              <w:rPr>
                <w:rFonts w:hint="eastAsia"/>
                <w:bCs/>
                <w:color w:val="auto"/>
                <w:kern w:val="0"/>
                <w:sz w:val="24"/>
                <w:highlight w:val="none"/>
              </w:rPr>
              <w:t>渗滤液渗入地下水；</w:t>
            </w:r>
            <w:r>
              <w:rPr>
                <w:rFonts w:hint="eastAsia"/>
                <w:bCs/>
                <w:color w:val="auto"/>
                <w:kern w:val="0"/>
                <w:sz w:val="24"/>
                <w:highlight w:val="none"/>
                <w:lang w:val="en-US" w:eastAsia="zh-CN"/>
              </w:rPr>
              <w:t>硫酸铵、冰醋酸等在运输、贮存、生产过程中，如管理操作不当或发生意外事故，导致泄漏对区域土壤、地表水、地下水产生污染；污水处理站</w:t>
            </w:r>
            <w:r>
              <w:rPr>
                <w:rFonts w:hint="eastAsia"/>
                <w:bCs/>
                <w:color w:val="auto"/>
                <w:kern w:val="0"/>
                <w:sz w:val="24"/>
                <w:highlight w:val="none"/>
              </w:rPr>
              <w:t>生产区管道、</w:t>
            </w:r>
            <w:r>
              <w:rPr>
                <w:rFonts w:hint="eastAsia"/>
                <w:bCs/>
                <w:color w:val="auto"/>
                <w:kern w:val="0"/>
                <w:sz w:val="24"/>
                <w:highlight w:val="none"/>
                <w:lang w:val="en-US" w:eastAsia="zh-CN"/>
              </w:rPr>
              <w:t>池体</w:t>
            </w:r>
            <w:r>
              <w:rPr>
                <w:rFonts w:hint="eastAsia"/>
                <w:bCs/>
                <w:color w:val="auto"/>
                <w:kern w:val="0"/>
                <w:sz w:val="24"/>
                <w:highlight w:val="none"/>
              </w:rPr>
              <w:t>破裂或密封不严引发</w:t>
            </w:r>
            <w:r>
              <w:rPr>
                <w:rFonts w:hint="eastAsia"/>
                <w:bCs/>
                <w:color w:val="auto"/>
                <w:kern w:val="0"/>
                <w:sz w:val="24"/>
                <w:highlight w:val="none"/>
                <w:lang w:val="en-US" w:eastAsia="zh-CN"/>
              </w:rPr>
              <w:t>废水</w:t>
            </w:r>
            <w:r>
              <w:rPr>
                <w:rFonts w:hint="eastAsia"/>
                <w:bCs/>
                <w:color w:val="auto"/>
                <w:kern w:val="0"/>
                <w:sz w:val="24"/>
                <w:highlight w:val="none"/>
              </w:rPr>
              <w:t>泄漏，污染土壤及地下水；</w:t>
            </w:r>
            <w:r>
              <w:rPr>
                <w:rFonts w:hint="eastAsia"/>
                <w:bCs/>
                <w:color w:val="auto"/>
                <w:kern w:val="0"/>
                <w:sz w:val="24"/>
                <w:highlight w:val="none"/>
                <w:lang w:val="en-US" w:eastAsia="zh-CN"/>
              </w:rPr>
              <w:t>污水处理站产生的沼气收集管道</w:t>
            </w:r>
            <w:r>
              <w:rPr>
                <w:rFonts w:hint="eastAsia"/>
                <w:bCs/>
                <w:color w:val="auto"/>
                <w:kern w:val="0"/>
                <w:sz w:val="24"/>
                <w:highlight w:val="none"/>
              </w:rPr>
              <w:t>破裂或密封不严引发</w:t>
            </w:r>
            <w:r>
              <w:rPr>
                <w:rFonts w:hint="eastAsia"/>
                <w:bCs/>
                <w:color w:val="auto"/>
                <w:kern w:val="0"/>
                <w:sz w:val="24"/>
                <w:highlight w:val="none"/>
                <w:lang w:val="en-US" w:eastAsia="zh-CN"/>
              </w:rPr>
              <w:t>废气</w:t>
            </w:r>
            <w:r>
              <w:rPr>
                <w:rFonts w:hint="eastAsia"/>
                <w:bCs/>
                <w:color w:val="auto"/>
                <w:kern w:val="0"/>
                <w:sz w:val="24"/>
                <w:highlight w:val="none"/>
              </w:rPr>
              <w:t>泄漏</w:t>
            </w:r>
            <w:r>
              <w:rPr>
                <w:rFonts w:hint="eastAsia"/>
                <w:bCs/>
                <w:color w:val="auto"/>
                <w:kern w:val="0"/>
                <w:sz w:val="24"/>
                <w:highlight w:val="none"/>
                <w:lang w:eastAsia="zh-CN"/>
              </w:rPr>
              <w:t>，</w:t>
            </w:r>
            <w:r>
              <w:rPr>
                <w:rFonts w:hint="eastAsia"/>
                <w:bCs/>
                <w:color w:val="auto"/>
                <w:kern w:val="0"/>
                <w:sz w:val="24"/>
                <w:highlight w:val="none"/>
                <w:lang w:val="en-US" w:eastAsia="zh-CN"/>
              </w:rPr>
              <w:t>其遇到明火引发的伴生/次生污染物扩散影响大气环境、消防废水进入地表水；废气环保设施运行不正常导致废气直接或未处理达标即经排气筒排放，对周围大气环境产生影响。</w:t>
            </w:r>
          </w:p>
          <w:p w14:paraId="270D05BE">
            <w:pPr>
              <w:keepNext w:val="0"/>
              <w:keepLines w:val="0"/>
              <w:pageBreakBefore w:val="0"/>
              <w:kinsoku/>
              <w:wordWrap/>
              <w:overflowPunct/>
              <w:topLinePunct w:val="0"/>
              <w:autoSpaceDE/>
              <w:autoSpaceDN/>
              <w:bidi w:val="0"/>
              <w:adjustRightInd/>
              <w:spacing w:line="440" w:lineRule="exact"/>
              <w:ind w:firstLine="480" w:firstLineChars="200"/>
              <w:textAlignment w:val="auto"/>
              <w:rPr>
                <w:bCs/>
                <w:color w:val="auto"/>
                <w:kern w:val="0"/>
                <w:sz w:val="24"/>
                <w:highlight w:val="none"/>
              </w:rPr>
            </w:pPr>
            <w:r>
              <w:rPr>
                <w:rFonts w:hint="eastAsia"/>
                <w:bCs/>
                <w:color w:val="auto"/>
                <w:kern w:val="0"/>
                <w:sz w:val="24"/>
                <w:highlight w:val="none"/>
              </w:rPr>
              <w:t>上述风险事故若发生，可能导致区域地下水水质恶化，影响周边地下水环境功能；泄漏的原辅材料若进入地表水体，将破坏水体生态系统平衡；危险废物泄漏还可能引发土壤有机污染物累积，损害土壤肥力及结构。经定性分析，项目风险事故发生概率较低，但一旦发生且处置不及时，将对环境造成一定程度的不利影响。</w:t>
            </w:r>
          </w:p>
          <w:p w14:paraId="39A2048B">
            <w:pPr>
              <w:keepNext w:val="0"/>
              <w:keepLines w:val="0"/>
              <w:pageBreakBefore w:val="0"/>
              <w:kinsoku/>
              <w:wordWrap/>
              <w:overflowPunct/>
              <w:topLinePunct w:val="0"/>
              <w:autoSpaceDE/>
              <w:autoSpaceDN/>
              <w:bidi w:val="0"/>
              <w:adjustRightInd/>
              <w:spacing w:line="440" w:lineRule="exact"/>
              <w:ind w:left="420" w:leftChars="200"/>
              <w:textAlignment w:val="auto"/>
              <w:rPr>
                <w:b/>
                <w:color w:val="auto"/>
                <w:kern w:val="0"/>
                <w:sz w:val="24"/>
                <w:highlight w:val="none"/>
              </w:rPr>
            </w:pPr>
            <w:r>
              <w:rPr>
                <w:rFonts w:hint="eastAsia"/>
                <w:b/>
                <w:color w:val="auto"/>
                <w:kern w:val="0"/>
                <w:sz w:val="24"/>
                <w:highlight w:val="none"/>
                <w:lang w:eastAsia="zh-CN"/>
              </w:rPr>
              <w:t>（</w:t>
            </w:r>
            <w:r>
              <w:rPr>
                <w:rFonts w:hint="eastAsia"/>
                <w:b/>
                <w:color w:val="auto"/>
                <w:kern w:val="0"/>
                <w:sz w:val="24"/>
                <w:highlight w:val="none"/>
                <w:lang w:val="en-US" w:eastAsia="zh-CN"/>
              </w:rPr>
              <w:t>3</w:t>
            </w:r>
            <w:r>
              <w:rPr>
                <w:rFonts w:hint="eastAsia"/>
                <w:b/>
                <w:color w:val="auto"/>
                <w:kern w:val="0"/>
                <w:sz w:val="24"/>
                <w:highlight w:val="none"/>
                <w:lang w:eastAsia="zh-CN"/>
              </w:rPr>
              <w:t>）</w:t>
            </w:r>
            <w:r>
              <w:rPr>
                <w:rFonts w:hint="eastAsia"/>
                <w:b/>
                <w:color w:val="auto"/>
                <w:kern w:val="0"/>
                <w:sz w:val="24"/>
                <w:highlight w:val="none"/>
              </w:rPr>
              <w:t>风险防范</w:t>
            </w:r>
          </w:p>
          <w:p w14:paraId="3214EF83">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default" w:ascii="Times New Roman" w:hAnsi="Times New Roman" w:eastAsia="宋体" w:cs="Times New Roman"/>
                <w:bCs/>
                <w:color w:val="auto"/>
                <w:kern w:val="0"/>
                <w:sz w:val="24"/>
                <w:szCs w:val="24"/>
                <w:highlight w:val="none"/>
                <w:lang w:val="en-US"/>
              </w:rPr>
            </w:pPr>
            <w:r>
              <w:rPr>
                <w:rFonts w:hint="eastAsia"/>
                <w:bCs/>
                <w:color w:val="auto"/>
                <w:kern w:val="0"/>
                <w:sz w:val="24"/>
                <w:highlight w:val="none"/>
              </w:rPr>
              <w:t>根据调查，现有项目已于2024年12月26日编制完成《云南錦创环境科技有限公司突发环境事件应急预案》，并于2024年12月27日于昆明市生态环境局寻甸分局备案，备案号为530-129-2024-146-M。《云南錦创环境科技有限公司突发环境事件应急预案》</w:t>
            </w:r>
            <w:r>
              <w:rPr>
                <w:rFonts w:hint="eastAsia"/>
                <w:bCs/>
                <w:color w:val="auto"/>
                <w:kern w:val="0"/>
                <w:sz w:val="24"/>
                <w:highlight w:val="none"/>
                <w:lang w:val="en-US" w:eastAsia="zh-CN"/>
              </w:rPr>
              <w:t>已针对沼气（甲烷）、生产废水、危废（废机油）泄露等提出环境风险及应急措施，本项目不在重复对其分析，因此本项目主要针对冰醋酸泄露、硫酸铵</w:t>
            </w:r>
            <w:r>
              <w:rPr>
                <w:rFonts w:hint="default" w:ascii="Times New Roman" w:hAnsi="Times New Roman" w:eastAsia="宋体" w:cs="Times New Roman"/>
                <w:bCs/>
                <w:color w:val="auto"/>
                <w:kern w:val="0"/>
                <w:sz w:val="24"/>
                <w:szCs w:val="24"/>
                <w:highlight w:val="none"/>
                <w:lang w:val="en-US" w:eastAsia="zh-CN"/>
              </w:rPr>
              <w:t>泄露及其除臭设施非正常运行提出风险防范措施。</w:t>
            </w:r>
          </w:p>
          <w:p w14:paraId="4725B7C7">
            <w:pPr>
              <w:keepNext w:val="0"/>
              <w:keepLines w:val="0"/>
              <w:pageBreakBefore w:val="0"/>
              <w:widowControl w:val="0"/>
              <w:kinsoku/>
              <w:wordWrap/>
              <w:overflowPunct/>
              <w:topLinePunct w:val="0"/>
              <w:autoSpaceDE/>
              <w:autoSpaceDN/>
              <w:bidi w:val="0"/>
              <w:adjustRightInd w:val="0"/>
              <w:snapToGrid w:val="0"/>
              <w:spacing w:line="440" w:lineRule="exact"/>
              <w:ind w:firstLine="42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1）环保设施和生产设施防范措施</w:t>
            </w:r>
          </w:p>
          <w:p w14:paraId="498E03AB">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①项目废气处理装置由专业厂家进行设计和安装，采用较为坚固的材料制成，防止因设备损坏导致废气污染物排放事故，将污染物泄漏的环境风险事故降至最低。</w:t>
            </w:r>
          </w:p>
          <w:p w14:paraId="5E64578E">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②定期检查废气处理装置是否堵塞，如被堵应及时维护。</w:t>
            </w:r>
          </w:p>
          <w:p w14:paraId="7D65CA5A">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③定期检查废水处理装置是否发生破损，如发生破损应及时维修。</w:t>
            </w:r>
          </w:p>
          <w:p w14:paraId="24CC4436">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④运营过程中应加强巡检，及时处理污染物跑、冒、滴、漏，同时应加强对管道工程的检查，若发现管道老化或损坏，应及时维修更换。</w:t>
            </w:r>
          </w:p>
          <w:p w14:paraId="3E4F98ED">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⑤一旦发现废气处理装置故障，暂停生产，排查故障并解决后方能恢复生产。</w:t>
            </w:r>
          </w:p>
          <w:p w14:paraId="299C9685">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⑥废水处理池修建过程中选用合格的建材，并且满足一般防渗区的防渗要求。</w:t>
            </w:r>
          </w:p>
          <w:p w14:paraId="3A64E3AD">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⑦加强员工的岗前培训，强化安全意识，制定操作规程</w:t>
            </w:r>
            <w:r>
              <w:rPr>
                <w:rFonts w:hint="eastAsia" w:ascii="Times New Roman" w:hAnsi="Times New Roman" w:eastAsia="宋体" w:cs="Times New Roman"/>
                <w:color w:val="auto"/>
                <w:sz w:val="24"/>
                <w:szCs w:val="24"/>
                <w:highlight w:val="none"/>
                <w:lang w:eastAsia="zh-CN"/>
              </w:rPr>
              <w:t>。</w:t>
            </w:r>
          </w:p>
          <w:p w14:paraId="62FD81A6">
            <w:pPr>
              <w:keepNext w:val="0"/>
              <w:keepLines w:val="0"/>
              <w:pageBreakBefore w:val="0"/>
              <w:widowControl w:val="0"/>
              <w:kinsoku/>
              <w:wordWrap/>
              <w:overflowPunct/>
              <w:topLinePunct w:val="0"/>
              <w:autoSpaceDE/>
              <w:autoSpaceDN/>
              <w:bidi w:val="0"/>
              <w:adjustRightInd w:val="0"/>
              <w:snapToGrid w:val="0"/>
              <w:spacing w:line="440" w:lineRule="exact"/>
              <w:ind w:firstLine="422"/>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2）泄露风险防范措施</w:t>
            </w:r>
          </w:p>
          <w:p w14:paraId="67EEEC03">
            <w:pPr>
              <w:keepNext w:val="0"/>
              <w:keepLines w:val="0"/>
              <w:pageBreakBefore w:val="0"/>
              <w:widowControl w:val="0"/>
              <w:tabs>
                <w:tab w:val="left" w:pos="305"/>
              </w:tabs>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①硫酸铵泄漏风险防范措施</w:t>
            </w:r>
          </w:p>
          <w:p w14:paraId="5A0DB8DC">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A、制定严格的消防安全管理制度，安全生产责任制及安全奖惩制度，并组织专门人员进行监督、落实。</w:t>
            </w:r>
          </w:p>
          <w:p w14:paraId="79EB8E86">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B、硫酸铵等物料避免与酸类、碱类接触。搬运时要轻装轻卸，防止包装及容器损坏。配备泄漏应急处理设备。倒空的容器可能残留有害物。储存于阴凉、通风的库房。远离火种、热源。应与酸类、碱类分开存放，切忌混储。储区应备有合适的材料收容泄漏物。</w:t>
            </w:r>
          </w:p>
          <w:p w14:paraId="7E0690A1">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C、购买原料时务必检查好原料包装袋的完整性，如有发现破损须立即处理避免物料泄漏</w:t>
            </w:r>
          </w:p>
          <w:p w14:paraId="372E14F2">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D、原料储存区应与容易产生火源点的生产单相分隔，同时日常生产运行期间，</w:t>
            </w:r>
          </w:p>
          <w:p w14:paraId="646B0BC6">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E、厂内生产区应严禁携带各种火种物品，切断一切火灾诱发源头。</w:t>
            </w:r>
          </w:p>
          <w:p w14:paraId="542535BB">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F、发生泄漏时，隔离泄漏污染区，限制出入。建议应急处理人员戴防尘面具(全面罩)，穿防毒服。用洁净的铲子收集于干燥、洁净、有盖的容器中，转移至安全场所。若大量泄漏，收集回收或运至废物处理场所处置。</w:t>
            </w:r>
          </w:p>
          <w:p w14:paraId="39614FCC">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G、加强对生产车间监督管理，通过专人定时巡查、安装视频监控系统、每天上下班检查设备等方式，遏制可能发生的突发环境事故隐患。 </w:t>
            </w:r>
          </w:p>
          <w:p w14:paraId="00C265C2">
            <w:pPr>
              <w:keepNext w:val="0"/>
              <w:keepLines w:val="0"/>
              <w:pageBreakBefore w:val="0"/>
              <w:widowControl w:val="0"/>
              <w:tabs>
                <w:tab w:val="left" w:pos="305"/>
              </w:tabs>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w:t>
            </w:r>
            <w:r>
              <w:rPr>
                <w:rFonts w:hint="eastAsia" w:ascii="Times New Roman" w:hAnsi="Times New Roman" w:eastAsia="宋体" w:cs="Times New Roman"/>
                <w:color w:val="auto"/>
                <w:sz w:val="24"/>
                <w:szCs w:val="24"/>
                <w:highlight w:val="none"/>
                <w:lang w:val="en-US" w:eastAsia="zh-CN"/>
              </w:rPr>
              <w:t>冰醋酸</w:t>
            </w:r>
            <w:r>
              <w:rPr>
                <w:rFonts w:hint="default" w:ascii="Times New Roman" w:hAnsi="Times New Roman" w:eastAsia="宋体" w:cs="Times New Roman"/>
                <w:color w:val="auto"/>
                <w:sz w:val="24"/>
                <w:szCs w:val="24"/>
                <w:highlight w:val="none"/>
              </w:rPr>
              <w:t>泄漏风险防范措施</w:t>
            </w:r>
          </w:p>
          <w:p w14:paraId="72EA9FA3">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A、制定严格的消防安全管理制度，安全生产责任制及安全奖惩制度，并组织专门人员进行监督、落实。</w:t>
            </w:r>
          </w:p>
          <w:p w14:paraId="28FF430A">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B、</w:t>
            </w:r>
            <w:r>
              <w:rPr>
                <w:rFonts w:hint="eastAsia" w:ascii="Times New Roman" w:hAnsi="Times New Roman" w:eastAsia="宋体" w:cs="Times New Roman"/>
                <w:color w:val="auto"/>
                <w:sz w:val="24"/>
                <w:szCs w:val="24"/>
                <w:highlight w:val="none"/>
                <w:lang w:val="en-US" w:eastAsia="zh-CN"/>
              </w:rPr>
              <w:t>冰醋酸</w:t>
            </w:r>
            <w:r>
              <w:rPr>
                <w:rFonts w:hint="default" w:ascii="Times New Roman" w:hAnsi="Times New Roman" w:eastAsia="宋体" w:cs="Times New Roman"/>
                <w:color w:val="auto"/>
                <w:sz w:val="24"/>
                <w:szCs w:val="24"/>
                <w:highlight w:val="none"/>
              </w:rPr>
              <w:t>等物料避免与</w:t>
            </w:r>
            <w:r>
              <w:rPr>
                <w:rFonts w:hint="eastAsia" w:ascii="Times New Roman" w:hAnsi="Times New Roman" w:eastAsia="宋体" w:cs="Times New Roman"/>
                <w:color w:val="auto"/>
                <w:sz w:val="24"/>
                <w:szCs w:val="24"/>
                <w:highlight w:val="none"/>
                <w:lang w:val="en-US" w:eastAsia="zh-CN"/>
              </w:rPr>
              <w:t>硫酸铵直接</w:t>
            </w:r>
            <w:r>
              <w:rPr>
                <w:rFonts w:hint="default" w:ascii="Times New Roman" w:hAnsi="Times New Roman" w:eastAsia="宋体" w:cs="Times New Roman"/>
                <w:color w:val="auto"/>
                <w:sz w:val="24"/>
                <w:szCs w:val="24"/>
                <w:highlight w:val="none"/>
              </w:rPr>
              <w:t>接触。搬运时要轻装轻卸，防止包装及容器损坏。配备泄漏应急处理设备。倒空的容器可能残留有害物。储存于阴凉、通风的库房。远离火种、热源。应与酸类、碱类分开存放，切忌混储。储区应备有合适的材料收容泄漏物。</w:t>
            </w:r>
          </w:p>
          <w:p w14:paraId="3ACD7CBC">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C、购买原料时务必检查好原料包装袋的完整性，如有发现破损须立即处理避免物料泄漏</w:t>
            </w:r>
          </w:p>
          <w:p w14:paraId="03DA83C2">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D、原料储存区应与容易产生火源点的生产单相分隔，同时日常生产运行期间，</w:t>
            </w:r>
          </w:p>
          <w:p w14:paraId="21A85293">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E、厂内生产区应严禁携带各种火种物品，切断一切火灾诱发源头。</w:t>
            </w:r>
          </w:p>
          <w:p w14:paraId="4F0966D6">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F、发生泄漏时，隔离泄漏污染区，限制出入。</w:t>
            </w:r>
          </w:p>
          <w:p w14:paraId="258F3367">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G、加强对生产车间监督管理，通过专人定时巡查、安装视频监控系统、每天上下班检查设备等方式，遏制可能发生的突发环境事故隐患。 </w:t>
            </w:r>
          </w:p>
          <w:p w14:paraId="37554E34">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其他风险防范措施</w:t>
            </w:r>
          </w:p>
          <w:p w14:paraId="0CF2A150">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①远离火种、热源。</w:t>
            </w:r>
          </w:p>
          <w:p w14:paraId="684D5DC0">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②储存区应备有泄漏应急处理设备和合适的收容材料。</w:t>
            </w:r>
          </w:p>
          <w:p w14:paraId="7AEEA124">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③贴有安全事故告知标识、区域安全提示牌、“禁止烟火”、“职业病危害告知”等制度及标识。</w:t>
            </w:r>
          </w:p>
          <w:p w14:paraId="21808823">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加强生产设备、环保设备运行管理，厂区各设施及生产、危废存储区均按照相关标准及规范设置。从物品存储、运输等全过程控制产品泄漏，采取行之有效的防渗措施，定期检查，及时消除污染隐患，杜绝跑冒滴漏现象：发现有污染物泄漏或渗漏，及时清理污染物和修补漏洞等补救措施。废气处理设备和生产设备同步投入运行，废气处理设备发生故障时，企业采取停止生产的措施。</w:t>
            </w:r>
          </w:p>
          <w:p w14:paraId="0CFF6875">
            <w:pPr>
              <w:keepNext w:val="0"/>
              <w:keepLines w:val="0"/>
              <w:pageBreakBefore w:val="0"/>
              <w:widowControl w:val="0"/>
              <w:kinsoku/>
              <w:wordWrap/>
              <w:overflowPunct/>
              <w:topLinePunct w:val="0"/>
              <w:autoSpaceDE/>
              <w:autoSpaceDN/>
              <w:bidi w:val="0"/>
              <w:adjustRightInd w:val="0"/>
              <w:snapToGrid w:val="0"/>
              <w:spacing w:line="440" w:lineRule="exact"/>
              <w:ind w:firstLine="422"/>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w:t>
            </w:r>
            <w:r>
              <w:rPr>
                <w:rFonts w:hint="eastAsia" w:ascii="Times New Roman" w:hAnsi="Times New Roman" w:eastAsia="宋体"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）应急要求</w:t>
            </w:r>
          </w:p>
          <w:p w14:paraId="636DDD95">
            <w:pPr>
              <w:keepNext w:val="0"/>
              <w:keepLines w:val="0"/>
              <w:pageBreakBefore w:val="0"/>
              <w:widowControl w:val="0"/>
              <w:kinsoku/>
              <w:wordWrap/>
              <w:overflowPunct/>
              <w:topLinePunct w:val="0"/>
              <w:autoSpaceDE/>
              <w:autoSpaceDN/>
              <w:bidi w:val="0"/>
              <w:adjustRightInd w:val="0"/>
              <w:snapToGrid w:val="0"/>
              <w:spacing w:line="44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按照相关要求企业应该编制环境风险事故应急预案，本着立足“自救为主，外援为辅，统一指挥，当机立断”原则，制定防止重大环境污染事故发生的工作计划、消除事故隐患的措施及突发性事故应急处理办法等。</w:t>
            </w:r>
          </w:p>
          <w:p w14:paraId="5F1E1652">
            <w:pPr>
              <w:keepNext w:val="0"/>
              <w:keepLines w:val="0"/>
              <w:pageBreakBefore w:val="0"/>
              <w:widowControl w:val="0"/>
              <w:kinsoku/>
              <w:wordWrap/>
              <w:overflowPunct/>
              <w:topLinePunct w:val="0"/>
              <w:autoSpaceDE/>
              <w:autoSpaceDN/>
              <w:bidi w:val="0"/>
              <w:adjustRightInd w:val="0"/>
              <w:snapToGrid w:val="0"/>
              <w:spacing w:line="42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一旦出现突发事故，必须按事先拟定的应急预案，进行紧急处理。它包括应急状态分类、应急计划区、事故等级水平、应急防护和应急医学处理等。运行人员在巡视设备中，发现导热油炉发生泄露，及时汇报和通知公司人员进行抢修。并设好围挡、悬挂标示牌，疏散现场财物，并向主管生产的部门汇报；</w:t>
            </w:r>
          </w:p>
          <w:p w14:paraId="7BCC4142">
            <w:pPr>
              <w:keepNext w:val="0"/>
              <w:keepLines w:val="0"/>
              <w:pageBreakBefore w:val="0"/>
              <w:widowControl w:val="0"/>
              <w:kinsoku/>
              <w:wordWrap/>
              <w:overflowPunct/>
              <w:topLinePunct w:val="0"/>
              <w:autoSpaceDE/>
              <w:autoSpaceDN/>
              <w:bidi w:val="0"/>
              <w:adjustRightInd w:val="0"/>
              <w:snapToGrid w:val="0"/>
              <w:spacing w:line="42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3）发生物料泄露，不得有明火靠近，并严格按照消防管理制度执行；企业应指定专人负责抢修现场指挥，及时组织抢修人员进行查漏、堵漏，严防事故有外漏而造成的环境污染。</w:t>
            </w:r>
          </w:p>
          <w:p w14:paraId="0C5497F8">
            <w:pPr>
              <w:keepNext w:val="0"/>
              <w:keepLines w:val="0"/>
              <w:pageBreakBefore w:val="0"/>
              <w:widowControl w:val="0"/>
              <w:kinsoku/>
              <w:wordWrap/>
              <w:overflowPunct/>
              <w:topLinePunct w:val="0"/>
              <w:autoSpaceDE/>
              <w:autoSpaceDN/>
              <w:bidi w:val="0"/>
              <w:adjustRightInd w:val="0"/>
              <w:snapToGrid w:val="0"/>
              <w:spacing w:line="420" w:lineRule="exact"/>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4）发生泄漏、火灾事故，事故应急方案及时启动，可有效防止事故蔓延；发现锅炉废气排气异常，及时停止锅炉运行，避免废气污染物继续产生，及时组织抢修人员进行维修，检修完成前，不得继续运行。</w:t>
            </w:r>
          </w:p>
          <w:p w14:paraId="263416BE">
            <w:pPr>
              <w:keepNext w:val="0"/>
              <w:keepLines w:val="0"/>
              <w:pageBreakBefore w:val="0"/>
              <w:widowControl w:val="0"/>
              <w:kinsoku/>
              <w:wordWrap/>
              <w:overflowPunct/>
              <w:topLinePunct w:val="0"/>
              <w:autoSpaceDE/>
              <w:autoSpaceDN/>
              <w:bidi w:val="0"/>
              <w:adjustRightInd w:val="0"/>
              <w:snapToGrid w:val="0"/>
              <w:spacing w:line="420" w:lineRule="exact"/>
              <w:ind w:firstLine="420"/>
              <w:textAlignment w:val="auto"/>
              <w:rPr>
                <w:bCs/>
                <w:color w:val="auto"/>
                <w:kern w:val="0"/>
                <w:sz w:val="24"/>
                <w:highlight w:val="none"/>
              </w:rPr>
            </w:pPr>
            <w:r>
              <w:rPr>
                <w:rFonts w:hint="default" w:ascii="Times New Roman" w:hAnsi="Times New Roman" w:eastAsia="宋体" w:cs="Times New Roman"/>
                <w:color w:val="auto"/>
                <w:sz w:val="24"/>
                <w:szCs w:val="24"/>
                <w:highlight w:val="none"/>
              </w:rPr>
              <w:t>5）为有效应对突发环境事件，提高应对突发环境事件的能力，将突发环境事件对人员、财产和环境造成的损失降至最小程度、最大限度地保障人民群众的生命财产安全及环境安全，维护社会稳定，促进企业全面、协调、持续发展。建设单位应及时结合本项目新增风险物质对现有项目编制的《云南錦创环境科技有限公司突发环境事件应急预案》</w:t>
            </w:r>
            <w:r>
              <w:rPr>
                <w:rFonts w:hint="eastAsia" w:ascii="Times New Roman" w:hAnsi="Times New Roman" w:eastAsia="宋体" w:cs="Times New Roman"/>
                <w:color w:val="auto"/>
                <w:sz w:val="24"/>
                <w:szCs w:val="24"/>
                <w:highlight w:val="none"/>
                <w:lang w:val="en-US" w:eastAsia="zh-CN"/>
              </w:rPr>
              <w:t>进行修编，</w:t>
            </w:r>
            <w:r>
              <w:rPr>
                <w:rFonts w:hint="default" w:ascii="Times New Roman" w:hAnsi="Times New Roman" w:eastAsia="宋体" w:cs="Times New Roman"/>
                <w:color w:val="auto"/>
                <w:sz w:val="24"/>
                <w:szCs w:val="24"/>
                <w:highlight w:val="none"/>
              </w:rPr>
              <w:t>并上报当地环保部门备案。</w:t>
            </w:r>
          </w:p>
          <w:p w14:paraId="37593A4F">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outlineLvl w:val="2"/>
              <w:rPr>
                <w:b/>
                <w:color w:val="auto"/>
                <w:sz w:val="24"/>
                <w:highlight w:val="none"/>
              </w:rPr>
            </w:pPr>
            <w:r>
              <w:rPr>
                <w:rFonts w:hint="eastAsia"/>
                <w:b/>
                <w:color w:val="auto"/>
                <w:sz w:val="24"/>
                <w:highlight w:val="none"/>
                <w:lang w:eastAsia="zh-CN"/>
              </w:rPr>
              <w:t>（</w:t>
            </w:r>
            <w:r>
              <w:rPr>
                <w:rFonts w:hint="eastAsia"/>
                <w:b/>
                <w:color w:val="auto"/>
                <w:sz w:val="24"/>
                <w:highlight w:val="none"/>
                <w:lang w:val="en-US" w:eastAsia="zh-CN"/>
              </w:rPr>
              <w:t>6</w:t>
            </w:r>
            <w:r>
              <w:rPr>
                <w:rFonts w:hint="eastAsia"/>
                <w:b/>
                <w:color w:val="auto"/>
                <w:sz w:val="24"/>
                <w:highlight w:val="none"/>
                <w:lang w:eastAsia="zh-CN"/>
              </w:rPr>
              <w:t>）</w:t>
            </w:r>
            <w:r>
              <w:rPr>
                <w:b/>
                <w:color w:val="auto"/>
                <w:sz w:val="24"/>
                <w:highlight w:val="none"/>
              </w:rPr>
              <w:t>分析结论</w:t>
            </w:r>
          </w:p>
          <w:p w14:paraId="363349A9">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color w:val="auto"/>
                <w:sz w:val="24"/>
                <w:highlight w:val="none"/>
              </w:rPr>
            </w:pPr>
            <w:r>
              <w:rPr>
                <w:rFonts w:hint="eastAsia"/>
                <w:color w:val="auto"/>
                <w:sz w:val="24"/>
                <w:highlight w:val="none"/>
              </w:rPr>
              <w:t>本项目环境风险潜势为I，潜在危险性较小。建设单位应按照相关要求，做好风险防范和减缓措施，杜绝环境风险事故的发生。只要企业严格按照有关规范标准、规范及条例的要求，认真落实环境风险防范措施，则环境风险对周围环境的影响是可以接受的。</w:t>
            </w:r>
          </w:p>
          <w:p w14:paraId="115B76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color w:val="auto"/>
                <w:szCs w:val="21"/>
                <w:highlight w:val="none"/>
              </w:rPr>
            </w:pPr>
            <w:r>
              <w:rPr>
                <w:b/>
                <w:color w:val="auto"/>
                <w:szCs w:val="21"/>
                <w:highlight w:val="none"/>
              </w:rPr>
              <w:t>表</w:t>
            </w:r>
            <w:r>
              <w:rPr>
                <w:rFonts w:hint="eastAsia"/>
                <w:b/>
                <w:color w:val="auto"/>
                <w:szCs w:val="21"/>
                <w:highlight w:val="none"/>
              </w:rPr>
              <w:t>4</w:t>
            </w:r>
            <w:r>
              <w:rPr>
                <w:b/>
                <w:color w:val="auto"/>
                <w:szCs w:val="21"/>
                <w:highlight w:val="none"/>
              </w:rPr>
              <w:t>-</w:t>
            </w:r>
            <w:r>
              <w:rPr>
                <w:rFonts w:hint="eastAsia"/>
                <w:b/>
                <w:color w:val="auto"/>
                <w:szCs w:val="21"/>
                <w:highlight w:val="none"/>
                <w:lang w:val="en-US" w:eastAsia="zh-CN"/>
              </w:rPr>
              <w:t xml:space="preserve">39  </w:t>
            </w:r>
            <w:r>
              <w:rPr>
                <w:b/>
                <w:color w:val="auto"/>
                <w:szCs w:val="21"/>
                <w:highlight w:val="none"/>
              </w:rPr>
              <w:t>建设项目环境风险简单分析表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3"/>
              <w:gridCol w:w="2185"/>
              <w:gridCol w:w="1823"/>
              <w:gridCol w:w="1233"/>
              <w:gridCol w:w="1914"/>
            </w:tblGrid>
            <w:tr w14:paraId="176F7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33" w:type="dxa"/>
                  <w:tcBorders>
                    <w:tl2br w:val="nil"/>
                    <w:tr2bl w:val="nil"/>
                  </w:tcBorders>
                  <w:noWrap w:val="0"/>
                  <w:vAlign w:val="center"/>
                </w:tcPr>
                <w:p w14:paraId="4752882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color w:val="auto"/>
                      <w:sz w:val="21"/>
                      <w:szCs w:val="21"/>
                      <w:highlight w:val="none"/>
                    </w:rPr>
                    <w:t>建设项目名称</w:t>
                  </w:r>
                </w:p>
              </w:tc>
              <w:tc>
                <w:tcPr>
                  <w:tcW w:w="7155" w:type="dxa"/>
                  <w:gridSpan w:val="4"/>
                  <w:tcBorders>
                    <w:tl2br w:val="nil"/>
                    <w:tr2bl w:val="nil"/>
                  </w:tcBorders>
                  <w:noWrap w:val="0"/>
                  <w:vAlign w:val="center"/>
                </w:tcPr>
                <w:p w14:paraId="1EDADA9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color w:val="auto"/>
                      <w:kern w:val="1"/>
                      <w:sz w:val="21"/>
                      <w:szCs w:val="21"/>
                      <w:highlight w:val="none"/>
                    </w:rPr>
                    <w:t>云南錦创环境科技有限公司改扩建</w:t>
                  </w:r>
                </w:p>
              </w:tc>
            </w:tr>
            <w:tr w14:paraId="539D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33" w:type="dxa"/>
                  <w:tcBorders>
                    <w:tl2br w:val="nil"/>
                    <w:tr2bl w:val="nil"/>
                  </w:tcBorders>
                  <w:noWrap w:val="0"/>
                  <w:vAlign w:val="center"/>
                </w:tcPr>
                <w:p w14:paraId="517ECB4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建设地点</w:t>
                  </w:r>
                </w:p>
              </w:tc>
              <w:tc>
                <w:tcPr>
                  <w:tcW w:w="7155" w:type="dxa"/>
                  <w:gridSpan w:val="4"/>
                  <w:tcBorders>
                    <w:tl2br w:val="nil"/>
                    <w:tr2bl w:val="nil"/>
                  </w:tcBorders>
                  <w:noWrap w:val="0"/>
                  <w:vAlign w:val="center"/>
                </w:tcPr>
                <w:p w14:paraId="3E22BC5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云南省昆明市寻甸县仁德街道道院社区大法古村</w:t>
                  </w:r>
                </w:p>
              </w:tc>
            </w:tr>
            <w:tr w14:paraId="3AFAD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33" w:type="dxa"/>
                  <w:tcBorders>
                    <w:tl2br w:val="nil"/>
                    <w:tr2bl w:val="nil"/>
                  </w:tcBorders>
                  <w:noWrap w:val="0"/>
                  <w:vAlign w:val="center"/>
                </w:tcPr>
                <w:p w14:paraId="2AE064C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地理坐标</w:t>
                  </w:r>
                </w:p>
              </w:tc>
              <w:tc>
                <w:tcPr>
                  <w:tcW w:w="2185" w:type="dxa"/>
                  <w:tcBorders>
                    <w:tl2br w:val="nil"/>
                    <w:tr2bl w:val="nil"/>
                  </w:tcBorders>
                  <w:noWrap w:val="0"/>
                  <w:vAlign w:val="center"/>
                </w:tcPr>
                <w:p w14:paraId="4EAD1FA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经度</w:t>
                  </w:r>
                </w:p>
              </w:tc>
              <w:tc>
                <w:tcPr>
                  <w:tcW w:w="1823" w:type="dxa"/>
                  <w:tcBorders>
                    <w:tl2br w:val="nil"/>
                    <w:tr2bl w:val="nil"/>
                  </w:tcBorders>
                  <w:noWrap w:val="0"/>
                  <w:vAlign w:val="center"/>
                </w:tcPr>
                <w:p w14:paraId="053AFED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103°18'</w:t>
                  </w:r>
                  <w:r>
                    <w:rPr>
                      <w:rFonts w:hint="default" w:ascii="Times New Roman" w:hAnsi="Times New Roman" w:cs="Times New Roman" w:eastAsiaTheme="minorEastAsia"/>
                      <w:color w:val="auto"/>
                      <w:sz w:val="21"/>
                      <w:szCs w:val="21"/>
                      <w:highlight w:val="none"/>
                      <w:lang w:val="en-US" w:eastAsia="zh-CN"/>
                    </w:rPr>
                    <w:t>35.018</w:t>
                  </w:r>
                  <w:r>
                    <w:rPr>
                      <w:rFonts w:hint="default" w:ascii="Times New Roman" w:hAnsi="Times New Roman" w:cs="Times New Roman" w:eastAsiaTheme="minorEastAsia"/>
                      <w:color w:val="auto"/>
                      <w:sz w:val="21"/>
                      <w:szCs w:val="21"/>
                      <w:highlight w:val="none"/>
                    </w:rPr>
                    <w:t>"</w:t>
                  </w:r>
                </w:p>
              </w:tc>
              <w:tc>
                <w:tcPr>
                  <w:tcW w:w="1233" w:type="dxa"/>
                  <w:tcBorders>
                    <w:tl2br w:val="nil"/>
                    <w:tr2bl w:val="nil"/>
                  </w:tcBorders>
                  <w:noWrap w:val="0"/>
                  <w:vAlign w:val="center"/>
                </w:tcPr>
                <w:p w14:paraId="7718189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纬度</w:t>
                  </w:r>
                </w:p>
              </w:tc>
              <w:tc>
                <w:tcPr>
                  <w:tcW w:w="1914" w:type="dxa"/>
                  <w:tcBorders>
                    <w:tl2br w:val="nil"/>
                    <w:tr2bl w:val="nil"/>
                  </w:tcBorders>
                  <w:noWrap w:val="0"/>
                  <w:vAlign w:val="center"/>
                </w:tcPr>
                <w:p w14:paraId="01BBCF4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25°34'</w:t>
                  </w:r>
                  <w:r>
                    <w:rPr>
                      <w:rFonts w:hint="default" w:ascii="Times New Roman" w:hAnsi="Times New Roman" w:cs="Times New Roman" w:eastAsiaTheme="minorEastAsia"/>
                      <w:color w:val="auto"/>
                      <w:sz w:val="21"/>
                      <w:szCs w:val="21"/>
                      <w:highlight w:val="none"/>
                      <w:lang w:val="en-US" w:eastAsia="zh-CN"/>
                    </w:rPr>
                    <w:t>4.154</w:t>
                  </w:r>
                  <w:r>
                    <w:rPr>
                      <w:rFonts w:hint="default" w:ascii="Times New Roman" w:hAnsi="Times New Roman" w:cs="Times New Roman" w:eastAsiaTheme="minorEastAsia"/>
                      <w:color w:val="auto"/>
                      <w:sz w:val="21"/>
                      <w:szCs w:val="21"/>
                      <w:highlight w:val="none"/>
                    </w:rPr>
                    <w:t>"</w:t>
                  </w:r>
                </w:p>
              </w:tc>
            </w:tr>
            <w:tr w14:paraId="3F449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33" w:type="dxa"/>
                  <w:tcBorders>
                    <w:tl2br w:val="nil"/>
                    <w:tr2bl w:val="nil"/>
                  </w:tcBorders>
                  <w:noWrap w:val="0"/>
                  <w:vAlign w:val="center"/>
                </w:tcPr>
                <w:p w14:paraId="1637FD9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主要危险物质及分布</w:t>
                  </w:r>
                </w:p>
              </w:tc>
              <w:tc>
                <w:tcPr>
                  <w:tcW w:w="7155" w:type="dxa"/>
                  <w:gridSpan w:val="4"/>
                  <w:tcBorders>
                    <w:tl2br w:val="nil"/>
                    <w:tr2bl w:val="nil"/>
                  </w:tcBorders>
                  <w:noWrap w:val="0"/>
                  <w:vAlign w:val="center"/>
                </w:tcPr>
                <w:p w14:paraId="56F82ED0">
                  <w:pPr>
                    <w:keepNext w:val="0"/>
                    <w:keepLines w:val="0"/>
                    <w:pageBreakBefore w:val="0"/>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风险物质：氨、硫化氢、冰醋酸、硫酸铵</w:t>
                  </w:r>
                </w:p>
                <w:p w14:paraId="0561C11C">
                  <w:pPr>
                    <w:pStyle w:val="137"/>
                    <w:keepNext w:val="0"/>
                    <w:keepLines w:val="0"/>
                    <w:pageBreakBefore w:val="0"/>
                    <w:kinsoku/>
                    <w:wordWrap/>
                    <w:overflowPunct/>
                    <w:topLinePunct w:val="0"/>
                    <w:autoSpaceDE/>
                    <w:autoSpaceDN/>
                    <w:bidi w:val="0"/>
                    <w:adjustRightInd/>
                    <w:snapToGrid/>
                    <w:spacing w:line="320" w:lineRule="exact"/>
                    <w:ind w:left="0" w:leftChars="0" w:firstLine="0" w:firstLineChars="0"/>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风险单元：原辅料仓库、发酵区</w:t>
                  </w:r>
                </w:p>
              </w:tc>
            </w:tr>
            <w:tr w14:paraId="46729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33" w:type="dxa"/>
                  <w:tcBorders>
                    <w:tl2br w:val="nil"/>
                    <w:tr2bl w:val="nil"/>
                  </w:tcBorders>
                  <w:noWrap w:val="0"/>
                  <w:vAlign w:val="center"/>
                </w:tcPr>
                <w:p w14:paraId="5D6EE2E9">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环境影响途径及危害后果（大气、地表水、地下水等）</w:t>
                  </w:r>
                </w:p>
              </w:tc>
              <w:tc>
                <w:tcPr>
                  <w:tcW w:w="7155" w:type="dxa"/>
                  <w:gridSpan w:val="4"/>
                  <w:tcBorders>
                    <w:tl2br w:val="nil"/>
                    <w:tr2bl w:val="nil"/>
                  </w:tcBorders>
                  <w:noWrap w:val="0"/>
                  <w:vAlign w:val="center"/>
                </w:tcPr>
                <w:p w14:paraId="3D453AE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危险废物贮存间防渗层破损导致废机油渗滤液渗入地下水；硫酸铵、冰醋酸等在运输、贮存、生产过程中，如管理操作不当或发生意外事故，导致泄漏对区域土壤、地表水、地下水产生污染；污水处理站生产区管道、池体破裂或密封不严引发废水泄漏，污染土壤及地下水；污水处理站产生的沼气收集管道破裂或密封不严引发废气泄漏，其遇到明火引发的伴生/次生污染物扩散影响大气环境、消防废水进入地表水；废气环保设施运行不正常导致废气直接或未处理达标即经排气筒排放，对周围大气环境产生影响。</w:t>
                  </w:r>
                </w:p>
              </w:tc>
            </w:tr>
            <w:tr w14:paraId="3709A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33" w:type="dxa"/>
                  <w:tcBorders>
                    <w:tl2br w:val="nil"/>
                    <w:tr2bl w:val="nil"/>
                  </w:tcBorders>
                  <w:noWrap w:val="0"/>
                  <w:vAlign w:val="center"/>
                </w:tcPr>
                <w:p w14:paraId="47E9623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风险防范措施要求</w:t>
                  </w:r>
                </w:p>
              </w:tc>
              <w:tc>
                <w:tcPr>
                  <w:tcW w:w="7155" w:type="dxa"/>
                  <w:gridSpan w:val="4"/>
                  <w:tcBorders>
                    <w:tl2br w:val="nil"/>
                    <w:tr2bl w:val="nil"/>
                  </w:tcBorders>
                  <w:noWrap w:val="0"/>
                  <w:vAlign w:val="center"/>
                </w:tcPr>
                <w:p w14:paraId="7200A267">
                  <w:pPr>
                    <w:keepNext w:val="0"/>
                    <w:keepLines w:val="0"/>
                    <w:pageBreakBefore w:val="0"/>
                    <w:kinsoku/>
                    <w:wordWrap/>
                    <w:overflowPunct/>
                    <w:topLinePunct w:val="0"/>
                    <w:autoSpaceDE/>
                    <w:autoSpaceDN/>
                    <w:bidi w:val="0"/>
                    <w:adjustRightInd/>
                    <w:snapToGrid/>
                    <w:spacing w:line="320" w:lineRule="exact"/>
                    <w:jc w:val="both"/>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lang w:val="en-US" w:eastAsia="zh-CN"/>
                    </w:rPr>
                    <w:t>详见本章节“6、环境风险分析”中“（3）风险防范措施”</w:t>
                  </w:r>
                </w:p>
              </w:tc>
            </w:tr>
            <w:tr w14:paraId="53D8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8" w:type="dxa"/>
                  <w:gridSpan w:val="5"/>
                  <w:tcBorders>
                    <w:tl2br w:val="nil"/>
                    <w:tr2bl w:val="nil"/>
                  </w:tcBorders>
                  <w:noWrap w:val="0"/>
                  <w:vAlign w:val="top"/>
                </w:tcPr>
                <w:p w14:paraId="74CE00D5">
                  <w:pPr>
                    <w:keepNext w:val="0"/>
                    <w:keepLines w:val="0"/>
                    <w:pageBreakBefore w:val="0"/>
                    <w:kinsoku/>
                    <w:wordWrap/>
                    <w:overflowPunct/>
                    <w:topLinePunct w:val="0"/>
                    <w:autoSpaceDE/>
                    <w:autoSpaceDN/>
                    <w:bidi w:val="0"/>
                    <w:adjustRightInd/>
                    <w:snapToGrid/>
                    <w:spacing w:line="320" w:lineRule="exac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填表说明（列出项目相关信息及评价说明）：项目Q值小于1，故环境风险潜势为Ⅰ，只进行简单分析。</w:t>
                  </w:r>
                </w:p>
                <w:p w14:paraId="0F62F49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kern w:val="0"/>
                      <w:sz w:val="21"/>
                      <w:szCs w:val="21"/>
                      <w:highlight w:val="none"/>
                      <w:lang w:bidi="ar"/>
                    </w:rPr>
                    <w:t>项目拟采取的环境风险防范措施有效可行。项目环境风险可防控，总体环境风险小。</w:t>
                  </w:r>
                </w:p>
              </w:tc>
            </w:tr>
          </w:tbl>
          <w:p w14:paraId="53F98709">
            <w:pPr>
              <w:pStyle w:val="14"/>
              <w:keepNext w:val="0"/>
              <w:keepLines w:val="0"/>
              <w:pageBreakBefore w:val="0"/>
              <w:numPr>
                <w:ilvl w:val="0"/>
                <w:numId w:val="0"/>
              </w:numPr>
              <w:kinsoku/>
              <w:wordWrap/>
              <w:overflowPunct/>
              <w:topLinePunct w:val="0"/>
              <w:autoSpaceDE/>
              <w:autoSpaceDN/>
              <w:bidi w:val="0"/>
              <w:spacing w:line="440" w:lineRule="exact"/>
              <w:ind w:leftChars="0"/>
              <w:textAlignment w:val="auto"/>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eastAsia="宋体" w:cs="Times New Roman"/>
                <w:b/>
                <w:color w:val="auto"/>
                <w:sz w:val="24"/>
                <w:szCs w:val="24"/>
                <w:highlight w:val="none"/>
                <w:lang w:val="en-US" w:eastAsia="zh-CN"/>
              </w:rPr>
              <w:t>7、公众参与调查</w:t>
            </w:r>
          </w:p>
          <w:p w14:paraId="17886499">
            <w:pPr>
              <w:pStyle w:val="1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80" w:firstLineChars="200"/>
              <w:textAlignment w:val="auto"/>
              <w:rPr>
                <w:rFonts w:hint="eastAsia" w:ascii="Times New Roman" w:hAnsi="Times New Roman" w:eastAsia="宋体" w:cs="Times New Roman"/>
                <w:b w:val="0"/>
                <w:bCs/>
                <w:color w:val="auto"/>
                <w:sz w:val="24"/>
                <w:szCs w:val="24"/>
                <w:highlight w:val="none"/>
                <w:lang w:val="en-US" w:eastAsia="zh-CN"/>
              </w:rPr>
            </w:pPr>
            <w:r>
              <w:rPr>
                <w:rFonts w:hint="eastAsia" w:ascii="Times New Roman" w:hAnsi="Times New Roman" w:eastAsia="宋体" w:cs="Times New Roman"/>
                <w:b w:val="0"/>
                <w:bCs/>
                <w:color w:val="auto"/>
                <w:sz w:val="24"/>
                <w:szCs w:val="24"/>
                <w:highlight w:val="none"/>
                <w:lang w:val="en-US" w:eastAsia="zh-CN"/>
              </w:rPr>
              <w:t>为充分了解项目运营多年来对周围环境敏感点是否有影响，本次环评采取发放调查表的方式对厂区周围环境敏感点开展了公众参与调查。</w:t>
            </w:r>
          </w:p>
          <w:p w14:paraId="7A1B8280">
            <w:pPr>
              <w:pStyle w:val="1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80" w:firstLineChars="200"/>
              <w:textAlignment w:val="auto"/>
              <w:rPr>
                <w:rFonts w:hint="eastAsia" w:ascii="Times New Roman" w:hAnsi="Times New Roman" w:eastAsia="宋体" w:cs="Times New Roman"/>
                <w:b/>
                <w:color w:val="auto"/>
                <w:sz w:val="24"/>
                <w:szCs w:val="24"/>
                <w:highlight w:val="none"/>
                <w:lang w:val="en-US" w:eastAsia="zh-CN"/>
              </w:rPr>
            </w:pPr>
            <w:r>
              <w:rPr>
                <w:rFonts w:hint="eastAsia" w:ascii="Times New Roman" w:hAnsi="Times New Roman" w:cs="Times New Roman"/>
                <w:b w:val="0"/>
                <w:bCs/>
                <w:color w:val="auto"/>
                <w:sz w:val="24"/>
                <w:szCs w:val="24"/>
                <w:highlight w:val="none"/>
                <w:lang w:val="en-US" w:eastAsia="zh-CN"/>
              </w:rPr>
              <w:t>经统计，</w:t>
            </w:r>
            <w:r>
              <w:rPr>
                <w:rFonts w:hint="eastAsia" w:ascii="Times New Roman" w:hAnsi="Times New Roman" w:eastAsia="宋体" w:cs="Times New Roman"/>
                <w:b w:val="0"/>
                <w:bCs/>
                <w:color w:val="auto"/>
                <w:sz w:val="24"/>
                <w:szCs w:val="24"/>
                <w:highlight w:val="none"/>
                <w:lang w:val="en-US" w:eastAsia="zh-CN"/>
              </w:rPr>
              <w:t>本次公众参与共发放个人调查表</w:t>
            </w:r>
            <w:r>
              <w:rPr>
                <w:rFonts w:hint="eastAsia" w:ascii="Times New Roman" w:hAnsi="Times New Roman" w:cs="Times New Roman"/>
                <w:b w:val="0"/>
                <w:bCs/>
                <w:color w:val="auto"/>
                <w:sz w:val="24"/>
                <w:szCs w:val="24"/>
                <w:highlight w:val="none"/>
                <w:lang w:val="en-US" w:eastAsia="zh-CN"/>
              </w:rPr>
              <w:t>15</w:t>
            </w:r>
            <w:r>
              <w:rPr>
                <w:rFonts w:hint="eastAsia" w:ascii="Times New Roman" w:hAnsi="Times New Roman" w:eastAsia="宋体" w:cs="Times New Roman"/>
                <w:b w:val="0"/>
                <w:bCs/>
                <w:color w:val="auto"/>
                <w:sz w:val="24"/>
                <w:szCs w:val="24"/>
                <w:highlight w:val="none"/>
                <w:lang w:val="en-US" w:eastAsia="zh-CN"/>
              </w:rPr>
              <w:t>份，收回</w:t>
            </w:r>
            <w:r>
              <w:rPr>
                <w:rFonts w:hint="eastAsia" w:ascii="Times New Roman" w:hAnsi="Times New Roman" w:cs="Times New Roman"/>
                <w:b w:val="0"/>
                <w:bCs/>
                <w:color w:val="auto"/>
                <w:sz w:val="24"/>
                <w:szCs w:val="24"/>
                <w:highlight w:val="none"/>
                <w:lang w:val="en-US" w:eastAsia="zh-CN"/>
              </w:rPr>
              <w:t>15</w:t>
            </w:r>
            <w:r>
              <w:rPr>
                <w:rFonts w:hint="eastAsia" w:ascii="Times New Roman" w:hAnsi="Times New Roman" w:eastAsia="宋体" w:cs="Times New Roman"/>
                <w:b w:val="0"/>
                <w:bCs/>
                <w:color w:val="auto"/>
                <w:sz w:val="24"/>
                <w:szCs w:val="24"/>
                <w:highlight w:val="none"/>
                <w:lang w:val="en-US" w:eastAsia="zh-CN"/>
              </w:rPr>
              <w:t>份</w:t>
            </w:r>
            <w:r>
              <w:rPr>
                <w:rFonts w:hint="eastAsia" w:ascii="Times New Roman" w:hAnsi="Times New Roman" w:cs="Times New Roman"/>
                <w:b w:val="0"/>
                <w:bCs/>
                <w:color w:val="auto"/>
                <w:sz w:val="24"/>
                <w:szCs w:val="24"/>
                <w:highlight w:val="none"/>
                <w:lang w:val="en-US" w:eastAsia="zh-CN"/>
              </w:rPr>
              <w:t>；团体部分共发放调查表5份，收回5份，以上调查均未对本项目的建设提出反对意见。（调查表见附件20）。</w:t>
            </w:r>
          </w:p>
          <w:p w14:paraId="39220B15">
            <w:pPr>
              <w:pStyle w:val="14"/>
              <w:keepNext w:val="0"/>
              <w:keepLines w:val="0"/>
              <w:pageBreakBefore w:val="0"/>
              <w:numPr>
                <w:ilvl w:val="0"/>
                <w:numId w:val="0"/>
              </w:numPr>
              <w:kinsoku/>
              <w:wordWrap/>
              <w:overflowPunct/>
              <w:topLinePunct w:val="0"/>
              <w:autoSpaceDE/>
              <w:autoSpaceDN/>
              <w:bidi w:val="0"/>
              <w:spacing w:line="440" w:lineRule="exact"/>
              <w:ind w:leftChars="0"/>
              <w:textAlignment w:val="auto"/>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8、</w:t>
            </w:r>
            <w:r>
              <w:rPr>
                <w:rFonts w:hint="default" w:ascii="Times New Roman" w:hAnsi="Times New Roman" w:eastAsia="宋体" w:cs="Times New Roman"/>
                <w:b/>
                <w:color w:val="auto"/>
                <w:sz w:val="24"/>
                <w:szCs w:val="24"/>
                <w:highlight w:val="none"/>
                <w:lang w:val="en-US" w:eastAsia="zh-CN"/>
              </w:rPr>
              <w:t>电磁辐射</w:t>
            </w:r>
          </w:p>
          <w:p w14:paraId="54C88FA3">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本项目不涉及电磁辐射，不做相关分析。</w:t>
            </w:r>
          </w:p>
          <w:p w14:paraId="3DE231B7">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cs="Times New Roman"/>
                <w:b/>
                <w:bCs/>
                <w:color w:val="auto"/>
                <w:sz w:val="24"/>
                <w:szCs w:val="24"/>
                <w:highlight w:val="none"/>
              </w:rPr>
            </w:pPr>
            <w:r>
              <w:rPr>
                <w:rFonts w:hint="eastAsia" w:cs="Times New Roman"/>
                <w:b/>
                <w:color w:val="auto"/>
                <w:sz w:val="24"/>
                <w:szCs w:val="24"/>
                <w:highlight w:val="none"/>
                <w:lang w:val="en-US" w:eastAsia="zh-CN"/>
              </w:rPr>
              <w:t>9</w:t>
            </w:r>
            <w:r>
              <w:rPr>
                <w:rFonts w:hint="eastAsia" w:ascii="Times New Roman" w:hAnsi="Times New Roman" w:eastAsia="宋体" w:cs="Times New Roman"/>
                <w:b/>
                <w:color w:val="auto"/>
                <w:sz w:val="24"/>
                <w:szCs w:val="24"/>
                <w:highlight w:val="none"/>
                <w:lang w:val="en-US" w:eastAsia="zh-CN"/>
              </w:rPr>
              <w:t>、</w:t>
            </w:r>
            <w:r>
              <w:rPr>
                <w:rFonts w:cs="Times New Roman"/>
                <w:b/>
                <w:bCs/>
                <w:color w:val="auto"/>
                <w:sz w:val="24"/>
                <w:szCs w:val="24"/>
                <w:highlight w:val="none"/>
              </w:rPr>
              <w:t>监测计划</w:t>
            </w:r>
          </w:p>
          <w:p w14:paraId="1184E0D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cs="Times New Roman"/>
                <w:color w:val="auto"/>
                <w:sz w:val="24"/>
                <w:szCs w:val="24"/>
                <w:highlight w:val="none"/>
              </w:rPr>
            </w:pPr>
            <w:r>
              <w:rPr>
                <w:rFonts w:cs="Times New Roman"/>
                <w:color w:val="auto"/>
                <w:sz w:val="24"/>
                <w:szCs w:val="24"/>
                <w:highlight w:val="none"/>
              </w:rPr>
              <w:t>环境监测是企业搞好环境管理，促进污染治理设施正常运行的主要保障。通过定期的环境监测，了解邻近地区的环境质量状况，可以及时发现问题、解决问题，从而有利于监督各项环保措施的落实，并根据监测结果适时调整环境保护计划。</w:t>
            </w:r>
          </w:p>
          <w:p w14:paraId="32EA4F6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cs="Times New Roman"/>
                <w:color w:val="auto"/>
                <w:sz w:val="24"/>
                <w:szCs w:val="24"/>
                <w:highlight w:val="none"/>
              </w:rPr>
            </w:pPr>
            <w:r>
              <w:rPr>
                <w:rFonts w:cs="Times New Roman"/>
                <w:color w:val="auto"/>
                <w:sz w:val="24"/>
                <w:szCs w:val="24"/>
                <w:highlight w:val="none"/>
              </w:rPr>
              <w:t>本次评价主要提出项目在生产运行阶段的污染源监测计划，监测内容包括大气环境及声环境，监测工作应委托具有检测资质的单位承担。项目环境监测计划详见表4-</w:t>
            </w:r>
            <w:r>
              <w:rPr>
                <w:rFonts w:hint="eastAsia" w:cs="Times New Roman"/>
                <w:color w:val="auto"/>
                <w:sz w:val="24"/>
                <w:szCs w:val="24"/>
                <w:highlight w:val="none"/>
                <w:lang w:val="en-US" w:eastAsia="zh-CN"/>
              </w:rPr>
              <w:t>40</w:t>
            </w:r>
            <w:r>
              <w:rPr>
                <w:rFonts w:cs="Times New Roman"/>
                <w:color w:val="auto"/>
                <w:sz w:val="24"/>
                <w:szCs w:val="24"/>
                <w:highlight w:val="none"/>
              </w:rPr>
              <w:t>。</w:t>
            </w:r>
          </w:p>
          <w:p w14:paraId="76DD39A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cs="Times New Roman"/>
                <w:b/>
                <w:bCs/>
                <w:color w:val="auto"/>
                <w:sz w:val="21"/>
                <w:szCs w:val="21"/>
                <w:highlight w:val="none"/>
              </w:rPr>
            </w:pPr>
            <w:r>
              <w:rPr>
                <w:rFonts w:cs="Times New Roman"/>
                <w:b/>
                <w:bCs/>
                <w:color w:val="auto"/>
                <w:sz w:val="21"/>
                <w:szCs w:val="21"/>
                <w:highlight w:val="none"/>
              </w:rPr>
              <w:t>表4-</w:t>
            </w:r>
            <w:r>
              <w:rPr>
                <w:rFonts w:hint="eastAsia" w:cs="Times New Roman"/>
                <w:b/>
                <w:bCs/>
                <w:color w:val="auto"/>
                <w:sz w:val="21"/>
                <w:szCs w:val="21"/>
                <w:highlight w:val="none"/>
                <w:lang w:val="en-US" w:eastAsia="zh-CN"/>
              </w:rPr>
              <w:t xml:space="preserve">40  </w:t>
            </w:r>
            <w:r>
              <w:rPr>
                <w:rFonts w:cs="Times New Roman"/>
                <w:b/>
                <w:bCs/>
                <w:color w:val="auto"/>
                <w:sz w:val="21"/>
                <w:szCs w:val="21"/>
                <w:highlight w:val="none"/>
              </w:rPr>
              <w:t>自行监测计划表</w:t>
            </w:r>
          </w:p>
          <w:tbl>
            <w:tblPr>
              <w:tblStyle w:val="26"/>
              <w:tblW w:w="8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421"/>
              <w:gridCol w:w="1847"/>
              <w:gridCol w:w="1714"/>
              <w:gridCol w:w="1287"/>
              <w:gridCol w:w="2996"/>
            </w:tblGrid>
            <w:tr w14:paraId="0FAF2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pct"/>
                  <w:gridSpan w:val="2"/>
                  <w:tcBorders>
                    <w:tl2br w:val="nil"/>
                    <w:tr2bl w:val="nil"/>
                  </w:tcBorders>
                  <w:vAlign w:val="center"/>
                </w:tcPr>
                <w:p w14:paraId="50B427F1">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b/>
                      <w:color w:val="auto"/>
                      <w:kern w:val="0"/>
                      <w:szCs w:val="21"/>
                      <w:highlight w:val="none"/>
                    </w:rPr>
                  </w:pPr>
                  <w:r>
                    <w:rPr>
                      <w:rFonts w:hint="eastAsia"/>
                      <w:b/>
                      <w:color w:val="auto"/>
                      <w:kern w:val="0"/>
                      <w:szCs w:val="21"/>
                      <w:highlight w:val="none"/>
                    </w:rPr>
                    <w:t>类别</w:t>
                  </w:r>
                </w:p>
              </w:tc>
              <w:tc>
                <w:tcPr>
                  <w:tcW w:w="1062" w:type="pct"/>
                  <w:tcBorders>
                    <w:tl2br w:val="nil"/>
                    <w:tr2bl w:val="nil"/>
                  </w:tcBorders>
                  <w:vAlign w:val="center"/>
                </w:tcPr>
                <w:p w14:paraId="157F1B6E">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b/>
                      <w:color w:val="auto"/>
                      <w:kern w:val="0"/>
                      <w:szCs w:val="21"/>
                      <w:highlight w:val="none"/>
                    </w:rPr>
                  </w:pPr>
                  <w:r>
                    <w:rPr>
                      <w:b/>
                      <w:color w:val="auto"/>
                      <w:kern w:val="0"/>
                      <w:szCs w:val="21"/>
                      <w:highlight w:val="none"/>
                    </w:rPr>
                    <w:t>监测点位</w:t>
                  </w:r>
                </w:p>
              </w:tc>
              <w:tc>
                <w:tcPr>
                  <w:tcW w:w="986" w:type="pct"/>
                  <w:tcBorders>
                    <w:tl2br w:val="nil"/>
                    <w:tr2bl w:val="nil"/>
                  </w:tcBorders>
                  <w:vAlign w:val="center"/>
                </w:tcPr>
                <w:p w14:paraId="73A4901F">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b/>
                      <w:color w:val="auto"/>
                      <w:kern w:val="0"/>
                      <w:szCs w:val="21"/>
                      <w:highlight w:val="none"/>
                    </w:rPr>
                  </w:pPr>
                  <w:r>
                    <w:rPr>
                      <w:b/>
                      <w:color w:val="auto"/>
                      <w:kern w:val="0"/>
                      <w:szCs w:val="21"/>
                      <w:highlight w:val="none"/>
                    </w:rPr>
                    <w:t>监测</w:t>
                  </w:r>
                  <w:r>
                    <w:rPr>
                      <w:rFonts w:hint="eastAsia"/>
                      <w:b/>
                      <w:color w:val="auto"/>
                      <w:kern w:val="0"/>
                      <w:szCs w:val="21"/>
                      <w:highlight w:val="none"/>
                    </w:rPr>
                    <w:t>因子</w:t>
                  </w:r>
                </w:p>
              </w:tc>
              <w:tc>
                <w:tcPr>
                  <w:tcW w:w="740" w:type="pct"/>
                  <w:tcBorders>
                    <w:tl2br w:val="nil"/>
                    <w:tr2bl w:val="nil"/>
                  </w:tcBorders>
                  <w:vAlign w:val="center"/>
                </w:tcPr>
                <w:p w14:paraId="0A8BE178">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b/>
                      <w:color w:val="auto"/>
                      <w:kern w:val="0"/>
                      <w:szCs w:val="21"/>
                      <w:highlight w:val="none"/>
                    </w:rPr>
                  </w:pPr>
                  <w:r>
                    <w:rPr>
                      <w:b/>
                      <w:color w:val="auto"/>
                      <w:kern w:val="0"/>
                      <w:szCs w:val="21"/>
                      <w:highlight w:val="none"/>
                    </w:rPr>
                    <w:t>监测频率</w:t>
                  </w:r>
                </w:p>
              </w:tc>
              <w:tc>
                <w:tcPr>
                  <w:tcW w:w="1723" w:type="pct"/>
                  <w:tcBorders>
                    <w:tl2br w:val="nil"/>
                    <w:tr2bl w:val="nil"/>
                  </w:tcBorders>
                  <w:vAlign w:val="center"/>
                </w:tcPr>
                <w:p w14:paraId="581BAE0D">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b/>
                      <w:color w:val="auto"/>
                      <w:kern w:val="0"/>
                      <w:szCs w:val="21"/>
                      <w:highlight w:val="none"/>
                    </w:rPr>
                  </w:pPr>
                  <w:r>
                    <w:rPr>
                      <w:rFonts w:hint="eastAsia"/>
                      <w:b/>
                      <w:color w:val="auto"/>
                      <w:kern w:val="0"/>
                      <w:szCs w:val="21"/>
                      <w:highlight w:val="none"/>
                    </w:rPr>
                    <w:t>执行标准</w:t>
                  </w:r>
                </w:p>
              </w:tc>
            </w:tr>
            <w:tr w14:paraId="20BB3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5" w:type="pct"/>
                  <w:vMerge w:val="restart"/>
                  <w:tcBorders>
                    <w:tl2br w:val="nil"/>
                    <w:tr2bl w:val="nil"/>
                  </w:tcBorders>
                  <w:vAlign w:val="center"/>
                </w:tcPr>
                <w:p w14:paraId="065EF00A">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eastAsia" w:eastAsia="宋体"/>
                      <w:color w:val="auto"/>
                      <w:kern w:val="0"/>
                      <w:szCs w:val="21"/>
                      <w:highlight w:val="none"/>
                      <w:lang w:val="en-US" w:eastAsia="zh-CN"/>
                    </w:rPr>
                  </w:pPr>
                  <w:r>
                    <w:rPr>
                      <w:rFonts w:hint="eastAsia"/>
                      <w:color w:val="auto"/>
                      <w:kern w:val="0"/>
                      <w:szCs w:val="21"/>
                      <w:highlight w:val="none"/>
                      <w:lang w:val="en-US" w:eastAsia="zh-CN"/>
                    </w:rPr>
                    <w:t>废气</w:t>
                  </w:r>
                </w:p>
              </w:tc>
              <w:tc>
                <w:tcPr>
                  <w:tcW w:w="242" w:type="pct"/>
                  <w:vMerge w:val="restart"/>
                  <w:tcBorders>
                    <w:tl2br w:val="nil"/>
                    <w:tr2bl w:val="nil"/>
                  </w:tcBorders>
                  <w:vAlign w:val="center"/>
                </w:tcPr>
                <w:p w14:paraId="6A450C53">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eastAsia"/>
                      <w:color w:val="auto"/>
                      <w:kern w:val="0"/>
                      <w:szCs w:val="21"/>
                      <w:highlight w:val="none"/>
                    </w:rPr>
                  </w:pPr>
                  <w:r>
                    <w:rPr>
                      <w:rFonts w:hint="eastAsia"/>
                      <w:color w:val="auto"/>
                      <w:kern w:val="0"/>
                      <w:szCs w:val="21"/>
                      <w:highlight w:val="none"/>
                    </w:rPr>
                    <w:t>有组织监测</w:t>
                  </w:r>
                </w:p>
              </w:tc>
              <w:tc>
                <w:tcPr>
                  <w:tcW w:w="1062" w:type="pct"/>
                  <w:tcBorders>
                    <w:tl2br w:val="nil"/>
                    <w:tr2bl w:val="nil"/>
                  </w:tcBorders>
                  <w:shd w:val="clear" w:color="auto" w:fill="auto"/>
                  <w:vAlign w:val="center"/>
                </w:tcPr>
                <w:p w14:paraId="32F261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DA001</w:t>
                  </w:r>
                </w:p>
              </w:tc>
              <w:tc>
                <w:tcPr>
                  <w:tcW w:w="986" w:type="pct"/>
                  <w:vMerge w:val="restart"/>
                  <w:tcBorders>
                    <w:tl2br w:val="nil"/>
                    <w:tr2bl w:val="nil"/>
                  </w:tcBorders>
                  <w:shd w:val="clear" w:color="auto" w:fill="auto"/>
                  <w:vAlign w:val="center"/>
                </w:tcPr>
                <w:p w14:paraId="1B1D8E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Cs w:val="21"/>
                      <w:highlight w:val="none"/>
                    </w:rPr>
                  </w:pPr>
                  <w:r>
                    <w:rPr>
                      <w:rFonts w:hint="eastAsia"/>
                      <w:color w:val="auto"/>
                      <w:szCs w:val="21"/>
                      <w:highlight w:val="none"/>
                    </w:rPr>
                    <w:t>废气量、颗粒物</w:t>
                  </w:r>
                  <w:r>
                    <w:rPr>
                      <w:color w:val="auto"/>
                      <w:szCs w:val="21"/>
                      <w:highlight w:val="none"/>
                    </w:rPr>
                    <w:t>、</w:t>
                  </w:r>
                  <w:r>
                    <w:rPr>
                      <w:color w:val="auto"/>
                      <w:kern w:val="0"/>
                      <w:szCs w:val="21"/>
                      <w:highlight w:val="none"/>
                    </w:rPr>
                    <w:t>SO</w:t>
                  </w:r>
                  <w:r>
                    <w:rPr>
                      <w:color w:val="auto"/>
                      <w:kern w:val="0"/>
                      <w:szCs w:val="21"/>
                      <w:highlight w:val="none"/>
                      <w:vertAlign w:val="subscript"/>
                    </w:rPr>
                    <w:t>2</w:t>
                  </w:r>
                  <w:r>
                    <w:rPr>
                      <w:rFonts w:hint="eastAsia"/>
                      <w:color w:val="auto"/>
                      <w:szCs w:val="21"/>
                      <w:highlight w:val="none"/>
                    </w:rPr>
                    <w:t>、</w:t>
                  </w:r>
                  <w:r>
                    <w:rPr>
                      <w:color w:val="auto"/>
                      <w:kern w:val="0"/>
                      <w:szCs w:val="21"/>
                      <w:highlight w:val="none"/>
                    </w:rPr>
                    <w:t>NO</w:t>
                  </w:r>
                  <w:r>
                    <w:rPr>
                      <w:color w:val="auto"/>
                      <w:kern w:val="0"/>
                      <w:szCs w:val="21"/>
                      <w:highlight w:val="none"/>
                      <w:vertAlign w:val="subscript"/>
                    </w:rPr>
                    <w:t>X</w:t>
                  </w:r>
                  <w:r>
                    <w:rPr>
                      <w:rFonts w:hint="eastAsia"/>
                      <w:color w:val="auto"/>
                      <w:szCs w:val="21"/>
                      <w:highlight w:val="none"/>
                    </w:rPr>
                    <w:t>、臭气浓度、</w:t>
                  </w:r>
                  <w:r>
                    <w:rPr>
                      <w:color w:val="auto"/>
                      <w:szCs w:val="21"/>
                      <w:highlight w:val="none"/>
                    </w:rPr>
                    <w:t>NH</w:t>
                  </w:r>
                  <w:r>
                    <w:rPr>
                      <w:color w:val="auto"/>
                      <w:szCs w:val="21"/>
                      <w:highlight w:val="none"/>
                      <w:vertAlign w:val="subscript"/>
                    </w:rPr>
                    <w:t>3</w:t>
                  </w:r>
                  <w:r>
                    <w:rPr>
                      <w:color w:val="auto"/>
                      <w:szCs w:val="21"/>
                      <w:highlight w:val="none"/>
                    </w:rPr>
                    <w:t>、H</w:t>
                  </w:r>
                  <w:r>
                    <w:rPr>
                      <w:color w:val="auto"/>
                      <w:szCs w:val="21"/>
                      <w:highlight w:val="none"/>
                      <w:vertAlign w:val="subscript"/>
                    </w:rPr>
                    <w:t>2</w:t>
                  </w:r>
                  <w:r>
                    <w:rPr>
                      <w:color w:val="auto"/>
                      <w:szCs w:val="21"/>
                      <w:highlight w:val="none"/>
                    </w:rPr>
                    <w:t>S</w:t>
                  </w:r>
                </w:p>
              </w:tc>
              <w:tc>
                <w:tcPr>
                  <w:tcW w:w="740" w:type="pct"/>
                  <w:tcBorders>
                    <w:tl2br w:val="nil"/>
                    <w:tr2bl w:val="nil"/>
                  </w:tcBorders>
                  <w:vAlign w:val="center"/>
                </w:tcPr>
                <w:p w14:paraId="7E5B10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rFonts w:hint="eastAsia"/>
                      <w:bCs/>
                      <w:color w:val="auto"/>
                      <w:szCs w:val="21"/>
                      <w:highlight w:val="none"/>
                    </w:rPr>
                    <w:t>1次/半年</w:t>
                  </w:r>
                </w:p>
              </w:tc>
              <w:tc>
                <w:tcPr>
                  <w:tcW w:w="1723" w:type="pct"/>
                  <w:vMerge w:val="restart"/>
                  <w:tcBorders>
                    <w:tl2br w:val="nil"/>
                    <w:tr2bl w:val="nil"/>
                  </w:tcBorders>
                  <w:vAlign w:val="center"/>
                </w:tcPr>
                <w:p w14:paraId="304A29F2">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bCs/>
                      <w:color w:val="auto"/>
                      <w:kern w:val="0"/>
                      <w:szCs w:val="21"/>
                      <w:highlight w:val="none"/>
                    </w:rPr>
                  </w:pPr>
                  <w:r>
                    <w:rPr>
                      <w:color w:val="auto"/>
                      <w:kern w:val="0"/>
                      <w:szCs w:val="21"/>
                      <w:highlight w:val="none"/>
                      <w:lang w:bidi="ar"/>
                    </w:rPr>
                    <w:t>《大气污染物综合排放标准》（GB16297-1996）</w:t>
                  </w:r>
                  <w:r>
                    <w:rPr>
                      <w:rFonts w:hint="eastAsia"/>
                      <w:color w:val="auto"/>
                      <w:kern w:val="0"/>
                      <w:szCs w:val="21"/>
                      <w:highlight w:val="none"/>
                      <w:lang w:bidi="ar"/>
                    </w:rPr>
                    <w:t>、</w:t>
                  </w:r>
                  <w:r>
                    <w:rPr>
                      <w:color w:val="auto"/>
                      <w:szCs w:val="21"/>
                      <w:highlight w:val="none"/>
                    </w:rPr>
                    <w:t>《</w:t>
                  </w:r>
                  <w:r>
                    <w:rPr>
                      <w:color w:val="auto"/>
                      <w:kern w:val="0"/>
                      <w:szCs w:val="21"/>
                      <w:highlight w:val="none"/>
                      <w:lang w:bidi="ar"/>
                    </w:rPr>
                    <w:t>恶臭污染物排放标准》（GB14554-93</w:t>
                  </w:r>
                  <w:r>
                    <w:rPr>
                      <w:rFonts w:hint="eastAsia"/>
                      <w:color w:val="auto"/>
                      <w:kern w:val="0"/>
                      <w:szCs w:val="21"/>
                      <w:highlight w:val="none"/>
                      <w:lang w:bidi="ar"/>
                    </w:rPr>
                    <w:t>）</w:t>
                  </w:r>
                </w:p>
              </w:tc>
            </w:tr>
            <w:tr w14:paraId="7B8A9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5" w:type="pct"/>
                  <w:vMerge w:val="continue"/>
                  <w:tcBorders>
                    <w:tl2br w:val="nil"/>
                    <w:tr2bl w:val="nil"/>
                  </w:tcBorders>
                  <w:vAlign w:val="center"/>
                </w:tcPr>
                <w:p w14:paraId="739A524F">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eastAsia"/>
                      <w:color w:val="auto"/>
                      <w:kern w:val="0"/>
                      <w:szCs w:val="21"/>
                      <w:highlight w:val="none"/>
                    </w:rPr>
                  </w:pPr>
                </w:p>
              </w:tc>
              <w:tc>
                <w:tcPr>
                  <w:tcW w:w="242" w:type="pct"/>
                  <w:vMerge w:val="continue"/>
                  <w:tcBorders>
                    <w:tl2br w:val="nil"/>
                    <w:tr2bl w:val="nil"/>
                  </w:tcBorders>
                  <w:vAlign w:val="center"/>
                </w:tcPr>
                <w:p w14:paraId="22AD72AD">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eastAsia"/>
                      <w:color w:val="auto"/>
                      <w:kern w:val="0"/>
                      <w:szCs w:val="21"/>
                      <w:highlight w:val="none"/>
                    </w:rPr>
                  </w:pPr>
                </w:p>
              </w:tc>
              <w:tc>
                <w:tcPr>
                  <w:tcW w:w="1062" w:type="pct"/>
                  <w:tcBorders>
                    <w:tl2br w:val="nil"/>
                    <w:tr2bl w:val="nil"/>
                  </w:tcBorders>
                  <w:shd w:val="clear" w:color="auto" w:fill="auto"/>
                  <w:vAlign w:val="center"/>
                </w:tcPr>
                <w:p w14:paraId="5CB97F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DA002</w:t>
                  </w:r>
                </w:p>
              </w:tc>
              <w:tc>
                <w:tcPr>
                  <w:tcW w:w="986" w:type="pct"/>
                  <w:vMerge w:val="continue"/>
                  <w:tcBorders>
                    <w:tl2br w:val="nil"/>
                    <w:tr2bl w:val="nil"/>
                  </w:tcBorders>
                  <w:shd w:val="clear" w:color="auto" w:fill="auto"/>
                  <w:vAlign w:val="center"/>
                </w:tcPr>
                <w:p w14:paraId="244328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olor w:val="auto"/>
                      <w:szCs w:val="21"/>
                      <w:highlight w:val="none"/>
                    </w:rPr>
                  </w:pPr>
                </w:p>
              </w:tc>
              <w:tc>
                <w:tcPr>
                  <w:tcW w:w="740" w:type="pct"/>
                  <w:tcBorders>
                    <w:tl2br w:val="nil"/>
                    <w:tr2bl w:val="nil"/>
                  </w:tcBorders>
                  <w:vAlign w:val="center"/>
                </w:tcPr>
                <w:p w14:paraId="537346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Cs/>
                      <w:color w:val="auto"/>
                      <w:szCs w:val="21"/>
                      <w:highlight w:val="none"/>
                    </w:rPr>
                  </w:pPr>
                  <w:r>
                    <w:rPr>
                      <w:rFonts w:hint="eastAsia"/>
                      <w:bCs/>
                      <w:color w:val="auto"/>
                      <w:szCs w:val="21"/>
                      <w:highlight w:val="none"/>
                    </w:rPr>
                    <w:t>1次/半年</w:t>
                  </w:r>
                </w:p>
              </w:tc>
              <w:tc>
                <w:tcPr>
                  <w:tcW w:w="1723" w:type="pct"/>
                  <w:vMerge w:val="continue"/>
                  <w:tcBorders>
                    <w:tl2br w:val="nil"/>
                    <w:tr2bl w:val="nil"/>
                  </w:tcBorders>
                  <w:vAlign w:val="center"/>
                </w:tcPr>
                <w:p w14:paraId="6EAA3F11">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kern w:val="0"/>
                      <w:szCs w:val="21"/>
                      <w:highlight w:val="none"/>
                      <w:lang w:bidi="ar"/>
                    </w:rPr>
                  </w:pPr>
                </w:p>
              </w:tc>
            </w:tr>
            <w:tr w14:paraId="07B3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5" w:type="pct"/>
                  <w:vMerge w:val="continue"/>
                  <w:tcBorders>
                    <w:tl2br w:val="nil"/>
                    <w:tr2bl w:val="nil"/>
                  </w:tcBorders>
                  <w:vAlign w:val="center"/>
                </w:tcPr>
                <w:p w14:paraId="2A30B78F">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kern w:val="0"/>
                      <w:szCs w:val="21"/>
                      <w:highlight w:val="none"/>
                    </w:rPr>
                  </w:pPr>
                </w:p>
              </w:tc>
              <w:tc>
                <w:tcPr>
                  <w:tcW w:w="242" w:type="pct"/>
                  <w:vMerge w:val="continue"/>
                  <w:tcBorders>
                    <w:tl2br w:val="nil"/>
                    <w:tr2bl w:val="nil"/>
                  </w:tcBorders>
                  <w:vAlign w:val="center"/>
                </w:tcPr>
                <w:p w14:paraId="50C4E6BE">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kern w:val="0"/>
                      <w:szCs w:val="21"/>
                      <w:highlight w:val="none"/>
                    </w:rPr>
                  </w:pPr>
                </w:p>
              </w:tc>
              <w:tc>
                <w:tcPr>
                  <w:tcW w:w="1062" w:type="pct"/>
                  <w:tcBorders>
                    <w:tl2br w:val="nil"/>
                    <w:tr2bl w:val="nil"/>
                  </w:tcBorders>
                  <w:vAlign w:val="center"/>
                </w:tcPr>
                <w:p w14:paraId="309049A9">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eastAsia" w:eastAsia="宋体"/>
                      <w:color w:val="auto"/>
                      <w:kern w:val="0"/>
                      <w:szCs w:val="21"/>
                      <w:highlight w:val="none"/>
                      <w:lang w:val="en-US" w:eastAsia="zh-CN"/>
                    </w:rPr>
                  </w:pPr>
                  <w:r>
                    <w:rPr>
                      <w:rFonts w:hint="eastAsia"/>
                      <w:color w:val="auto"/>
                      <w:szCs w:val="21"/>
                      <w:highlight w:val="none"/>
                    </w:rPr>
                    <w:t>DA00</w:t>
                  </w:r>
                  <w:r>
                    <w:rPr>
                      <w:rFonts w:hint="eastAsia"/>
                      <w:color w:val="auto"/>
                      <w:szCs w:val="21"/>
                      <w:highlight w:val="none"/>
                      <w:lang w:val="en-US" w:eastAsia="zh-CN"/>
                    </w:rPr>
                    <w:t>3</w:t>
                  </w:r>
                </w:p>
              </w:tc>
              <w:tc>
                <w:tcPr>
                  <w:tcW w:w="986" w:type="pct"/>
                  <w:tcBorders>
                    <w:tl2br w:val="nil"/>
                    <w:tr2bl w:val="nil"/>
                  </w:tcBorders>
                  <w:vAlign w:val="center"/>
                </w:tcPr>
                <w:p w14:paraId="002F35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rFonts w:hint="eastAsia"/>
                      <w:color w:val="auto"/>
                      <w:szCs w:val="21"/>
                      <w:highlight w:val="none"/>
                    </w:rPr>
                    <w:t>臭气浓度、</w:t>
                  </w:r>
                  <w:r>
                    <w:rPr>
                      <w:color w:val="auto"/>
                      <w:szCs w:val="21"/>
                      <w:highlight w:val="none"/>
                    </w:rPr>
                    <w:t>NH</w:t>
                  </w:r>
                  <w:r>
                    <w:rPr>
                      <w:color w:val="auto"/>
                      <w:szCs w:val="21"/>
                      <w:highlight w:val="none"/>
                      <w:vertAlign w:val="subscript"/>
                    </w:rPr>
                    <w:t>3</w:t>
                  </w:r>
                  <w:r>
                    <w:rPr>
                      <w:color w:val="auto"/>
                      <w:szCs w:val="21"/>
                      <w:highlight w:val="none"/>
                    </w:rPr>
                    <w:t>、H</w:t>
                  </w:r>
                  <w:r>
                    <w:rPr>
                      <w:color w:val="auto"/>
                      <w:szCs w:val="21"/>
                      <w:highlight w:val="none"/>
                      <w:vertAlign w:val="subscript"/>
                    </w:rPr>
                    <w:t>2</w:t>
                  </w:r>
                  <w:r>
                    <w:rPr>
                      <w:color w:val="auto"/>
                      <w:szCs w:val="21"/>
                      <w:highlight w:val="none"/>
                    </w:rPr>
                    <w:t>S</w:t>
                  </w:r>
                </w:p>
              </w:tc>
              <w:tc>
                <w:tcPr>
                  <w:tcW w:w="740" w:type="pct"/>
                  <w:tcBorders>
                    <w:tl2br w:val="nil"/>
                    <w:tr2bl w:val="nil"/>
                  </w:tcBorders>
                  <w:vAlign w:val="center"/>
                </w:tcPr>
                <w:p w14:paraId="5093146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rFonts w:hint="eastAsia"/>
                      <w:bCs/>
                      <w:color w:val="auto"/>
                      <w:szCs w:val="21"/>
                      <w:highlight w:val="none"/>
                    </w:rPr>
                    <w:t>1次/半年</w:t>
                  </w:r>
                </w:p>
              </w:tc>
              <w:tc>
                <w:tcPr>
                  <w:tcW w:w="1723" w:type="pct"/>
                  <w:tcBorders>
                    <w:tl2br w:val="nil"/>
                    <w:tr2bl w:val="nil"/>
                  </w:tcBorders>
                  <w:vAlign w:val="center"/>
                </w:tcPr>
                <w:p w14:paraId="295B85DD">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bCs/>
                      <w:color w:val="auto"/>
                      <w:kern w:val="0"/>
                      <w:szCs w:val="21"/>
                      <w:highlight w:val="none"/>
                    </w:rPr>
                  </w:pPr>
                  <w:r>
                    <w:rPr>
                      <w:color w:val="auto"/>
                      <w:szCs w:val="21"/>
                      <w:highlight w:val="none"/>
                    </w:rPr>
                    <w:t>《</w:t>
                  </w:r>
                  <w:r>
                    <w:rPr>
                      <w:color w:val="auto"/>
                      <w:kern w:val="0"/>
                      <w:szCs w:val="21"/>
                      <w:highlight w:val="none"/>
                      <w:lang w:bidi="ar"/>
                    </w:rPr>
                    <w:t>恶臭污染物排放标准》（GB14554-93</w:t>
                  </w:r>
                  <w:r>
                    <w:rPr>
                      <w:rFonts w:hint="eastAsia"/>
                      <w:color w:val="auto"/>
                      <w:kern w:val="0"/>
                      <w:szCs w:val="21"/>
                      <w:highlight w:val="none"/>
                      <w:lang w:bidi="ar"/>
                    </w:rPr>
                    <w:t>）</w:t>
                  </w:r>
                </w:p>
              </w:tc>
            </w:tr>
            <w:tr w14:paraId="0843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5" w:type="pct"/>
                  <w:vMerge w:val="continue"/>
                  <w:tcBorders>
                    <w:tl2br w:val="nil"/>
                    <w:tr2bl w:val="nil"/>
                  </w:tcBorders>
                  <w:vAlign w:val="center"/>
                </w:tcPr>
                <w:p w14:paraId="5DA11629">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kern w:val="0"/>
                      <w:szCs w:val="21"/>
                      <w:highlight w:val="none"/>
                    </w:rPr>
                  </w:pPr>
                </w:p>
              </w:tc>
              <w:tc>
                <w:tcPr>
                  <w:tcW w:w="242" w:type="pct"/>
                  <w:vMerge w:val="continue"/>
                  <w:tcBorders>
                    <w:tl2br w:val="nil"/>
                    <w:tr2bl w:val="nil"/>
                  </w:tcBorders>
                  <w:vAlign w:val="center"/>
                </w:tcPr>
                <w:p w14:paraId="4DBA10B1">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kern w:val="0"/>
                      <w:szCs w:val="21"/>
                      <w:highlight w:val="none"/>
                    </w:rPr>
                  </w:pPr>
                </w:p>
              </w:tc>
              <w:tc>
                <w:tcPr>
                  <w:tcW w:w="1062" w:type="pct"/>
                  <w:tcBorders>
                    <w:tl2br w:val="nil"/>
                    <w:tr2bl w:val="nil"/>
                  </w:tcBorders>
                  <w:vAlign w:val="center"/>
                </w:tcPr>
                <w:p w14:paraId="5892A2C4">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eastAsia" w:eastAsia="宋体"/>
                      <w:color w:val="auto"/>
                      <w:kern w:val="0"/>
                      <w:szCs w:val="21"/>
                      <w:highlight w:val="none"/>
                      <w:lang w:val="en-US" w:eastAsia="zh-CN"/>
                    </w:rPr>
                  </w:pPr>
                  <w:r>
                    <w:rPr>
                      <w:rFonts w:hint="eastAsia"/>
                      <w:color w:val="auto"/>
                      <w:kern w:val="0"/>
                      <w:szCs w:val="21"/>
                      <w:highlight w:val="none"/>
                    </w:rPr>
                    <w:t>DA00</w:t>
                  </w:r>
                  <w:r>
                    <w:rPr>
                      <w:rFonts w:hint="eastAsia"/>
                      <w:color w:val="auto"/>
                      <w:kern w:val="0"/>
                      <w:szCs w:val="21"/>
                      <w:highlight w:val="none"/>
                      <w:lang w:val="en-US" w:eastAsia="zh-CN"/>
                    </w:rPr>
                    <w:t>4</w:t>
                  </w:r>
                </w:p>
              </w:tc>
              <w:tc>
                <w:tcPr>
                  <w:tcW w:w="986" w:type="pct"/>
                  <w:tcBorders>
                    <w:tl2br w:val="nil"/>
                    <w:tr2bl w:val="nil"/>
                  </w:tcBorders>
                  <w:vAlign w:val="center"/>
                </w:tcPr>
                <w:p w14:paraId="4FDE0F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rFonts w:hint="eastAsia"/>
                      <w:color w:val="auto"/>
                      <w:kern w:val="0"/>
                      <w:szCs w:val="21"/>
                      <w:highlight w:val="none"/>
                    </w:rPr>
                    <w:t>颗粒物</w:t>
                  </w:r>
                </w:p>
              </w:tc>
              <w:tc>
                <w:tcPr>
                  <w:tcW w:w="740" w:type="pct"/>
                  <w:tcBorders>
                    <w:tl2br w:val="nil"/>
                    <w:tr2bl w:val="nil"/>
                  </w:tcBorders>
                  <w:vAlign w:val="center"/>
                </w:tcPr>
                <w:p w14:paraId="733B179B">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kern w:val="0"/>
                      <w:szCs w:val="21"/>
                      <w:highlight w:val="none"/>
                    </w:rPr>
                  </w:pPr>
                  <w:r>
                    <w:rPr>
                      <w:rFonts w:hint="eastAsia"/>
                      <w:color w:val="auto"/>
                      <w:kern w:val="0"/>
                      <w:szCs w:val="21"/>
                      <w:highlight w:val="none"/>
                    </w:rPr>
                    <w:t>1次/半年</w:t>
                  </w:r>
                </w:p>
              </w:tc>
              <w:tc>
                <w:tcPr>
                  <w:tcW w:w="1723" w:type="pct"/>
                  <w:tcBorders>
                    <w:tl2br w:val="nil"/>
                    <w:tr2bl w:val="nil"/>
                  </w:tcBorders>
                  <w:vAlign w:val="center"/>
                </w:tcPr>
                <w:p w14:paraId="6DE90AA1">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bCs/>
                      <w:color w:val="auto"/>
                      <w:kern w:val="0"/>
                      <w:szCs w:val="21"/>
                      <w:highlight w:val="none"/>
                    </w:rPr>
                  </w:pPr>
                  <w:r>
                    <w:rPr>
                      <w:bCs/>
                      <w:color w:val="auto"/>
                      <w:kern w:val="0"/>
                      <w:szCs w:val="21"/>
                      <w:highlight w:val="none"/>
                    </w:rPr>
                    <w:t>《大气污染物综合排放标准》（GB16297-1996）</w:t>
                  </w:r>
                </w:p>
              </w:tc>
            </w:tr>
            <w:tr w14:paraId="2181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5" w:type="pct"/>
                  <w:vMerge w:val="continue"/>
                  <w:tcBorders>
                    <w:tl2br w:val="nil"/>
                    <w:tr2bl w:val="nil"/>
                  </w:tcBorders>
                  <w:vAlign w:val="center"/>
                </w:tcPr>
                <w:p w14:paraId="13330691">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kern w:val="0"/>
                      <w:szCs w:val="21"/>
                      <w:highlight w:val="none"/>
                    </w:rPr>
                  </w:pPr>
                </w:p>
              </w:tc>
              <w:tc>
                <w:tcPr>
                  <w:tcW w:w="242" w:type="pct"/>
                  <w:vMerge w:val="restart"/>
                  <w:tcBorders>
                    <w:tl2br w:val="nil"/>
                    <w:tr2bl w:val="nil"/>
                  </w:tcBorders>
                  <w:vAlign w:val="center"/>
                </w:tcPr>
                <w:p w14:paraId="770DAB4D">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eastAsia"/>
                      <w:color w:val="auto"/>
                      <w:kern w:val="0"/>
                      <w:szCs w:val="21"/>
                      <w:highlight w:val="none"/>
                    </w:rPr>
                  </w:pPr>
                  <w:r>
                    <w:rPr>
                      <w:rFonts w:hint="eastAsia"/>
                      <w:color w:val="auto"/>
                      <w:kern w:val="0"/>
                      <w:szCs w:val="21"/>
                      <w:highlight w:val="none"/>
                    </w:rPr>
                    <w:t>无组织监测</w:t>
                  </w:r>
                </w:p>
              </w:tc>
              <w:tc>
                <w:tcPr>
                  <w:tcW w:w="1062" w:type="pct"/>
                  <w:vMerge w:val="restart"/>
                  <w:tcBorders>
                    <w:tl2br w:val="nil"/>
                    <w:tr2bl w:val="nil"/>
                  </w:tcBorders>
                  <w:vAlign w:val="center"/>
                </w:tcPr>
                <w:p w14:paraId="41578C72">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kern w:val="0"/>
                      <w:szCs w:val="21"/>
                      <w:highlight w:val="none"/>
                    </w:rPr>
                  </w:pPr>
                  <w:r>
                    <w:rPr>
                      <w:rFonts w:hint="eastAsia"/>
                      <w:color w:val="auto"/>
                      <w:kern w:val="0"/>
                      <w:szCs w:val="21"/>
                      <w:highlight w:val="none"/>
                    </w:rPr>
                    <w:t>项目</w:t>
                  </w:r>
                  <w:r>
                    <w:rPr>
                      <w:color w:val="auto"/>
                      <w:kern w:val="0"/>
                      <w:szCs w:val="21"/>
                      <w:highlight w:val="none"/>
                    </w:rPr>
                    <w:t>厂界外上风向1个点，下风向厂界处</w:t>
                  </w:r>
                  <w:r>
                    <w:rPr>
                      <w:rFonts w:hint="eastAsia"/>
                      <w:color w:val="auto"/>
                      <w:kern w:val="0"/>
                      <w:szCs w:val="21"/>
                      <w:highlight w:val="none"/>
                    </w:rPr>
                    <w:t>2</w:t>
                  </w:r>
                  <w:r>
                    <w:rPr>
                      <w:color w:val="auto"/>
                      <w:kern w:val="0"/>
                      <w:szCs w:val="21"/>
                      <w:highlight w:val="none"/>
                    </w:rPr>
                    <w:t>个点</w:t>
                  </w:r>
                </w:p>
              </w:tc>
              <w:tc>
                <w:tcPr>
                  <w:tcW w:w="986" w:type="pct"/>
                  <w:tcBorders>
                    <w:tl2br w:val="nil"/>
                    <w:tr2bl w:val="nil"/>
                  </w:tcBorders>
                  <w:vAlign w:val="center"/>
                </w:tcPr>
                <w:p w14:paraId="00DA38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rFonts w:hint="eastAsia"/>
                      <w:color w:val="auto"/>
                      <w:kern w:val="0"/>
                      <w:szCs w:val="21"/>
                      <w:highlight w:val="none"/>
                    </w:rPr>
                    <w:t>颗粒物</w:t>
                  </w:r>
                </w:p>
              </w:tc>
              <w:tc>
                <w:tcPr>
                  <w:tcW w:w="740" w:type="pct"/>
                  <w:tcBorders>
                    <w:tl2br w:val="nil"/>
                    <w:tr2bl w:val="nil"/>
                  </w:tcBorders>
                  <w:vAlign w:val="center"/>
                </w:tcPr>
                <w:p w14:paraId="0C09AF1D">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kern w:val="0"/>
                      <w:szCs w:val="21"/>
                      <w:highlight w:val="none"/>
                    </w:rPr>
                  </w:pPr>
                  <w:r>
                    <w:rPr>
                      <w:rFonts w:hint="eastAsia"/>
                      <w:color w:val="auto"/>
                      <w:kern w:val="0"/>
                      <w:szCs w:val="21"/>
                      <w:highlight w:val="none"/>
                    </w:rPr>
                    <w:t>1次/半年</w:t>
                  </w:r>
                </w:p>
              </w:tc>
              <w:tc>
                <w:tcPr>
                  <w:tcW w:w="1723" w:type="pct"/>
                  <w:tcBorders>
                    <w:tl2br w:val="nil"/>
                    <w:tr2bl w:val="nil"/>
                  </w:tcBorders>
                  <w:vAlign w:val="center"/>
                </w:tcPr>
                <w:p w14:paraId="312226A0">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kern w:val="0"/>
                      <w:szCs w:val="21"/>
                      <w:highlight w:val="none"/>
                    </w:rPr>
                  </w:pPr>
                  <w:r>
                    <w:rPr>
                      <w:bCs/>
                      <w:color w:val="auto"/>
                      <w:kern w:val="0"/>
                      <w:szCs w:val="21"/>
                      <w:highlight w:val="none"/>
                    </w:rPr>
                    <w:t>《大气污染物综合排放标准》（GB16297-1996）</w:t>
                  </w:r>
                </w:p>
              </w:tc>
            </w:tr>
            <w:tr w14:paraId="75DA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5" w:type="pct"/>
                  <w:vMerge w:val="continue"/>
                  <w:tcBorders>
                    <w:tl2br w:val="nil"/>
                    <w:tr2bl w:val="nil"/>
                  </w:tcBorders>
                  <w:vAlign w:val="center"/>
                </w:tcPr>
                <w:p w14:paraId="6EF4ABAD">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kern w:val="0"/>
                      <w:szCs w:val="21"/>
                      <w:highlight w:val="none"/>
                    </w:rPr>
                  </w:pPr>
                </w:p>
              </w:tc>
              <w:tc>
                <w:tcPr>
                  <w:tcW w:w="242" w:type="pct"/>
                  <w:vMerge w:val="continue"/>
                  <w:tcBorders>
                    <w:tl2br w:val="nil"/>
                    <w:tr2bl w:val="nil"/>
                  </w:tcBorders>
                  <w:vAlign w:val="center"/>
                </w:tcPr>
                <w:p w14:paraId="01FBE7A0">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kern w:val="0"/>
                      <w:szCs w:val="21"/>
                      <w:highlight w:val="none"/>
                    </w:rPr>
                  </w:pPr>
                </w:p>
              </w:tc>
              <w:tc>
                <w:tcPr>
                  <w:tcW w:w="1062" w:type="pct"/>
                  <w:vMerge w:val="continue"/>
                  <w:tcBorders>
                    <w:tl2br w:val="nil"/>
                    <w:tr2bl w:val="nil"/>
                  </w:tcBorders>
                  <w:vAlign w:val="center"/>
                </w:tcPr>
                <w:p w14:paraId="51765E8F">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kern w:val="0"/>
                      <w:szCs w:val="21"/>
                      <w:highlight w:val="none"/>
                    </w:rPr>
                  </w:pPr>
                </w:p>
              </w:tc>
              <w:tc>
                <w:tcPr>
                  <w:tcW w:w="986" w:type="pct"/>
                  <w:tcBorders>
                    <w:tl2br w:val="nil"/>
                    <w:tr2bl w:val="nil"/>
                  </w:tcBorders>
                  <w:vAlign w:val="center"/>
                </w:tcPr>
                <w:p w14:paraId="6D29F7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kern w:val="0"/>
                      <w:szCs w:val="21"/>
                      <w:highlight w:val="none"/>
                    </w:rPr>
                  </w:pPr>
                  <w:r>
                    <w:rPr>
                      <w:rFonts w:hint="eastAsia"/>
                      <w:color w:val="auto"/>
                      <w:kern w:val="0"/>
                      <w:szCs w:val="21"/>
                      <w:highlight w:val="none"/>
                    </w:rPr>
                    <w:t>氨、臭气浓度、硫化氢</w:t>
                  </w:r>
                </w:p>
              </w:tc>
              <w:tc>
                <w:tcPr>
                  <w:tcW w:w="740" w:type="pct"/>
                  <w:tcBorders>
                    <w:tl2br w:val="nil"/>
                    <w:tr2bl w:val="nil"/>
                  </w:tcBorders>
                  <w:vAlign w:val="center"/>
                </w:tcPr>
                <w:p w14:paraId="340A4E93">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color w:val="auto"/>
                      <w:kern w:val="0"/>
                      <w:szCs w:val="21"/>
                      <w:highlight w:val="none"/>
                    </w:rPr>
                  </w:pPr>
                  <w:r>
                    <w:rPr>
                      <w:rFonts w:hint="eastAsia"/>
                      <w:color w:val="auto"/>
                      <w:kern w:val="0"/>
                      <w:szCs w:val="21"/>
                      <w:highlight w:val="none"/>
                    </w:rPr>
                    <w:t>1次/半年</w:t>
                  </w:r>
                </w:p>
              </w:tc>
              <w:tc>
                <w:tcPr>
                  <w:tcW w:w="1723" w:type="pct"/>
                  <w:tcBorders>
                    <w:tl2br w:val="nil"/>
                    <w:tr2bl w:val="nil"/>
                  </w:tcBorders>
                  <w:vAlign w:val="center"/>
                </w:tcPr>
                <w:p w14:paraId="1ACACE99">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bCs/>
                      <w:color w:val="auto"/>
                      <w:kern w:val="0"/>
                      <w:szCs w:val="21"/>
                      <w:highlight w:val="none"/>
                    </w:rPr>
                  </w:pPr>
                  <w:r>
                    <w:rPr>
                      <w:rFonts w:hint="eastAsia"/>
                      <w:bCs/>
                      <w:color w:val="auto"/>
                      <w:kern w:val="0"/>
                      <w:szCs w:val="21"/>
                      <w:highlight w:val="none"/>
                    </w:rPr>
                    <w:t>《恶臭污染物排放标准》（GB14554-93）</w:t>
                  </w:r>
                </w:p>
              </w:tc>
            </w:tr>
            <w:tr w14:paraId="47767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5" w:type="pct"/>
                  <w:tcBorders>
                    <w:tl2br w:val="nil"/>
                    <w:tr2bl w:val="nil"/>
                  </w:tcBorders>
                  <w:vAlign w:val="center"/>
                </w:tcPr>
                <w:p w14:paraId="57850B7B">
                  <w:pPr>
                    <w:keepNext w:val="0"/>
                    <w:keepLines w:val="0"/>
                    <w:pageBreakBefore w:val="0"/>
                    <w:widowControl w:val="0"/>
                    <w:tabs>
                      <w:tab w:val="center" w:pos="4153"/>
                      <w:tab w:val="right" w:pos="8306"/>
                    </w:tabs>
                    <w:kinsoku/>
                    <w:wordWrap/>
                    <w:overflowPunct/>
                    <w:topLinePunct w:val="0"/>
                    <w:autoSpaceDE/>
                    <w:autoSpaceDN/>
                    <w:bidi w:val="0"/>
                    <w:adjustRightInd/>
                    <w:snapToGrid/>
                    <w:spacing w:line="320" w:lineRule="exact"/>
                    <w:jc w:val="center"/>
                    <w:textAlignment w:val="auto"/>
                    <w:rPr>
                      <w:rFonts w:hint="eastAsia" w:eastAsia="宋体"/>
                      <w:color w:val="auto"/>
                      <w:kern w:val="0"/>
                      <w:szCs w:val="21"/>
                      <w:highlight w:val="none"/>
                      <w:lang w:val="en-US" w:eastAsia="zh-CN"/>
                    </w:rPr>
                  </w:pPr>
                  <w:r>
                    <w:rPr>
                      <w:rFonts w:hint="eastAsia"/>
                      <w:color w:val="auto"/>
                      <w:kern w:val="0"/>
                      <w:szCs w:val="21"/>
                      <w:highlight w:val="none"/>
                      <w:lang w:val="en-US" w:eastAsia="zh-CN"/>
                    </w:rPr>
                    <w:t>废水</w:t>
                  </w:r>
                </w:p>
              </w:tc>
              <w:tc>
                <w:tcPr>
                  <w:tcW w:w="1304" w:type="pct"/>
                  <w:gridSpan w:val="2"/>
                  <w:tcBorders>
                    <w:tl2br w:val="nil"/>
                    <w:tr2bl w:val="nil"/>
                  </w:tcBorders>
                  <w:shd w:val="clear" w:color="auto" w:fill="auto"/>
                  <w:vAlign w:val="center"/>
                </w:tcPr>
                <w:p w14:paraId="1339CA90">
                  <w:pPr>
                    <w:keepNext w:val="0"/>
                    <w:keepLines w:val="0"/>
                    <w:pageBreakBefore w:val="0"/>
                    <w:kinsoku/>
                    <w:wordWrap/>
                    <w:overflowPunct w:val="0"/>
                    <w:topLinePunct w:val="0"/>
                    <w:autoSpaceDE/>
                    <w:autoSpaceDN/>
                    <w:bidi w:val="0"/>
                    <w:spacing w:line="320" w:lineRule="exact"/>
                    <w:jc w:val="center"/>
                    <w:textAlignment w:val="auto"/>
                    <w:rPr>
                      <w:rFonts w:hint="eastAsia" w:ascii="Times New Roman" w:hAnsi="Times New Roman" w:eastAsia="宋体" w:cs="Times New Roman"/>
                      <w:b w:val="0"/>
                      <w:bCs/>
                      <w:color w:val="auto"/>
                      <w:kern w:val="21"/>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污水</w:t>
                  </w:r>
                  <w:r>
                    <w:rPr>
                      <w:rFonts w:hint="eastAsia" w:eastAsia="宋体" w:cs="Times New Roman"/>
                      <w:b w:val="0"/>
                      <w:bCs w:val="0"/>
                      <w:color w:val="auto"/>
                      <w:sz w:val="21"/>
                      <w:szCs w:val="21"/>
                      <w:highlight w:val="none"/>
                      <w:lang w:val="en-US" w:eastAsia="zh-CN"/>
                    </w:rPr>
                    <w:t>总</w:t>
                  </w:r>
                  <w:r>
                    <w:rPr>
                      <w:rFonts w:hint="default" w:ascii="Times New Roman" w:hAnsi="Times New Roman" w:eastAsia="宋体" w:cs="Times New Roman"/>
                      <w:b w:val="0"/>
                      <w:bCs w:val="0"/>
                      <w:color w:val="auto"/>
                      <w:sz w:val="21"/>
                      <w:szCs w:val="21"/>
                      <w:highlight w:val="none"/>
                      <w:lang w:val="en-US" w:eastAsia="zh-CN"/>
                    </w:rPr>
                    <w:t>排放口</w:t>
                  </w:r>
                  <w:r>
                    <w:rPr>
                      <w:rFonts w:hint="eastAsia" w:ascii="Times New Roman" w:hAnsi="Times New Roman" w:eastAsia="宋体" w:cs="Times New Roman"/>
                      <w:b w:val="0"/>
                      <w:bCs w:val="0"/>
                      <w:color w:val="auto"/>
                      <w:sz w:val="21"/>
                      <w:szCs w:val="21"/>
                      <w:highlight w:val="none"/>
                      <w:lang w:val="en-US" w:eastAsia="zh-CN"/>
                    </w:rPr>
                    <w:t>（DW001）</w:t>
                  </w:r>
                </w:p>
              </w:tc>
              <w:tc>
                <w:tcPr>
                  <w:tcW w:w="986" w:type="pct"/>
                  <w:tcBorders>
                    <w:tl2br w:val="nil"/>
                    <w:tr2bl w:val="nil"/>
                  </w:tcBorders>
                  <w:shd w:val="clear" w:color="auto" w:fill="auto"/>
                  <w:vAlign w:val="center"/>
                </w:tcPr>
                <w:p w14:paraId="06BBEE4F">
                  <w:pPr>
                    <w:keepNext w:val="0"/>
                    <w:keepLines w:val="0"/>
                    <w:pageBreakBefore w:val="0"/>
                    <w:kinsoku/>
                    <w:wordWrap/>
                    <w:overflowPunct w:val="0"/>
                    <w:topLinePunct w:val="0"/>
                    <w:autoSpaceDE/>
                    <w:autoSpaceDN/>
                    <w:bidi w:val="0"/>
                    <w:spacing w:line="320" w:lineRule="exact"/>
                    <w:jc w:val="center"/>
                    <w:textAlignment w:val="auto"/>
                    <w:rPr>
                      <w:rFonts w:hint="eastAsia" w:ascii="Times New Roman" w:hAnsi="Times New Roman" w:eastAsia="宋体" w:cs="Times New Roman"/>
                      <w:color w:val="auto"/>
                      <w:kern w:val="21"/>
                      <w:sz w:val="21"/>
                      <w:szCs w:val="21"/>
                      <w:highlight w:val="none"/>
                      <w:lang w:val="en-US" w:eastAsia="zh-CN" w:bidi="ar-SA"/>
                    </w:rPr>
                  </w:pPr>
                  <w:r>
                    <w:rPr>
                      <w:rFonts w:hint="default" w:ascii="Times New Roman" w:hAnsi="Times New Roman" w:eastAsia="宋体" w:cs="Times New Roman"/>
                      <w:color w:val="auto"/>
                      <w:sz w:val="21"/>
                      <w:szCs w:val="21"/>
                      <w:highlight w:val="none"/>
                    </w:rPr>
                    <w:t>pH值、化学需氧量、悬浮物、氨氮、总磷、总氮、动植物油</w:t>
                  </w:r>
                </w:p>
              </w:tc>
              <w:tc>
                <w:tcPr>
                  <w:tcW w:w="740" w:type="pct"/>
                  <w:tcBorders>
                    <w:tl2br w:val="nil"/>
                    <w:tr2bl w:val="nil"/>
                  </w:tcBorders>
                  <w:shd w:val="clear" w:color="auto" w:fill="auto"/>
                  <w:vAlign w:val="center"/>
                </w:tcPr>
                <w:p w14:paraId="4F294C0D">
                  <w:pPr>
                    <w:keepNext w:val="0"/>
                    <w:keepLines w:val="0"/>
                    <w:pageBreakBefore w:val="0"/>
                    <w:kinsoku/>
                    <w:wordWrap/>
                    <w:overflowPunct/>
                    <w:topLinePunct w:val="0"/>
                    <w:autoSpaceDE/>
                    <w:autoSpaceDN/>
                    <w:bidi w:val="0"/>
                    <w:adjustRightInd w:val="0"/>
                    <w:spacing w:line="320" w:lineRule="exact"/>
                    <w:ind w:left="0" w:leftChars="0" w:right="0" w:rightChars="0" w:firstLine="0" w:firstLineChars="0"/>
                    <w:jc w:val="center"/>
                    <w:textAlignment w:val="baseline"/>
                    <w:outlineLvl w:val="9"/>
                    <w:rPr>
                      <w:rFonts w:hint="eastAsia" w:ascii="Times New Roman" w:hAnsi="Times New Roman" w:eastAsia="宋体" w:cs="Times New Roman"/>
                      <w:b w:val="0"/>
                      <w:bCs/>
                      <w:color w:val="auto"/>
                      <w:kern w:val="21"/>
                      <w:sz w:val="21"/>
                      <w:szCs w:val="21"/>
                      <w:highlight w:val="none"/>
                      <w:lang w:val="en-US" w:eastAsia="zh-CN" w:bidi="ar-SA"/>
                    </w:rPr>
                  </w:pPr>
                  <w:r>
                    <w:rPr>
                      <w:rFonts w:hint="eastAsia" w:ascii="Times New Roman" w:hAnsi="Times New Roman" w:eastAsia="宋体" w:cs="Times New Roman"/>
                      <w:b w:val="0"/>
                      <w:bCs/>
                      <w:color w:val="auto"/>
                      <w:kern w:val="21"/>
                      <w:sz w:val="21"/>
                      <w:szCs w:val="21"/>
                      <w:highlight w:val="none"/>
                      <w:lang w:val="en-US" w:eastAsia="zh-CN"/>
                    </w:rPr>
                    <w:t>1次/季度</w:t>
                  </w:r>
                </w:p>
              </w:tc>
              <w:tc>
                <w:tcPr>
                  <w:tcW w:w="1723" w:type="pct"/>
                  <w:tcBorders>
                    <w:tl2br w:val="nil"/>
                    <w:tr2bl w:val="nil"/>
                  </w:tcBorders>
                  <w:shd w:val="clear" w:color="auto" w:fill="auto"/>
                  <w:vAlign w:val="center"/>
                </w:tcPr>
                <w:p w14:paraId="434365C0">
                  <w:pPr>
                    <w:keepNext w:val="0"/>
                    <w:keepLines w:val="0"/>
                    <w:pageBreakBefore w:val="0"/>
                    <w:kinsoku/>
                    <w:wordWrap/>
                    <w:overflowPunct w:val="0"/>
                    <w:topLinePunct w:val="0"/>
                    <w:autoSpaceDE/>
                    <w:autoSpaceDN/>
                    <w:bidi w:val="0"/>
                    <w:spacing w:line="320" w:lineRule="exact"/>
                    <w:jc w:val="center"/>
                    <w:textAlignment w:val="auto"/>
                    <w:rPr>
                      <w:rFonts w:hint="eastAsia"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rPr>
                    <w:t>《污水综合排放标准》（GB8978-1996）三级</w:t>
                  </w:r>
                </w:p>
              </w:tc>
            </w:tr>
            <w:tr w14:paraId="16B31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5" w:type="pct"/>
                  <w:vMerge w:val="restart"/>
                  <w:tcBorders>
                    <w:tl2br w:val="nil"/>
                    <w:tr2bl w:val="nil"/>
                  </w:tcBorders>
                  <w:shd w:val="clear" w:color="auto" w:fill="auto"/>
                  <w:vAlign w:val="center"/>
                </w:tcPr>
                <w:p w14:paraId="52FE73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auto"/>
                    <w:rPr>
                      <w:rFonts w:hint="eastAsia" w:ascii="Times New Roman" w:hAnsi="Times New Roman" w:eastAsia="宋体" w:cs="宋体"/>
                      <w:bCs/>
                      <w:color w:val="auto"/>
                      <w:kern w:val="0"/>
                      <w:sz w:val="21"/>
                      <w:szCs w:val="21"/>
                      <w:highlight w:val="none"/>
                      <w:lang w:val="en-US" w:eastAsia="zh-CN" w:bidi="ar"/>
                    </w:rPr>
                  </w:pPr>
                  <w:r>
                    <w:rPr>
                      <w:rFonts w:hint="eastAsia" w:ascii="Times New Roman" w:hAnsi="Times New Roman" w:eastAsia="宋体" w:cs="宋体"/>
                      <w:bCs/>
                      <w:color w:val="auto"/>
                      <w:kern w:val="0"/>
                      <w:sz w:val="21"/>
                      <w:szCs w:val="21"/>
                      <w:highlight w:val="none"/>
                      <w:lang w:val="en-US" w:eastAsia="zh-CN" w:bidi="ar"/>
                    </w:rPr>
                    <w:t>噪声</w:t>
                  </w:r>
                </w:p>
              </w:tc>
              <w:tc>
                <w:tcPr>
                  <w:tcW w:w="1304" w:type="pct"/>
                  <w:gridSpan w:val="2"/>
                  <w:tcBorders>
                    <w:tl2br w:val="nil"/>
                    <w:tr2bl w:val="nil"/>
                  </w:tcBorders>
                  <w:shd w:val="clear" w:color="auto" w:fill="auto"/>
                  <w:vAlign w:val="center"/>
                </w:tcPr>
                <w:p w14:paraId="69FD48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宋体"/>
                      <w:bCs/>
                      <w:color w:val="auto"/>
                      <w:kern w:val="0"/>
                      <w:sz w:val="21"/>
                      <w:szCs w:val="21"/>
                      <w:highlight w:val="none"/>
                      <w:lang w:val="en-US" w:eastAsia="zh-CN" w:bidi="ar"/>
                    </w:rPr>
                  </w:pPr>
                  <w:r>
                    <w:rPr>
                      <w:rFonts w:hint="eastAsia"/>
                      <w:color w:val="auto"/>
                      <w:kern w:val="0"/>
                      <w:szCs w:val="21"/>
                      <w:highlight w:val="none"/>
                      <w:lang w:val="en-US" w:eastAsia="zh-CN"/>
                    </w:rPr>
                    <w:t>现由项目</w:t>
                  </w:r>
                  <w:r>
                    <w:rPr>
                      <w:rFonts w:hint="eastAsia"/>
                      <w:color w:val="auto"/>
                      <w:kern w:val="0"/>
                      <w:szCs w:val="21"/>
                      <w:highlight w:val="none"/>
                    </w:rPr>
                    <w:t>厂界东、南、西、北侧外1m处</w:t>
                  </w:r>
                </w:p>
              </w:tc>
              <w:tc>
                <w:tcPr>
                  <w:tcW w:w="986" w:type="pct"/>
                  <w:vMerge w:val="restart"/>
                  <w:tcBorders>
                    <w:tl2br w:val="nil"/>
                    <w:tr2bl w:val="nil"/>
                  </w:tcBorders>
                  <w:shd w:val="clear" w:color="auto" w:fill="auto"/>
                  <w:vAlign w:val="center"/>
                </w:tcPr>
                <w:p w14:paraId="17D1D4F3">
                  <w:pPr>
                    <w:keepNext w:val="0"/>
                    <w:keepLines w:val="0"/>
                    <w:pageBreakBefore w:val="0"/>
                    <w:widowControl w:val="0"/>
                    <w:kinsoku/>
                    <w:wordWrap/>
                    <w:overflowPunct/>
                    <w:topLinePunct w:val="0"/>
                    <w:bidi w:val="0"/>
                    <w:adjustRightInd/>
                    <w:snapToGrid w:val="0"/>
                    <w:spacing w:line="320" w:lineRule="exact"/>
                    <w:jc w:val="center"/>
                    <w:textAlignment w:val="auto"/>
                    <w:rPr>
                      <w:rFonts w:hint="default" w:ascii="Times New Roman" w:hAnsi="Times New Roman" w:eastAsia="宋体" w:cs="Times New Roman"/>
                      <w:bCs/>
                      <w:color w:val="auto"/>
                      <w:kern w:val="0"/>
                      <w:sz w:val="21"/>
                      <w:szCs w:val="21"/>
                      <w:highlight w:val="none"/>
                      <w:lang w:val="en-US" w:eastAsia="zh-CN" w:bidi="ar"/>
                    </w:rPr>
                  </w:pPr>
                  <w:r>
                    <w:rPr>
                      <w:rFonts w:ascii="Times New Roman" w:hAnsi="Times New Roman" w:eastAsia="宋体" w:cs="Times New Roman"/>
                      <w:color w:val="auto"/>
                      <w:kern w:val="2"/>
                      <w:sz w:val="21"/>
                      <w:szCs w:val="21"/>
                      <w:highlight w:val="none"/>
                      <w:lang w:val="en-US" w:eastAsia="zh-CN" w:bidi="ar-SA"/>
                    </w:rPr>
                    <w:t>LeqdB(A)</w:t>
                  </w:r>
                </w:p>
              </w:tc>
              <w:tc>
                <w:tcPr>
                  <w:tcW w:w="740" w:type="pct"/>
                  <w:vMerge w:val="restart"/>
                  <w:tcBorders>
                    <w:tl2br w:val="nil"/>
                    <w:tr2bl w:val="nil"/>
                  </w:tcBorders>
                  <w:shd w:val="clear" w:color="auto" w:fill="auto"/>
                  <w:vAlign w:val="center"/>
                </w:tcPr>
                <w:p w14:paraId="48424F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auto"/>
                    <w:rPr>
                      <w:rFonts w:hint="eastAsia" w:ascii="Times New Roman" w:hAnsi="Times New Roman" w:eastAsia="宋体" w:cs="Times New Roman"/>
                      <w:bCs/>
                      <w:color w:val="auto"/>
                      <w:kern w:val="0"/>
                      <w:sz w:val="21"/>
                      <w:szCs w:val="21"/>
                      <w:highlight w:val="none"/>
                      <w:lang w:val="en-US" w:eastAsia="zh-CN" w:bidi="ar"/>
                    </w:rPr>
                  </w:pPr>
                  <w:r>
                    <w:rPr>
                      <w:rFonts w:hint="eastAsia"/>
                      <w:color w:val="auto"/>
                      <w:sz w:val="21"/>
                      <w:szCs w:val="21"/>
                      <w:highlight w:val="none"/>
                    </w:rPr>
                    <w:t>营运期每季度监测一次</w:t>
                  </w:r>
                </w:p>
              </w:tc>
              <w:tc>
                <w:tcPr>
                  <w:tcW w:w="1723" w:type="pct"/>
                  <w:vMerge w:val="restart"/>
                  <w:tcBorders>
                    <w:tl2br w:val="nil"/>
                    <w:tr2bl w:val="nil"/>
                  </w:tcBorders>
                  <w:shd w:val="clear" w:color="auto" w:fill="auto"/>
                  <w:vAlign w:val="center"/>
                </w:tcPr>
                <w:p w14:paraId="76CC12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宋体"/>
                      <w:color w:val="auto"/>
                      <w:kern w:val="2"/>
                      <w:sz w:val="21"/>
                      <w:szCs w:val="24"/>
                      <w:highlight w:val="none"/>
                      <w:lang w:val="en-US" w:eastAsia="zh-CN" w:bidi="ar"/>
                    </w:rPr>
                  </w:pPr>
                  <w:r>
                    <w:rPr>
                      <w:color w:val="auto"/>
                      <w:sz w:val="21"/>
                      <w:szCs w:val="21"/>
                      <w:highlight w:val="none"/>
                    </w:rPr>
                    <w:t>《工业企业厂界环境噪声排放标准》（GB12348-2008）</w:t>
                  </w:r>
                  <w:r>
                    <w:rPr>
                      <w:rFonts w:hint="eastAsia"/>
                      <w:color w:val="auto"/>
                      <w:sz w:val="21"/>
                      <w:szCs w:val="21"/>
                      <w:highlight w:val="none"/>
                      <w:lang w:val="en-US" w:eastAsia="zh-CN"/>
                    </w:rPr>
                    <w:t>2</w:t>
                  </w:r>
                  <w:r>
                    <w:rPr>
                      <w:rStyle w:val="31"/>
                      <w:color w:val="auto"/>
                      <w:sz w:val="21"/>
                      <w:szCs w:val="21"/>
                      <w:highlight w:val="none"/>
                    </w:rPr>
                    <w:t>类</w:t>
                  </w:r>
                </w:p>
              </w:tc>
            </w:tr>
            <w:tr w14:paraId="6162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5" w:type="pct"/>
                  <w:vMerge w:val="continue"/>
                  <w:tcBorders>
                    <w:tl2br w:val="nil"/>
                    <w:tr2bl w:val="nil"/>
                  </w:tcBorders>
                  <w:shd w:val="clear" w:color="auto" w:fill="auto"/>
                  <w:vAlign w:val="center"/>
                </w:tcPr>
                <w:p w14:paraId="7D2D9B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auto"/>
                    <w:rPr>
                      <w:rFonts w:hint="eastAsia" w:ascii="Times New Roman" w:hAnsi="Times New Roman" w:eastAsia="宋体" w:cs="宋体"/>
                      <w:bCs/>
                      <w:color w:val="auto"/>
                      <w:kern w:val="0"/>
                      <w:sz w:val="21"/>
                      <w:szCs w:val="21"/>
                      <w:highlight w:val="none"/>
                      <w:lang w:val="en-US" w:eastAsia="zh-CN" w:bidi="ar"/>
                    </w:rPr>
                  </w:pPr>
                </w:p>
              </w:tc>
              <w:tc>
                <w:tcPr>
                  <w:tcW w:w="1304" w:type="pct"/>
                  <w:gridSpan w:val="2"/>
                  <w:tcBorders>
                    <w:tl2br w:val="nil"/>
                    <w:tr2bl w:val="nil"/>
                  </w:tcBorders>
                  <w:shd w:val="clear" w:color="auto" w:fill="auto"/>
                  <w:vAlign w:val="center"/>
                </w:tcPr>
                <w:p w14:paraId="0EEFA8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olor w:val="auto"/>
                      <w:kern w:val="0"/>
                      <w:szCs w:val="21"/>
                      <w:highlight w:val="none"/>
                      <w:lang w:val="en-US" w:eastAsia="zh-CN"/>
                    </w:rPr>
                    <w:t>固体复合微生物肥生产区</w:t>
                  </w:r>
                  <w:r>
                    <w:rPr>
                      <w:rFonts w:hint="eastAsia"/>
                      <w:color w:val="auto"/>
                      <w:kern w:val="0"/>
                      <w:szCs w:val="21"/>
                      <w:highlight w:val="none"/>
                    </w:rPr>
                    <w:t>厂界东、南、西、北侧外1m处</w:t>
                  </w:r>
                </w:p>
              </w:tc>
              <w:tc>
                <w:tcPr>
                  <w:tcW w:w="986" w:type="pct"/>
                  <w:vMerge w:val="continue"/>
                  <w:tcBorders>
                    <w:tl2br w:val="nil"/>
                    <w:tr2bl w:val="nil"/>
                  </w:tcBorders>
                  <w:shd w:val="clear" w:color="auto" w:fill="auto"/>
                  <w:vAlign w:val="center"/>
                </w:tcPr>
                <w:p w14:paraId="32238DB0">
                  <w:pPr>
                    <w:keepNext w:val="0"/>
                    <w:keepLines w:val="0"/>
                    <w:pageBreakBefore w:val="0"/>
                    <w:widowControl w:val="0"/>
                    <w:kinsoku/>
                    <w:wordWrap/>
                    <w:overflowPunct/>
                    <w:topLinePunct w:val="0"/>
                    <w:bidi w:val="0"/>
                    <w:adjustRightInd/>
                    <w:snapToGrid w:val="0"/>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p>
              </w:tc>
              <w:tc>
                <w:tcPr>
                  <w:tcW w:w="740" w:type="pct"/>
                  <w:vMerge w:val="continue"/>
                  <w:tcBorders>
                    <w:tl2br w:val="nil"/>
                    <w:tr2bl w:val="nil"/>
                  </w:tcBorders>
                  <w:shd w:val="clear" w:color="auto" w:fill="auto"/>
                  <w:vAlign w:val="center"/>
                </w:tcPr>
                <w:p w14:paraId="0BC4E0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auto"/>
                    <w:rPr>
                      <w:rFonts w:hint="eastAsia"/>
                      <w:color w:val="auto"/>
                      <w:sz w:val="21"/>
                      <w:szCs w:val="21"/>
                      <w:highlight w:val="none"/>
                    </w:rPr>
                  </w:pPr>
                </w:p>
              </w:tc>
              <w:tc>
                <w:tcPr>
                  <w:tcW w:w="1723" w:type="pct"/>
                  <w:vMerge w:val="continue"/>
                  <w:tcBorders>
                    <w:tl2br w:val="nil"/>
                    <w:tr2bl w:val="nil"/>
                  </w:tcBorders>
                  <w:shd w:val="clear" w:color="auto" w:fill="auto"/>
                  <w:vAlign w:val="center"/>
                </w:tcPr>
                <w:p w14:paraId="7CF8FA4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auto"/>
                    <w:rPr>
                      <w:color w:val="auto"/>
                      <w:sz w:val="21"/>
                      <w:szCs w:val="21"/>
                      <w:highlight w:val="none"/>
                    </w:rPr>
                  </w:pPr>
                </w:p>
              </w:tc>
            </w:tr>
          </w:tbl>
          <w:p w14:paraId="4EF58A29">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cs="Times New Roman"/>
                <w:b/>
                <w:bCs/>
                <w:color w:val="auto"/>
                <w:sz w:val="24"/>
                <w:szCs w:val="24"/>
                <w:highlight w:val="none"/>
                <w:lang w:val="zh-CN"/>
              </w:rPr>
            </w:pPr>
            <w:r>
              <w:rPr>
                <w:rFonts w:hint="eastAsia" w:cs="Times New Roman"/>
                <w:b/>
                <w:bCs/>
                <w:color w:val="auto"/>
                <w:sz w:val="24"/>
                <w:szCs w:val="24"/>
                <w:highlight w:val="none"/>
                <w:lang w:val="en-US" w:eastAsia="zh-CN"/>
              </w:rPr>
              <w:t>10、</w:t>
            </w:r>
            <w:r>
              <w:rPr>
                <w:rFonts w:cs="Times New Roman"/>
                <w:b/>
                <w:bCs/>
                <w:color w:val="auto"/>
                <w:sz w:val="24"/>
                <w:szCs w:val="24"/>
                <w:highlight w:val="none"/>
                <w:lang w:val="zh-CN"/>
              </w:rPr>
              <w:t>排污口规范化管理</w:t>
            </w:r>
          </w:p>
          <w:p w14:paraId="67B01D8F">
            <w:pPr>
              <w:pStyle w:val="138"/>
              <w:keepNext w:val="0"/>
              <w:keepLines w:val="0"/>
              <w:pageBreakBefore w:val="0"/>
              <w:widowControl w:val="0"/>
              <w:kinsoku/>
              <w:wordWrap/>
              <w:overflowPunct/>
              <w:topLinePunct w:val="0"/>
              <w:autoSpaceDE/>
              <w:autoSpaceDN/>
              <w:bidi w:val="0"/>
              <w:adjustRightInd w:val="0"/>
              <w:snapToGrid w:val="0"/>
              <w:spacing w:line="440" w:lineRule="exact"/>
              <w:jc w:val="both"/>
              <w:textAlignment w:val="auto"/>
              <w:rPr>
                <w:color w:val="auto"/>
                <w:kern w:val="2"/>
                <w:sz w:val="24"/>
                <w:szCs w:val="24"/>
                <w:highlight w:val="none"/>
                <w:lang w:val="zh-CN"/>
              </w:rPr>
            </w:pPr>
            <w:r>
              <w:rPr>
                <w:color w:val="auto"/>
                <w:kern w:val="2"/>
                <w:sz w:val="24"/>
                <w:szCs w:val="24"/>
                <w:highlight w:val="none"/>
                <w:lang w:val="zh-CN"/>
              </w:rPr>
              <w:t>根据国家、地方颁布的有关环境保护规定，废气排气筒、噪声排放源和固废贮存处置场所均应按《环境保护图形标志--排放口(源)》（GB15562.1-1995、GB15562.2-1995）要求设立明显标志，具体标识见表4-</w:t>
            </w:r>
            <w:r>
              <w:rPr>
                <w:rFonts w:hint="eastAsia"/>
                <w:color w:val="auto"/>
                <w:kern w:val="2"/>
                <w:sz w:val="24"/>
                <w:szCs w:val="24"/>
                <w:highlight w:val="none"/>
                <w:lang w:val="en-US" w:eastAsia="zh-CN"/>
              </w:rPr>
              <w:t>41</w:t>
            </w:r>
            <w:r>
              <w:rPr>
                <w:color w:val="auto"/>
                <w:kern w:val="2"/>
                <w:sz w:val="24"/>
                <w:szCs w:val="24"/>
                <w:highlight w:val="none"/>
                <w:lang w:val="zh-CN"/>
              </w:rPr>
              <w:t>、表4-</w:t>
            </w:r>
            <w:r>
              <w:rPr>
                <w:rFonts w:hint="eastAsia"/>
                <w:color w:val="auto"/>
                <w:kern w:val="2"/>
                <w:sz w:val="24"/>
                <w:szCs w:val="24"/>
                <w:highlight w:val="none"/>
                <w:lang w:val="en-US" w:eastAsia="zh-CN"/>
              </w:rPr>
              <w:t>42。</w:t>
            </w:r>
          </w:p>
          <w:p w14:paraId="60F1937C">
            <w:pPr>
              <w:pStyle w:val="138"/>
              <w:keepNext w:val="0"/>
              <w:keepLines w:val="0"/>
              <w:pageBreakBefore w:val="0"/>
              <w:widowControl w:val="0"/>
              <w:kinsoku/>
              <w:wordWrap/>
              <w:overflowPunct/>
              <w:topLinePunct w:val="0"/>
              <w:autoSpaceDE/>
              <w:autoSpaceDN/>
              <w:bidi w:val="0"/>
              <w:adjustRightInd w:val="0"/>
              <w:snapToGrid w:val="0"/>
              <w:spacing w:line="440" w:lineRule="exact"/>
              <w:jc w:val="both"/>
              <w:textAlignment w:val="auto"/>
              <w:rPr>
                <w:color w:val="auto"/>
                <w:kern w:val="2"/>
                <w:sz w:val="24"/>
                <w:szCs w:val="24"/>
                <w:highlight w:val="none"/>
                <w:lang w:val="zh-CN"/>
              </w:rPr>
            </w:pPr>
            <w:r>
              <w:rPr>
                <w:color w:val="auto"/>
                <w:kern w:val="2"/>
                <w:sz w:val="24"/>
                <w:szCs w:val="24"/>
                <w:highlight w:val="none"/>
                <w:lang w:val="zh-CN"/>
              </w:rPr>
              <w:t>标志牌应设在与之功能相应的醒目处，并保持清晰、完整。</w:t>
            </w:r>
          </w:p>
          <w:p w14:paraId="2EDB695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cs="Times New Roman"/>
                <w:color w:val="auto"/>
                <w:sz w:val="21"/>
                <w:szCs w:val="21"/>
                <w:highlight w:val="none"/>
              </w:rPr>
            </w:pPr>
            <w:r>
              <w:rPr>
                <w:rFonts w:cs="Times New Roman"/>
                <w:b/>
                <w:bCs/>
                <w:color w:val="auto"/>
                <w:sz w:val="21"/>
                <w:szCs w:val="21"/>
                <w:highlight w:val="none"/>
              </w:rPr>
              <w:t>表4-</w:t>
            </w:r>
            <w:r>
              <w:rPr>
                <w:rFonts w:hint="eastAsia" w:cs="Times New Roman"/>
                <w:b/>
                <w:bCs/>
                <w:color w:val="auto"/>
                <w:sz w:val="21"/>
                <w:szCs w:val="21"/>
                <w:highlight w:val="none"/>
                <w:lang w:val="en-US" w:eastAsia="zh-CN"/>
              </w:rPr>
              <w:t>41</w:t>
            </w:r>
            <w:r>
              <w:rPr>
                <w:rFonts w:hint="eastAsia" w:cs="Times New Roman"/>
                <w:b/>
                <w:bCs/>
                <w:color w:val="auto"/>
                <w:sz w:val="21"/>
                <w:szCs w:val="21"/>
                <w:highlight w:val="none"/>
              </w:rPr>
              <w:t xml:space="preserve">  </w:t>
            </w:r>
            <w:r>
              <w:rPr>
                <w:rFonts w:cs="Times New Roman"/>
                <w:b/>
                <w:bCs/>
                <w:color w:val="auto"/>
                <w:sz w:val="21"/>
                <w:szCs w:val="21"/>
                <w:highlight w:val="none"/>
              </w:rPr>
              <w:t>环境保护图形标志的形状及颜色表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1"/>
              <w:gridCol w:w="2171"/>
              <w:gridCol w:w="2170"/>
              <w:gridCol w:w="2171"/>
            </w:tblGrid>
            <w:tr w14:paraId="1B1F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50" w:type="pct"/>
                  <w:tcBorders>
                    <w:tl2br w:val="nil"/>
                    <w:tr2bl w:val="nil"/>
                  </w:tcBorders>
                  <w:noWrap w:val="0"/>
                  <w:vAlign w:val="center"/>
                </w:tcPr>
                <w:p w14:paraId="2EC362D9">
                  <w:pPr>
                    <w:pStyle w:val="118"/>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eastAsia="宋体"/>
                      <w:b/>
                      <w:bCs/>
                      <w:color w:val="auto"/>
                      <w:sz w:val="21"/>
                      <w:szCs w:val="21"/>
                      <w:highlight w:val="none"/>
                      <w:lang w:val="zh-CN"/>
                    </w:rPr>
                  </w:pPr>
                  <w:r>
                    <w:rPr>
                      <w:rFonts w:eastAsia="宋体"/>
                      <w:b/>
                      <w:bCs/>
                      <w:color w:val="auto"/>
                      <w:sz w:val="21"/>
                      <w:szCs w:val="21"/>
                      <w:highlight w:val="none"/>
                      <w:lang w:val="zh-CN"/>
                    </w:rPr>
                    <w:t>分类</w:t>
                  </w:r>
                </w:p>
              </w:tc>
              <w:tc>
                <w:tcPr>
                  <w:tcW w:w="1250" w:type="pct"/>
                  <w:tcBorders>
                    <w:tl2br w:val="nil"/>
                    <w:tr2bl w:val="nil"/>
                  </w:tcBorders>
                  <w:noWrap w:val="0"/>
                  <w:vAlign w:val="center"/>
                </w:tcPr>
                <w:p w14:paraId="7E8C9364">
                  <w:pPr>
                    <w:pStyle w:val="118"/>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eastAsia="宋体"/>
                      <w:b/>
                      <w:bCs/>
                      <w:color w:val="auto"/>
                      <w:sz w:val="21"/>
                      <w:szCs w:val="21"/>
                      <w:highlight w:val="none"/>
                      <w:lang w:val="zh-CN"/>
                    </w:rPr>
                  </w:pPr>
                  <w:r>
                    <w:rPr>
                      <w:rFonts w:eastAsia="宋体"/>
                      <w:b/>
                      <w:bCs/>
                      <w:color w:val="auto"/>
                      <w:sz w:val="21"/>
                      <w:szCs w:val="21"/>
                      <w:highlight w:val="none"/>
                      <w:lang w:val="zh-CN"/>
                    </w:rPr>
                    <w:t>形状</w:t>
                  </w:r>
                </w:p>
              </w:tc>
              <w:tc>
                <w:tcPr>
                  <w:tcW w:w="1249" w:type="pct"/>
                  <w:tcBorders>
                    <w:tl2br w:val="nil"/>
                    <w:tr2bl w:val="nil"/>
                  </w:tcBorders>
                  <w:noWrap w:val="0"/>
                  <w:vAlign w:val="center"/>
                </w:tcPr>
                <w:p w14:paraId="76391EFA">
                  <w:pPr>
                    <w:pStyle w:val="118"/>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eastAsia="宋体"/>
                      <w:b/>
                      <w:bCs/>
                      <w:color w:val="auto"/>
                      <w:sz w:val="21"/>
                      <w:szCs w:val="21"/>
                      <w:highlight w:val="none"/>
                      <w:lang w:val="zh-CN"/>
                    </w:rPr>
                  </w:pPr>
                  <w:r>
                    <w:rPr>
                      <w:rFonts w:eastAsia="宋体"/>
                      <w:b/>
                      <w:bCs/>
                      <w:color w:val="auto"/>
                      <w:sz w:val="21"/>
                      <w:szCs w:val="21"/>
                      <w:highlight w:val="none"/>
                      <w:lang w:val="zh-CN"/>
                    </w:rPr>
                    <w:t>背景颜色</w:t>
                  </w:r>
                </w:p>
              </w:tc>
              <w:tc>
                <w:tcPr>
                  <w:tcW w:w="1250" w:type="pct"/>
                  <w:tcBorders>
                    <w:tl2br w:val="nil"/>
                    <w:tr2bl w:val="nil"/>
                  </w:tcBorders>
                  <w:noWrap w:val="0"/>
                  <w:vAlign w:val="center"/>
                </w:tcPr>
                <w:p w14:paraId="0F04E22F">
                  <w:pPr>
                    <w:pStyle w:val="118"/>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eastAsia="宋体"/>
                      <w:b/>
                      <w:bCs/>
                      <w:color w:val="auto"/>
                      <w:sz w:val="21"/>
                      <w:szCs w:val="21"/>
                      <w:highlight w:val="none"/>
                      <w:lang w:val="zh-CN"/>
                    </w:rPr>
                  </w:pPr>
                  <w:r>
                    <w:rPr>
                      <w:rFonts w:eastAsia="宋体"/>
                      <w:b/>
                      <w:bCs/>
                      <w:color w:val="auto"/>
                      <w:sz w:val="21"/>
                      <w:szCs w:val="21"/>
                      <w:highlight w:val="none"/>
                      <w:lang w:val="zh-CN"/>
                    </w:rPr>
                    <w:t>图形颜色</w:t>
                  </w:r>
                </w:p>
              </w:tc>
            </w:tr>
            <w:tr w14:paraId="5261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50" w:type="pct"/>
                  <w:tcBorders>
                    <w:tl2br w:val="nil"/>
                    <w:tr2bl w:val="nil"/>
                  </w:tcBorders>
                  <w:noWrap w:val="0"/>
                  <w:vAlign w:val="center"/>
                </w:tcPr>
                <w:p w14:paraId="380F8B14">
                  <w:pPr>
                    <w:pStyle w:val="118"/>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eastAsia="宋体"/>
                      <w:color w:val="auto"/>
                      <w:sz w:val="21"/>
                      <w:szCs w:val="21"/>
                      <w:highlight w:val="none"/>
                      <w:lang w:val="zh-CN"/>
                    </w:rPr>
                  </w:pPr>
                  <w:r>
                    <w:rPr>
                      <w:rFonts w:eastAsia="宋体"/>
                      <w:color w:val="auto"/>
                      <w:sz w:val="21"/>
                      <w:szCs w:val="21"/>
                      <w:highlight w:val="none"/>
                      <w:lang w:val="zh-CN"/>
                    </w:rPr>
                    <w:t>警告标志</w:t>
                  </w:r>
                </w:p>
              </w:tc>
              <w:tc>
                <w:tcPr>
                  <w:tcW w:w="1250" w:type="pct"/>
                  <w:tcBorders>
                    <w:tl2br w:val="nil"/>
                    <w:tr2bl w:val="nil"/>
                  </w:tcBorders>
                  <w:noWrap w:val="0"/>
                  <w:vAlign w:val="center"/>
                </w:tcPr>
                <w:p w14:paraId="5B962C32">
                  <w:pPr>
                    <w:pStyle w:val="118"/>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eastAsia="宋体"/>
                      <w:color w:val="auto"/>
                      <w:sz w:val="21"/>
                      <w:szCs w:val="21"/>
                      <w:highlight w:val="none"/>
                      <w:lang w:val="zh-CN"/>
                    </w:rPr>
                  </w:pPr>
                  <w:r>
                    <w:rPr>
                      <w:rFonts w:eastAsia="宋体"/>
                      <w:color w:val="auto"/>
                      <w:sz w:val="21"/>
                      <w:szCs w:val="21"/>
                      <w:highlight w:val="none"/>
                      <w:lang w:val="zh-CN"/>
                    </w:rPr>
                    <w:t>三角形边框</w:t>
                  </w:r>
                </w:p>
              </w:tc>
              <w:tc>
                <w:tcPr>
                  <w:tcW w:w="1249" w:type="pct"/>
                  <w:tcBorders>
                    <w:tl2br w:val="nil"/>
                    <w:tr2bl w:val="nil"/>
                  </w:tcBorders>
                  <w:noWrap w:val="0"/>
                  <w:vAlign w:val="center"/>
                </w:tcPr>
                <w:p w14:paraId="57BF1AD8">
                  <w:pPr>
                    <w:pStyle w:val="118"/>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eastAsia="宋体"/>
                      <w:color w:val="auto"/>
                      <w:sz w:val="21"/>
                      <w:szCs w:val="21"/>
                      <w:highlight w:val="none"/>
                      <w:lang w:val="zh-CN"/>
                    </w:rPr>
                  </w:pPr>
                  <w:r>
                    <w:rPr>
                      <w:rFonts w:eastAsia="宋体"/>
                      <w:color w:val="auto"/>
                      <w:sz w:val="21"/>
                      <w:szCs w:val="21"/>
                      <w:highlight w:val="none"/>
                      <w:lang w:val="zh-CN"/>
                    </w:rPr>
                    <w:t>黄色</w:t>
                  </w:r>
                </w:p>
              </w:tc>
              <w:tc>
                <w:tcPr>
                  <w:tcW w:w="1250" w:type="pct"/>
                  <w:tcBorders>
                    <w:tl2br w:val="nil"/>
                    <w:tr2bl w:val="nil"/>
                  </w:tcBorders>
                  <w:noWrap w:val="0"/>
                  <w:vAlign w:val="center"/>
                </w:tcPr>
                <w:p w14:paraId="08C6A866">
                  <w:pPr>
                    <w:pStyle w:val="118"/>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eastAsia="宋体"/>
                      <w:color w:val="auto"/>
                      <w:sz w:val="21"/>
                      <w:szCs w:val="21"/>
                      <w:highlight w:val="none"/>
                      <w:lang w:val="zh-CN"/>
                    </w:rPr>
                  </w:pPr>
                  <w:r>
                    <w:rPr>
                      <w:rFonts w:eastAsia="宋体"/>
                      <w:color w:val="auto"/>
                      <w:sz w:val="21"/>
                      <w:szCs w:val="21"/>
                      <w:highlight w:val="none"/>
                      <w:lang w:val="zh-CN"/>
                    </w:rPr>
                    <w:t>黑色</w:t>
                  </w:r>
                </w:p>
              </w:tc>
            </w:tr>
            <w:tr w14:paraId="3339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50" w:type="pct"/>
                  <w:tcBorders>
                    <w:tl2br w:val="nil"/>
                    <w:tr2bl w:val="nil"/>
                  </w:tcBorders>
                  <w:noWrap w:val="0"/>
                  <w:vAlign w:val="center"/>
                </w:tcPr>
                <w:p w14:paraId="71697196">
                  <w:pPr>
                    <w:pStyle w:val="118"/>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eastAsia="宋体"/>
                      <w:color w:val="auto"/>
                      <w:sz w:val="21"/>
                      <w:szCs w:val="21"/>
                      <w:highlight w:val="none"/>
                      <w:lang w:val="zh-CN"/>
                    </w:rPr>
                  </w:pPr>
                  <w:r>
                    <w:rPr>
                      <w:rFonts w:eastAsia="宋体"/>
                      <w:color w:val="auto"/>
                      <w:sz w:val="21"/>
                      <w:szCs w:val="21"/>
                      <w:highlight w:val="none"/>
                      <w:lang w:val="zh-CN"/>
                    </w:rPr>
                    <w:t>提示标志</w:t>
                  </w:r>
                </w:p>
              </w:tc>
              <w:tc>
                <w:tcPr>
                  <w:tcW w:w="1250" w:type="pct"/>
                  <w:tcBorders>
                    <w:tl2br w:val="nil"/>
                    <w:tr2bl w:val="nil"/>
                  </w:tcBorders>
                  <w:noWrap w:val="0"/>
                  <w:vAlign w:val="center"/>
                </w:tcPr>
                <w:p w14:paraId="074F581B">
                  <w:pPr>
                    <w:pStyle w:val="118"/>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eastAsia="宋体"/>
                      <w:color w:val="auto"/>
                      <w:sz w:val="21"/>
                      <w:szCs w:val="21"/>
                      <w:highlight w:val="none"/>
                      <w:lang w:val="zh-CN"/>
                    </w:rPr>
                  </w:pPr>
                  <w:r>
                    <w:rPr>
                      <w:rFonts w:eastAsia="宋体"/>
                      <w:color w:val="auto"/>
                      <w:sz w:val="21"/>
                      <w:szCs w:val="21"/>
                      <w:highlight w:val="none"/>
                      <w:lang w:val="zh-CN"/>
                    </w:rPr>
                    <w:t>正方形边框</w:t>
                  </w:r>
                </w:p>
              </w:tc>
              <w:tc>
                <w:tcPr>
                  <w:tcW w:w="1249" w:type="pct"/>
                  <w:tcBorders>
                    <w:tl2br w:val="nil"/>
                    <w:tr2bl w:val="nil"/>
                  </w:tcBorders>
                  <w:noWrap w:val="0"/>
                  <w:vAlign w:val="center"/>
                </w:tcPr>
                <w:p w14:paraId="17B6917A">
                  <w:pPr>
                    <w:pStyle w:val="118"/>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eastAsia="宋体"/>
                      <w:color w:val="auto"/>
                      <w:sz w:val="21"/>
                      <w:szCs w:val="21"/>
                      <w:highlight w:val="none"/>
                      <w:lang w:val="zh-CN"/>
                    </w:rPr>
                  </w:pPr>
                  <w:r>
                    <w:rPr>
                      <w:rFonts w:eastAsia="宋体"/>
                      <w:color w:val="auto"/>
                      <w:sz w:val="21"/>
                      <w:szCs w:val="21"/>
                      <w:highlight w:val="none"/>
                      <w:lang w:val="zh-CN"/>
                    </w:rPr>
                    <w:t>绿色</w:t>
                  </w:r>
                </w:p>
              </w:tc>
              <w:tc>
                <w:tcPr>
                  <w:tcW w:w="1250" w:type="pct"/>
                  <w:tcBorders>
                    <w:tl2br w:val="nil"/>
                    <w:tr2bl w:val="nil"/>
                  </w:tcBorders>
                  <w:noWrap w:val="0"/>
                  <w:vAlign w:val="center"/>
                </w:tcPr>
                <w:p w14:paraId="56B0A2DE">
                  <w:pPr>
                    <w:pStyle w:val="118"/>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eastAsia="宋体"/>
                      <w:color w:val="auto"/>
                      <w:sz w:val="21"/>
                      <w:szCs w:val="21"/>
                      <w:highlight w:val="none"/>
                      <w:lang w:val="zh-CN"/>
                    </w:rPr>
                  </w:pPr>
                  <w:r>
                    <w:rPr>
                      <w:rFonts w:eastAsia="宋体"/>
                      <w:color w:val="auto"/>
                      <w:sz w:val="21"/>
                      <w:szCs w:val="21"/>
                      <w:highlight w:val="none"/>
                      <w:lang w:val="zh-CN"/>
                    </w:rPr>
                    <w:t>白色</w:t>
                  </w:r>
                </w:p>
              </w:tc>
            </w:tr>
          </w:tbl>
          <w:p w14:paraId="0B36BB4F">
            <w:pPr>
              <w:pStyle w:val="118"/>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eastAsia="宋体"/>
                <w:color w:val="auto"/>
                <w:sz w:val="21"/>
                <w:szCs w:val="21"/>
                <w:highlight w:val="none"/>
                <w:lang w:val="zh-CN"/>
              </w:rPr>
            </w:pPr>
            <w:r>
              <w:rPr>
                <w:rFonts w:eastAsia="宋体"/>
                <w:b/>
                <w:bCs/>
                <w:color w:val="auto"/>
                <w:sz w:val="21"/>
                <w:szCs w:val="21"/>
                <w:highlight w:val="none"/>
                <w:lang w:val="zh-CN"/>
              </w:rPr>
              <w:t>表</w:t>
            </w:r>
            <w:r>
              <w:rPr>
                <w:rFonts w:eastAsia="宋体"/>
                <w:b/>
                <w:bCs/>
                <w:color w:val="auto"/>
                <w:sz w:val="21"/>
                <w:szCs w:val="21"/>
                <w:highlight w:val="none"/>
              </w:rPr>
              <w:t>4-</w:t>
            </w:r>
            <w:r>
              <w:rPr>
                <w:rFonts w:hint="eastAsia"/>
                <w:b/>
                <w:bCs/>
                <w:color w:val="auto"/>
                <w:sz w:val="21"/>
                <w:szCs w:val="21"/>
                <w:highlight w:val="none"/>
                <w:lang w:val="en-US" w:eastAsia="zh-CN"/>
              </w:rPr>
              <w:t>42</w:t>
            </w:r>
            <w:r>
              <w:rPr>
                <w:rFonts w:hint="eastAsia" w:eastAsia="宋体"/>
                <w:b/>
                <w:bCs/>
                <w:color w:val="auto"/>
                <w:sz w:val="21"/>
                <w:szCs w:val="21"/>
                <w:highlight w:val="none"/>
              </w:rPr>
              <w:t xml:space="preserve">  </w:t>
            </w:r>
            <w:r>
              <w:rPr>
                <w:rFonts w:eastAsia="宋体"/>
                <w:b/>
                <w:bCs/>
                <w:color w:val="auto"/>
                <w:sz w:val="21"/>
                <w:szCs w:val="21"/>
                <w:highlight w:val="none"/>
                <w:lang w:val="zh-CN"/>
              </w:rPr>
              <w:t>环境保护图形标志一览表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1583"/>
              <w:gridCol w:w="1559"/>
              <w:gridCol w:w="2411"/>
              <w:gridCol w:w="2189"/>
            </w:tblGrid>
            <w:tr w14:paraId="289AD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 w:type="dxa"/>
                  <w:tcBorders>
                    <w:tl2br w:val="nil"/>
                    <w:tr2bl w:val="nil"/>
                  </w:tcBorders>
                  <w:noWrap w:val="0"/>
                  <w:vAlign w:val="center"/>
                </w:tcPr>
                <w:p w14:paraId="49510EED">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rPr>
                    <w:t>序号</w:t>
                  </w:r>
                </w:p>
              </w:tc>
              <w:tc>
                <w:tcPr>
                  <w:tcW w:w="1583" w:type="dxa"/>
                  <w:tcBorders>
                    <w:tl2br w:val="nil"/>
                    <w:tr2bl w:val="nil"/>
                  </w:tcBorders>
                  <w:noWrap w:val="0"/>
                  <w:vAlign w:val="center"/>
                </w:tcPr>
                <w:p w14:paraId="4DCA4698">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rPr>
                    <w:t>提示图形符号</w:t>
                  </w:r>
                </w:p>
              </w:tc>
              <w:tc>
                <w:tcPr>
                  <w:tcW w:w="1559" w:type="dxa"/>
                  <w:tcBorders>
                    <w:tl2br w:val="nil"/>
                    <w:tr2bl w:val="nil"/>
                  </w:tcBorders>
                  <w:noWrap w:val="0"/>
                  <w:vAlign w:val="center"/>
                </w:tcPr>
                <w:p w14:paraId="6B20DBA2">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rPr>
                    <w:t>警告图形符号</w:t>
                  </w:r>
                </w:p>
              </w:tc>
              <w:tc>
                <w:tcPr>
                  <w:tcW w:w="2411" w:type="dxa"/>
                  <w:tcBorders>
                    <w:tl2br w:val="nil"/>
                    <w:tr2bl w:val="nil"/>
                  </w:tcBorders>
                  <w:noWrap w:val="0"/>
                  <w:vAlign w:val="center"/>
                </w:tcPr>
                <w:p w14:paraId="62850D4C">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rPr>
                    <w:t>名称</w:t>
                  </w:r>
                </w:p>
              </w:tc>
              <w:tc>
                <w:tcPr>
                  <w:tcW w:w="2189" w:type="dxa"/>
                  <w:tcBorders>
                    <w:tl2br w:val="nil"/>
                    <w:tr2bl w:val="nil"/>
                  </w:tcBorders>
                  <w:noWrap w:val="0"/>
                  <w:vAlign w:val="center"/>
                </w:tcPr>
                <w:p w14:paraId="670217F3">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rPr>
                    <w:t>功能</w:t>
                  </w:r>
                </w:p>
              </w:tc>
            </w:tr>
            <w:tr w14:paraId="6ED1B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 w:type="dxa"/>
                  <w:tcBorders>
                    <w:tl2br w:val="nil"/>
                    <w:tr2bl w:val="nil"/>
                  </w:tcBorders>
                  <w:noWrap w:val="0"/>
                  <w:vAlign w:val="center"/>
                </w:tcPr>
                <w:p w14:paraId="1058AB28">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1</w:t>
                  </w:r>
                </w:p>
              </w:tc>
              <w:tc>
                <w:tcPr>
                  <w:tcW w:w="1583" w:type="dxa"/>
                  <w:tcBorders>
                    <w:tl2br w:val="nil"/>
                    <w:tr2bl w:val="nil"/>
                  </w:tcBorders>
                  <w:noWrap w:val="0"/>
                  <w:vAlign w:val="center"/>
                </w:tcPr>
                <w:p w14:paraId="38129746">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drawing>
                      <wp:inline distT="0" distB="0" distL="114300" distR="114300">
                        <wp:extent cx="695325" cy="695325"/>
                        <wp:effectExtent l="0" t="0" r="5715" b="5715"/>
                        <wp:docPr id="4" name="图片 3" descr="说明: 说明: 1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说明: 说明: 13001"/>
                                <pic:cNvPicPr>
                                  <a:picLocks noChangeAspect="1"/>
                                </pic:cNvPicPr>
                              </pic:nvPicPr>
                              <pic:blipFill>
                                <a:blip r:embed="rId22"/>
                                <a:stretch>
                                  <a:fillRect/>
                                </a:stretch>
                              </pic:blipFill>
                              <pic:spPr>
                                <a:xfrm>
                                  <a:off x="0" y="0"/>
                                  <a:ext cx="695325" cy="695325"/>
                                </a:xfrm>
                                <a:prstGeom prst="rect">
                                  <a:avLst/>
                                </a:prstGeom>
                                <a:noFill/>
                                <a:ln>
                                  <a:noFill/>
                                </a:ln>
                              </pic:spPr>
                            </pic:pic>
                          </a:graphicData>
                        </a:graphic>
                      </wp:inline>
                    </w:drawing>
                  </w:r>
                </w:p>
              </w:tc>
              <w:tc>
                <w:tcPr>
                  <w:tcW w:w="1559" w:type="dxa"/>
                  <w:tcBorders>
                    <w:tl2br w:val="nil"/>
                    <w:tr2bl w:val="nil"/>
                  </w:tcBorders>
                  <w:noWrap w:val="0"/>
                  <w:vAlign w:val="center"/>
                </w:tcPr>
                <w:p w14:paraId="26BC4342">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drawing>
                      <wp:inline distT="0" distB="0" distL="114300" distR="114300">
                        <wp:extent cx="769620" cy="695325"/>
                        <wp:effectExtent l="0" t="0" r="7620" b="5715"/>
                        <wp:docPr id="18" name="图片 4" descr="说明: 说明: 13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descr="说明: 说明: 13002"/>
                                <pic:cNvPicPr>
                                  <a:picLocks noChangeAspect="1"/>
                                </pic:cNvPicPr>
                              </pic:nvPicPr>
                              <pic:blipFill>
                                <a:blip r:embed="rId23"/>
                                <a:stretch>
                                  <a:fillRect/>
                                </a:stretch>
                              </pic:blipFill>
                              <pic:spPr>
                                <a:xfrm>
                                  <a:off x="0" y="0"/>
                                  <a:ext cx="769620" cy="695325"/>
                                </a:xfrm>
                                <a:prstGeom prst="rect">
                                  <a:avLst/>
                                </a:prstGeom>
                                <a:noFill/>
                                <a:ln>
                                  <a:noFill/>
                                </a:ln>
                              </pic:spPr>
                            </pic:pic>
                          </a:graphicData>
                        </a:graphic>
                      </wp:inline>
                    </w:drawing>
                  </w:r>
                </w:p>
              </w:tc>
              <w:tc>
                <w:tcPr>
                  <w:tcW w:w="2411" w:type="dxa"/>
                  <w:tcBorders>
                    <w:tl2br w:val="nil"/>
                    <w:tr2bl w:val="nil"/>
                  </w:tcBorders>
                  <w:noWrap w:val="0"/>
                  <w:vAlign w:val="center"/>
                </w:tcPr>
                <w:p w14:paraId="18CB2446">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废水排放口</w:t>
                  </w:r>
                </w:p>
              </w:tc>
              <w:tc>
                <w:tcPr>
                  <w:tcW w:w="2189" w:type="dxa"/>
                  <w:tcBorders>
                    <w:tl2br w:val="nil"/>
                    <w:tr2bl w:val="nil"/>
                  </w:tcBorders>
                  <w:noWrap w:val="0"/>
                  <w:vAlign w:val="center"/>
                </w:tcPr>
                <w:p w14:paraId="7A65B990">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表示废水向水体排放</w:t>
                  </w:r>
                </w:p>
              </w:tc>
            </w:tr>
            <w:tr w14:paraId="3895F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 w:type="dxa"/>
                  <w:tcBorders>
                    <w:tl2br w:val="nil"/>
                    <w:tr2bl w:val="nil"/>
                  </w:tcBorders>
                  <w:noWrap w:val="0"/>
                  <w:vAlign w:val="center"/>
                </w:tcPr>
                <w:p w14:paraId="3B33524C">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2</w:t>
                  </w:r>
                </w:p>
              </w:tc>
              <w:tc>
                <w:tcPr>
                  <w:tcW w:w="1583" w:type="dxa"/>
                  <w:tcBorders>
                    <w:tl2br w:val="nil"/>
                    <w:tr2bl w:val="nil"/>
                  </w:tcBorders>
                  <w:noWrap w:val="0"/>
                  <w:vAlign w:val="center"/>
                </w:tcPr>
                <w:p w14:paraId="530C96AC">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drawing>
                      <wp:inline distT="0" distB="0" distL="114300" distR="114300">
                        <wp:extent cx="695325" cy="695325"/>
                        <wp:effectExtent l="0" t="0" r="5715" b="5715"/>
                        <wp:docPr id="16" name="图片 5" descr="说明: 说明: 13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descr="说明: 说明: 13003"/>
                                <pic:cNvPicPr>
                                  <a:picLocks noChangeAspect="1"/>
                                </pic:cNvPicPr>
                              </pic:nvPicPr>
                              <pic:blipFill>
                                <a:blip r:embed="rId24"/>
                                <a:stretch>
                                  <a:fillRect/>
                                </a:stretch>
                              </pic:blipFill>
                              <pic:spPr>
                                <a:xfrm>
                                  <a:off x="0" y="0"/>
                                  <a:ext cx="695325" cy="695325"/>
                                </a:xfrm>
                                <a:prstGeom prst="rect">
                                  <a:avLst/>
                                </a:prstGeom>
                                <a:noFill/>
                                <a:ln>
                                  <a:noFill/>
                                </a:ln>
                              </pic:spPr>
                            </pic:pic>
                          </a:graphicData>
                        </a:graphic>
                      </wp:inline>
                    </w:drawing>
                  </w:r>
                </w:p>
              </w:tc>
              <w:tc>
                <w:tcPr>
                  <w:tcW w:w="1559" w:type="dxa"/>
                  <w:tcBorders>
                    <w:tl2br w:val="nil"/>
                    <w:tr2bl w:val="nil"/>
                  </w:tcBorders>
                  <w:noWrap w:val="0"/>
                  <w:vAlign w:val="center"/>
                </w:tcPr>
                <w:p w14:paraId="6E05D210">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drawing>
                      <wp:inline distT="0" distB="0" distL="114300" distR="114300">
                        <wp:extent cx="763905" cy="695325"/>
                        <wp:effectExtent l="0" t="0" r="13335" b="5715"/>
                        <wp:docPr id="5" name="图片 6" descr="说明: 说明: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说明: 说明: 4"/>
                                <pic:cNvPicPr>
                                  <a:picLocks noChangeAspect="1"/>
                                </pic:cNvPicPr>
                              </pic:nvPicPr>
                              <pic:blipFill>
                                <a:blip r:embed="rId25"/>
                                <a:stretch>
                                  <a:fillRect/>
                                </a:stretch>
                              </pic:blipFill>
                              <pic:spPr>
                                <a:xfrm>
                                  <a:off x="0" y="0"/>
                                  <a:ext cx="763905" cy="695325"/>
                                </a:xfrm>
                                <a:prstGeom prst="rect">
                                  <a:avLst/>
                                </a:prstGeom>
                                <a:noFill/>
                                <a:ln>
                                  <a:noFill/>
                                </a:ln>
                              </pic:spPr>
                            </pic:pic>
                          </a:graphicData>
                        </a:graphic>
                      </wp:inline>
                    </w:drawing>
                  </w:r>
                </w:p>
              </w:tc>
              <w:tc>
                <w:tcPr>
                  <w:tcW w:w="2411" w:type="dxa"/>
                  <w:tcBorders>
                    <w:tl2br w:val="nil"/>
                    <w:tr2bl w:val="nil"/>
                  </w:tcBorders>
                  <w:noWrap w:val="0"/>
                  <w:vAlign w:val="center"/>
                </w:tcPr>
                <w:p w14:paraId="18C5C417">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废气排放口</w:t>
                  </w:r>
                </w:p>
              </w:tc>
              <w:tc>
                <w:tcPr>
                  <w:tcW w:w="2189" w:type="dxa"/>
                  <w:tcBorders>
                    <w:tl2br w:val="nil"/>
                    <w:tr2bl w:val="nil"/>
                  </w:tcBorders>
                  <w:noWrap w:val="0"/>
                  <w:vAlign w:val="center"/>
                </w:tcPr>
                <w:p w14:paraId="4AF31DFD">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表示废气向大气环境排放</w:t>
                  </w:r>
                </w:p>
              </w:tc>
            </w:tr>
            <w:tr w14:paraId="23BA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 w:type="dxa"/>
                  <w:tcBorders>
                    <w:tl2br w:val="nil"/>
                    <w:tr2bl w:val="nil"/>
                  </w:tcBorders>
                  <w:noWrap w:val="0"/>
                  <w:vAlign w:val="center"/>
                </w:tcPr>
                <w:p w14:paraId="7A3196DA">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3</w:t>
                  </w:r>
                </w:p>
              </w:tc>
              <w:tc>
                <w:tcPr>
                  <w:tcW w:w="1583" w:type="dxa"/>
                  <w:tcBorders>
                    <w:tl2br w:val="nil"/>
                    <w:tr2bl w:val="nil"/>
                  </w:tcBorders>
                  <w:noWrap w:val="0"/>
                  <w:vAlign w:val="center"/>
                </w:tcPr>
                <w:p w14:paraId="3F242315">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drawing>
                      <wp:inline distT="0" distB="0" distL="114300" distR="114300">
                        <wp:extent cx="695325" cy="695325"/>
                        <wp:effectExtent l="0" t="0" r="5715" b="5715"/>
                        <wp:docPr id="6" name="图片 7" descr="说明: 说明: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说明: 说明: 14001"/>
                                <pic:cNvPicPr>
                                  <a:picLocks noChangeAspect="1"/>
                                </pic:cNvPicPr>
                              </pic:nvPicPr>
                              <pic:blipFill>
                                <a:blip r:embed="rId26"/>
                                <a:stretch>
                                  <a:fillRect/>
                                </a:stretch>
                              </pic:blipFill>
                              <pic:spPr>
                                <a:xfrm>
                                  <a:off x="0" y="0"/>
                                  <a:ext cx="695325" cy="695325"/>
                                </a:xfrm>
                                <a:prstGeom prst="rect">
                                  <a:avLst/>
                                </a:prstGeom>
                                <a:noFill/>
                                <a:ln>
                                  <a:noFill/>
                                </a:ln>
                              </pic:spPr>
                            </pic:pic>
                          </a:graphicData>
                        </a:graphic>
                      </wp:inline>
                    </w:drawing>
                  </w:r>
                </w:p>
              </w:tc>
              <w:tc>
                <w:tcPr>
                  <w:tcW w:w="1559" w:type="dxa"/>
                  <w:tcBorders>
                    <w:tl2br w:val="nil"/>
                    <w:tr2bl w:val="nil"/>
                  </w:tcBorders>
                  <w:noWrap w:val="0"/>
                  <w:vAlign w:val="center"/>
                </w:tcPr>
                <w:p w14:paraId="3BE27EF6">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drawing>
                      <wp:inline distT="0" distB="0" distL="114300" distR="114300">
                        <wp:extent cx="788670" cy="695325"/>
                        <wp:effectExtent l="0" t="0" r="3810" b="5715"/>
                        <wp:docPr id="7" name="图片 8" descr="说明: 说明: 14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descr="说明: 说明: 14002"/>
                                <pic:cNvPicPr>
                                  <a:picLocks noChangeAspect="1"/>
                                </pic:cNvPicPr>
                              </pic:nvPicPr>
                              <pic:blipFill>
                                <a:blip r:embed="rId27"/>
                                <a:stretch>
                                  <a:fillRect/>
                                </a:stretch>
                              </pic:blipFill>
                              <pic:spPr>
                                <a:xfrm>
                                  <a:off x="0" y="0"/>
                                  <a:ext cx="788670" cy="695325"/>
                                </a:xfrm>
                                <a:prstGeom prst="rect">
                                  <a:avLst/>
                                </a:prstGeom>
                                <a:noFill/>
                                <a:ln>
                                  <a:noFill/>
                                </a:ln>
                              </pic:spPr>
                            </pic:pic>
                          </a:graphicData>
                        </a:graphic>
                      </wp:inline>
                    </w:drawing>
                  </w:r>
                </w:p>
              </w:tc>
              <w:tc>
                <w:tcPr>
                  <w:tcW w:w="2411" w:type="dxa"/>
                  <w:tcBorders>
                    <w:tl2br w:val="nil"/>
                    <w:tr2bl w:val="nil"/>
                  </w:tcBorders>
                  <w:noWrap w:val="0"/>
                  <w:vAlign w:val="center"/>
                </w:tcPr>
                <w:p w14:paraId="59FB74EA">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一般工业固废</w:t>
                  </w:r>
                </w:p>
              </w:tc>
              <w:tc>
                <w:tcPr>
                  <w:tcW w:w="2189" w:type="dxa"/>
                  <w:tcBorders>
                    <w:tl2br w:val="nil"/>
                    <w:tr2bl w:val="nil"/>
                  </w:tcBorders>
                  <w:noWrap w:val="0"/>
                  <w:vAlign w:val="center"/>
                </w:tcPr>
                <w:p w14:paraId="42591C99">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表示一般工业固废贮存、处置场</w:t>
                  </w:r>
                </w:p>
              </w:tc>
            </w:tr>
            <w:tr w14:paraId="249B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 w:type="dxa"/>
                  <w:tcBorders>
                    <w:tl2br w:val="nil"/>
                    <w:tr2bl w:val="nil"/>
                  </w:tcBorders>
                  <w:noWrap w:val="0"/>
                  <w:vAlign w:val="center"/>
                </w:tcPr>
                <w:p w14:paraId="53EFDA7A">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4</w:t>
                  </w:r>
                </w:p>
              </w:tc>
              <w:tc>
                <w:tcPr>
                  <w:tcW w:w="1583" w:type="dxa"/>
                  <w:tcBorders>
                    <w:tl2br w:val="nil"/>
                    <w:tr2bl w:val="nil"/>
                  </w:tcBorders>
                  <w:noWrap w:val="0"/>
                  <w:vAlign w:val="center"/>
                </w:tcPr>
                <w:p w14:paraId="210CC472">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drawing>
                      <wp:inline distT="0" distB="0" distL="114300" distR="114300">
                        <wp:extent cx="695325" cy="695325"/>
                        <wp:effectExtent l="0" t="0" r="5715" b="5715"/>
                        <wp:docPr id="11" name="图片 9" descr="说明: 说明: image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说明: 说明: image011"/>
                                <pic:cNvPicPr>
                                  <a:picLocks noChangeAspect="1"/>
                                </pic:cNvPicPr>
                              </pic:nvPicPr>
                              <pic:blipFill>
                                <a:blip r:embed="rId28"/>
                                <a:stretch>
                                  <a:fillRect/>
                                </a:stretch>
                              </pic:blipFill>
                              <pic:spPr>
                                <a:xfrm>
                                  <a:off x="0" y="0"/>
                                  <a:ext cx="695325" cy="695325"/>
                                </a:xfrm>
                                <a:prstGeom prst="rect">
                                  <a:avLst/>
                                </a:prstGeom>
                                <a:noFill/>
                                <a:ln>
                                  <a:noFill/>
                                </a:ln>
                              </pic:spPr>
                            </pic:pic>
                          </a:graphicData>
                        </a:graphic>
                      </wp:inline>
                    </w:drawing>
                  </w:r>
                </w:p>
              </w:tc>
              <w:tc>
                <w:tcPr>
                  <w:tcW w:w="1559" w:type="dxa"/>
                  <w:tcBorders>
                    <w:tl2br w:val="nil"/>
                    <w:tr2bl w:val="nil"/>
                  </w:tcBorders>
                  <w:noWrap w:val="0"/>
                  <w:vAlign w:val="center"/>
                </w:tcPr>
                <w:p w14:paraId="0D1358F6">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drawing>
                      <wp:inline distT="0" distB="0" distL="114300" distR="114300">
                        <wp:extent cx="781050" cy="695325"/>
                        <wp:effectExtent l="0" t="0" r="11430" b="5715"/>
                        <wp:docPr id="9" name="图片 10" descr="说明: 说明: image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descr="说明: 说明: image012"/>
                                <pic:cNvPicPr>
                                  <a:picLocks noChangeAspect="1"/>
                                </pic:cNvPicPr>
                              </pic:nvPicPr>
                              <pic:blipFill>
                                <a:blip r:embed="rId29"/>
                                <a:stretch>
                                  <a:fillRect/>
                                </a:stretch>
                              </pic:blipFill>
                              <pic:spPr>
                                <a:xfrm>
                                  <a:off x="0" y="0"/>
                                  <a:ext cx="781050" cy="695325"/>
                                </a:xfrm>
                                <a:prstGeom prst="rect">
                                  <a:avLst/>
                                </a:prstGeom>
                                <a:noFill/>
                                <a:ln>
                                  <a:noFill/>
                                </a:ln>
                              </pic:spPr>
                            </pic:pic>
                          </a:graphicData>
                        </a:graphic>
                      </wp:inline>
                    </w:drawing>
                  </w:r>
                </w:p>
              </w:tc>
              <w:tc>
                <w:tcPr>
                  <w:tcW w:w="2411" w:type="dxa"/>
                  <w:tcBorders>
                    <w:tl2br w:val="nil"/>
                    <w:tr2bl w:val="nil"/>
                  </w:tcBorders>
                  <w:noWrap w:val="0"/>
                  <w:vAlign w:val="center"/>
                </w:tcPr>
                <w:p w14:paraId="4623D3A4">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噪声排放源</w:t>
                  </w:r>
                </w:p>
              </w:tc>
              <w:tc>
                <w:tcPr>
                  <w:tcW w:w="2189" w:type="dxa"/>
                  <w:tcBorders>
                    <w:tl2br w:val="nil"/>
                    <w:tr2bl w:val="nil"/>
                  </w:tcBorders>
                  <w:noWrap w:val="0"/>
                  <w:vAlign w:val="center"/>
                </w:tcPr>
                <w:p w14:paraId="136DD569">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表示噪声向外环境排放</w:t>
                  </w:r>
                </w:p>
              </w:tc>
            </w:tr>
            <w:tr w14:paraId="4673A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 w:type="dxa"/>
                  <w:tcBorders>
                    <w:tl2br w:val="nil"/>
                    <w:tr2bl w:val="nil"/>
                  </w:tcBorders>
                  <w:noWrap w:val="0"/>
                  <w:vAlign w:val="center"/>
                </w:tcPr>
                <w:p w14:paraId="10E18C89">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5</w:t>
                  </w:r>
                </w:p>
              </w:tc>
              <w:tc>
                <w:tcPr>
                  <w:tcW w:w="1583" w:type="dxa"/>
                  <w:tcBorders>
                    <w:tl2br w:val="nil"/>
                    <w:tr2bl w:val="nil"/>
                  </w:tcBorders>
                  <w:noWrap w:val="0"/>
                  <w:vAlign w:val="center"/>
                </w:tcPr>
                <w:p w14:paraId="16B47F86">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59" w:type="dxa"/>
                  <w:tcBorders>
                    <w:tl2br w:val="nil"/>
                    <w:tr2bl w:val="nil"/>
                  </w:tcBorders>
                  <w:noWrap w:val="0"/>
                  <w:vAlign w:val="center"/>
                </w:tcPr>
                <w:p w14:paraId="76BC69A7">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drawing>
                      <wp:inline distT="0" distB="0" distL="114300" distR="114300">
                        <wp:extent cx="885190" cy="784225"/>
                        <wp:effectExtent l="0" t="0" r="13970" b="8255"/>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pic:cNvPicPr>
                                  <a:picLocks noChangeAspect="1"/>
                                </pic:cNvPicPr>
                              </pic:nvPicPr>
                              <pic:blipFill>
                                <a:blip r:embed="rId30"/>
                                <a:stretch>
                                  <a:fillRect/>
                                </a:stretch>
                              </pic:blipFill>
                              <pic:spPr>
                                <a:xfrm>
                                  <a:off x="0" y="0"/>
                                  <a:ext cx="885190" cy="784225"/>
                                </a:xfrm>
                                <a:prstGeom prst="rect">
                                  <a:avLst/>
                                </a:prstGeom>
                                <a:noFill/>
                                <a:ln>
                                  <a:noFill/>
                                </a:ln>
                              </pic:spPr>
                            </pic:pic>
                          </a:graphicData>
                        </a:graphic>
                      </wp:inline>
                    </w:drawing>
                  </w:r>
                </w:p>
              </w:tc>
              <w:tc>
                <w:tcPr>
                  <w:tcW w:w="2411" w:type="dxa"/>
                  <w:tcBorders>
                    <w:tl2br w:val="nil"/>
                    <w:tr2bl w:val="nil"/>
                  </w:tcBorders>
                  <w:noWrap w:val="0"/>
                  <w:vAlign w:val="center"/>
                </w:tcPr>
                <w:p w14:paraId="0A4C174A">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危险废物</w:t>
                  </w:r>
                </w:p>
              </w:tc>
              <w:tc>
                <w:tcPr>
                  <w:tcW w:w="2189" w:type="dxa"/>
                  <w:tcBorders>
                    <w:tl2br w:val="nil"/>
                    <w:tr2bl w:val="nil"/>
                  </w:tcBorders>
                  <w:noWrap w:val="0"/>
                  <w:vAlign w:val="center"/>
                </w:tcPr>
                <w:p w14:paraId="6D70033B">
                  <w:pPr>
                    <w:widowControl/>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表示危险废物贮存、处置场</w:t>
                  </w:r>
                </w:p>
              </w:tc>
            </w:tr>
          </w:tbl>
          <w:p w14:paraId="1E6E299B">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hint="default" w:eastAsia="宋体" w:cs="Times New Roman"/>
                <w:color w:val="auto"/>
                <w:sz w:val="24"/>
                <w:szCs w:val="24"/>
                <w:highlight w:val="none"/>
                <w:lang w:val="en-US" w:eastAsia="zh-CN"/>
              </w:rPr>
            </w:pPr>
            <w:r>
              <w:rPr>
                <w:rFonts w:hint="eastAsia" w:cs="Times New Roman"/>
                <w:b/>
                <w:bCs/>
                <w:color w:val="auto"/>
                <w:sz w:val="24"/>
                <w:szCs w:val="24"/>
                <w:highlight w:val="none"/>
                <w:lang w:val="en-US" w:eastAsia="zh-CN"/>
              </w:rPr>
              <w:t>11</w:t>
            </w:r>
            <w:r>
              <w:rPr>
                <w:rFonts w:cs="Times New Roman"/>
                <w:b/>
                <w:bCs/>
                <w:color w:val="auto"/>
                <w:sz w:val="24"/>
                <w:szCs w:val="24"/>
                <w:highlight w:val="none"/>
              </w:rPr>
              <w:t>、</w:t>
            </w:r>
            <w:r>
              <w:rPr>
                <w:rStyle w:val="31"/>
                <w:rFonts w:cs="Times New Roman"/>
                <w:b/>
                <w:bCs/>
                <w:color w:val="auto"/>
                <w:kern w:val="0"/>
                <w:sz w:val="24"/>
                <w:szCs w:val="24"/>
                <w:highlight w:val="none"/>
              </w:rPr>
              <w:t>排污许可</w:t>
            </w:r>
            <w:r>
              <w:rPr>
                <w:rStyle w:val="31"/>
                <w:rFonts w:hint="eastAsia" w:cs="Times New Roman"/>
                <w:b/>
                <w:bCs/>
                <w:color w:val="auto"/>
                <w:kern w:val="0"/>
                <w:sz w:val="24"/>
                <w:szCs w:val="24"/>
                <w:highlight w:val="none"/>
                <w:lang w:val="en-US" w:eastAsia="zh-CN"/>
              </w:rPr>
              <w:t>的衔接</w:t>
            </w:r>
          </w:p>
          <w:p w14:paraId="35E880E0">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cs="Times New Roman"/>
                <w:color w:val="auto"/>
                <w:sz w:val="24"/>
                <w:szCs w:val="24"/>
                <w:highlight w:val="none"/>
              </w:rPr>
            </w:pPr>
            <w:r>
              <w:rPr>
                <w:rFonts w:cs="Times New Roman"/>
                <w:color w:val="auto"/>
                <w:sz w:val="24"/>
                <w:szCs w:val="24"/>
                <w:highlight w:val="none"/>
              </w:rPr>
              <w:t>本项目在执行</w:t>
            </w:r>
            <w:r>
              <w:rPr>
                <w:rFonts w:hint="eastAsia" w:cs="Times New Roman"/>
                <w:color w:val="auto"/>
                <w:sz w:val="24"/>
                <w:szCs w:val="24"/>
                <w:highlight w:val="none"/>
                <w:lang w:val="en-US" w:eastAsia="zh-CN"/>
              </w:rPr>
              <w:t>生态</w:t>
            </w:r>
            <w:r>
              <w:rPr>
                <w:rFonts w:cs="Times New Roman"/>
                <w:color w:val="auto"/>
                <w:sz w:val="24"/>
                <w:szCs w:val="24"/>
                <w:highlight w:val="none"/>
              </w:rPr>
              <w:t>环境影响评价中的相关要求的同时，应按照环境保护部办公厅于2017年11月15日发布的《关于做好环境影响评价制度与排污许可制衔接相关工作的通知》（环办环评〔2017〕84号）、《排污许可管理办法》（</w:t>
            </w:r>
            <w:r>
              <w:rPr>
                <w:rFonts w:hint="eastAsia" w:cs="Times New Roman"/>
                <w:color w:val="auto"/>
                <w:sz w:val="24"/>
                <w:szCs w:val="24"/>
                <w:highlight w:val="none"/>
              </w:rPr>
              <w:t>中华人民共和国生态环境部令第32号</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2024</w:t>
            </w:r>
            <w:r>
              <w:rPr>
                <w:rFonts w:cs="Times New Roman"/>
                <w:color w:val="auto"/>
                <w:sz w:val="24"/>
                <w:szCs w:val="24"/>
                <w:highlight w:val="none"/>
              </w:rPr>
              <w:t>年</w:t>
            </w:r>
            <w:r>
              <w:rPr>
                <w:rFonts w:hint="eastAsia" w:cs="Times New Roman"/>
                <w:color w:val="auto"/>
                <w:sz w:val="24"/>
                <w:szCs w:val="24"/>
                <w:highlight w:val="none"/>
                <w:lang w:val="en-US" w:eastAsia="zh-CN"/>
              </w:rPr>
              <w:t>7</w:t>
            </w:r>
            <w:r>
              <w:rPr>
                <w:rFonts w:cs="Times New Roman"/>
                <w:color w:val="auto"/>
                <w:sz w:val="24"/>
                <w:szCs w:val="24"/>
                <w:highlight w:val="none"/>
              </w:rPr>
              <w:t>月1日起施行）、《固定污染源排污许可分类管理名录（2019年版）》以及《排污许可管理条例》（2021年3月1日实施）要求做好排污许可制度的衔接工作。</w:t>
            </w:r>
          </w:p>
          <w:p w14:paraId="5D9D1E71">
            <w:pPr>
              <w:pStyle w:val="14"/>
              <w:keepNext w:val="0"/>
              <w:keepLines w:val="0"/>
              <w:pageBreakBefore w:val="0"/>
              <w:widowControl w:val="0"/>
              <w:numPr>
                <w:ilvl w:val="0"/>
                <w:numId w:val="0"/>
              </w:numPr>
              <w:kinsoku/>
              <w:wordWrap/>
              <w:overflowPunct/>
              <w:topLinePunct w:val="0"/>
              <w:autoSpaceDE/>
              <w:autoSpaceDN/>
              <w:bidi w:val="0"/>
              <w:spacing w:line="420" w:lineRule="exact"/>
              <w:ind w:leftChars="0" w:firstLine="480" w:firstLineChars="200"/>
              <w:textAlignment w:val="auto"/>
              <w:rPr>
                <w:rFonts w:hint="eastAsia"/>
                <w:b/>
                <w:color w:val="auto"/>
                <w:sz w:val="24"/>
                <w:szCs w:val="24"/>
                <w:highlight w:val="none"/>
              </w:rPr>
            </w:pPr>
            <w:r>
              <w:rPr>
                <w:rFonts w:hint="eastAsia" w:ascii="宋体" w:hAnsi="宋体" w:eastAsia="宋体" w:cs="宋体"/>
                <w:color w:val="auto"/>
                <w:sz w:val="24"/>
                <w:szCs w:val="24"/>
                <w:highlight w:val="none"/>
              </w:rPr>
              <w:t>根据《固定污染源排污许可分类管理名录（2019年版）》（生态环境部令第11号，2019年12月20日），本项目为“二十一、化学原料和化学制品制造业26-肥料制造262-有机肥料及微生物肥料制造2625”，属于简化管理行业范畴</w:t>
            </w:r>
            <w:r>
              <w:rPr>
                <w:rFonts w:hint="eastAsia" w:ascii="宋体" w:hAnsi="宋体" w:eastAsia="宋体" w:cs="宋体"/>
                <w:color w:val="auto"/>
                <w:sz w:val="24"/>
                <w:szCs w:val="24"/>
                <w:highlight w:val="none"/>
                <w:lang w:eastAsia="zh-CN"/>
              </w:rPr>
              <w:t>；建设单位应在本项目启动生产设施或者发生实际排污之前在全国排污许可管理信息平台进行排污许可申请。</w:t>
            </w:r>
          </w:p>
          <w:p w14:paraId="66ACCEC6">
            <w:pPr>
              <w:keepNext w:val="0"/>
              <w:keepLines w:val="0"/>
              <w:widowControl w:val="0"/>
              <w:kinsoku/>
              <w:wordWrap/>
              <w:overflowPunct/>
              <w:topLinePunct w:val="0"/>
              <w:autoSpaceDE/>
              <w:autoSpaceDN/>
              <w:bidi w:val="0"/>
              <w:adjustRightInd w:val="0"/>
              <w:snapToGrid w:val="0"/>
              <w:spacing w:line="420" w:lineRule="exact"/>
              <w:textAlignment w:val="auto"/>
              <w:rPr>
                <w:color w:val="auto"/>
                <w:kern w:val="0"/>
                <w:sz w:val="24"/>
                <w:szCs w:val="24"/>
                <w:highlight w:val="none"/>
              </w:rPr>
            </w:pPr>
            <w:r>
              <w:rPr>
                <w:rFonts w:hint="eastAsia"/>
                <w:b/>
                <w:color w:val="auto"/>
                <w:sz w:val="24"/>
                <w:szCs w:val="24"/>
                <w:highlight w:val="none"/>
              </w:rPr>
              <w:t>1</w:t>
            </w:r>
            <w:r>
              <w:rPr>
                <w:rFonts w:hint="eastAsia"/>
                <w:b/>
                <w:color w:val="auto"/>
                <w:sz w:val="24"/>
                <w:szCs w:val="24"/>
                <w:highlight w:val="none"/>
                <w:lang w:val="en-US" w:eastAsia="zh-CN"/>
              </w:rPr>
              <w:t>2</w:t>
            </w:r>
            <w:r>
              <w:rPr>
                <w:b/>
                <w:color w:val="auto"/>
                <w:sz w:val="24"/>
                <w:szCs w:val="24"/>
                <w:highlight w:val="none"/>
              </w:rPr>
              <w:t>、</w:t>
            </w:r>
            <w:r>
              <w:rPr>
                <w:b/>
                <w:bCs/>
                <w:color w:val="auto"/>
                <w:sz w:val="24"/>
                <w:szCs w:val="24"/>
                <w:highlight w:val="none"/>
              </w:rPr>
              <w:t>建设项目环境保护竣工验收</w:t>
            </w:r>
          </w:p>
          <w:p w14:paraId="0F8C037A">
            <w:pPr>
              <w:keepNext w:val="0"/>
              <w:keepLines w:val="0"/>
              <w:pageBreakBefore/>
              <w:widowControl w:val="0"/>
              <w:kinsoku/>
              <w:wordWrap/>
              <w:overflowPunct/>
              <w:topLinePunct w:val="0"/>
              <w:autoSpaceDE/>
              <w:autoSpaceDN/>
              <w:bidi w:val="0"/>
              <w:adjustRightInd w:val="0"/>
              <w:snapToGrid w:val="0"/>
              <w:spacing w:line="420" w:lineRule="exact"/>
              <w:ind w:firstLine="480" w:firstLineChars="200"/>
              <w:textAlignment w:val="auto"/>
              <w:rPr>
                <w:color w:val="auto"/>
                <w:sz w:val="24"/>
                <w:szCs w:val="24"/>
                <w:highlight w:val="none"/>
              </w:rPr>
            </w:pPr>
            <w:r>
              <w:rPr>
                <w:color w:val="auto"/>
                <w:sz w:val="24"/>
                <w:szCs w:val="24"/>
                <w:highlight w:val="none"/>
              </w:rPr>
              <w:t>自主开展环境保护验收的程序和标准。根据《建设项目竣工环境保护验收暂行办法》（国环规环评[2017]4号）（以下简称《暂行办法》）及《建设项目环境保护管理条例》的要求，建设单位是建设项目竣工环境保护验收的责任主体，应当按照《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w:t>
            </w:r>
          </w:p>
          <w:p w14:paraId="0F5BEFEC">
            <w:pPr>
              <w:keepNext w:val="0"/>
              <w:keepLines w:val="0"/>
              <w:pageBreakBefore/>
              <w:widowControl w:val="0"/>
              <w:kinsoku/>
              <w:wordWrap/>
              <w:overflowPunct/>
              <w:topLinePunct w:val="0"/>
              <w:autoSpaceDE/>
              <w:autoSpaceDN/>
              <w:bidi w:val="0"/>
              <w:adjustRightInd w:val="0"/>
              <w:snapToGrid w:val="0"/>
              <w:spacing w:line="420" w:lineRule="exact"/>
              <w:ind w:firstLine="480" w:firstLineChars="200"/>
              <w:textAlignment w:val="auto"/>
              <w:rPr>
                <w:color w:val="auto"/>
                <w:sz w:val="24"/>
                <w:szCs w:val="24"/>
                <w:highlight w:val="none"/>
              </w:rPr>
            </w:pPr>
            <w:r>
              <w:rPr>
                <w:color w:val="auto"/>
                <w:sz w:val="24"/>
                <w:szCs w:val="24"/>
                <w:highlight w:val="none"/>
              </w:rPr>
              <w:t>1）建设单位如实查验、监测记载环保设施的建设和调试情况。调试期间，建设单位应当确保该期间污染物排放符合国家和地方的有关污染物排放标准和排污许可等相关规定。环境保护设施未与主体工程同时建成的，或者应当取得排污许可证但未取得的，建设单位不得对该建设项目环境保护设施进行调试。</w:t>
            </w:r>
          </w:p>
          <w:p w14:paraId="16D0926D">
            <w:pPr>
              <w:keepNext w:val="0"/>
              <w:keepLines w:val="0"/>
              <w:pageBreakBefore/>
              <w:widowControl w:val="0"/>
              <w:kinsoku/>
              <w:wordWrap/>
              <w:overflowPunct/>
              <w:topLinePunct w:val="0"/>
              <w:autoSpaceDE/>
              <w:autoSpaceDN/>
              <w:bidi w:val="0"/>
              <w:adjustRightInd w:val="0"/>
              <w:snapToGrid w:val="0"/>
              <w:spacing w:line="420" w:lineRule="exact"/>
              <w:ind w:firstLine="480" w:firstLineChars="200"/>
              <w:textAlignment w:val="auto"/>
              <w:rPr>
                <w:color w:val="auto"/>
                <w:sz w:val="24"/>
                <w:szCs w:val="24"/>
                <w:highlight w:val="none"/>
              </w:rPr>
            </w:pPr>
            <w:r>
              <w:rPr>
                <w:color w:val="auto"/>
                <w:sz w:val="24"/>
                <w:szCs w:val="24"/>
                <w:highlight w:val="none"/>
              </w:rPr>
              <w:t>2）编制验收监测报告，本项以排放污染物为主的建设项目，参照《建设项目竣工环境保护验收技术指南——污染影响类》编制验收监测报告，建设单位不具备自主验收能力的可以委托有能力的技术机构编制。</w:t>
            </w:r>
          </w:p>
          <w:p w14:paraId="1D2F5657">
            <w:pPr>
              <w:keepNext w:val="0"/>
              <w:keepLines w:val="0"/>
              <w:pageBreakBefore/>
              <w:widowControl w:val="0"/>
              <w:kinsoku/>
              <w:wordWrap/>
              <w:overflowPunct/>
              <w:topLinePunct w:val="0"/>
              <w:autoSpaceDE/>
              <w:autoSpaceDN/>
              <w:bidi w:val="0"/>
              <w:adjustRightInd w:val="0"/>
              <w:snapToGrid w:val="0"/>
              <w:spacing w:line="420" w:lineRule="exact"/>
              <w:ind w:firstLine="480" w:firstLineChars="200"/>
              <w:textAlignment w:val="auto"/>
              <w:rPr>
                <w:color w:val="auto"/>
                <w:sz w:val="24"/>
                <w:szCs w:val="24"/>
                <w:highlight w:val="none"/>
              </w:rPr>
            </w:pPr>
            <w:r>
              <w:rPr>
                <w:color w:val="auto"/>
                <w:sz w:val="24"/>
                <w:szCs w:val="24"/>
                <w:highlight w:val="none"/>
              </w:rPr>
              <w:t>3）验收监测报告编制完成后，建设单位应当根据验收监测报告结论，逐一检查是否存在《建设项目竣工环保验收暂行办法》中第八条所列验收不合格的情形，提出验收意见。存在问题的，建设单位应当进行整改，整改完成后方可提出验收意见。验收意见包括工程建设基本情况、工程变动情况、环境保护设施落实情况、环境保护设施调试效果、工程建设对环境的影响、验收结论和后续要求等内容。</w:t>
            </w:r>
          </w:p>
          <w:p w14:paraId="3ABCF63A">
            <w:pPr>
              <w:keepNext w:val="0"/>
              <w:keepLines w:val="0"/>
              <w:pageBreakBefore/>
              <w:widowControl w:val="0"/>
              <w:kinsoku/>
              <w:wordWrap/>
              <w:overflowPunct/>
              <w:topLinePunct w:val="0"/>
              <w:autoSpaceDE/>
              <w:autoSpaceDN/>
              <w:bidi w:val="0"/>
              <w:adjustRightInd w:val="0"/>
              <w:snapToGrid w:val="0"/>
              <w:spacing w:line="420" w:lineRule="exact"/>
              <w:ind w:firstLine="480" w:firstLineChars="200"/>
              <w:textAlignment w:val="auto"/>
              <w:rPr>
                <w:color w:val="auto"/>
                <w:sz w:val="24"/>
                <w:szCs w:val="24"/>
                <w:highlight w:val="none"/>
              </w:rPr>
            </w:pPr>
            <w:r>
              <w:rPr>
                <w:color w:val="auto"/>
                <w:sz w:val="24"/>
                <w:szCs w:val="24"/>
                <w:highlight w:val="none"/>
              </w:rPr>
              <w:t>4）验收报告编制完成后5个工作日内，公开验收报告，公示的期限不得少于20个工作日，同步公开环保设施竣工日期以及对环保设施公开调试的起始日期。建设单位公开上述信息的同时，应当向所在地县级以上环境保护主管部门报送相关信息，并接受监督检查。</w:t>
            </w:r>
          </w:p>
          <w:p w14:paraId="30216D89">
            <w:pPr>
              <w:keepNext w:val="0"/>
              <w:keepLines w:val="0"/>
              <w:pageBreakBefore/>
              <w:widowControl w:val="0"/>
              <w:kinsoku/>
              <w:wordWrap/>
              <w:overflowPunct/>
              <w:topLinePunct w:val="0"/>
              <w:autoSpaceDE/>
              <w:autoSpaceDN/>
              <w:bidi w:val="0"/>
              <w:adjustRightInd w:val="0"/>
              <w:snapToGrid w:val="0"/>
              <w:spacing w:line="440" w:lineRule="exact"/>
              <w:ind w:firstLine="480" w:firstLineChars="200"/>
              <w:textAlignment w:val="auto"/>
              <w:rPr>
                <w:color w:val="auto"/>
                <w:sz w:val="24"/>
                <w:szCs w:val="24"/>
                <w:highlight w:val="none"/>
              </w:rPr>
            </w:pPr>
            <w:r>
              <w:rPr>
                <w:color w:val="auto"/>
                <w:sz w:val="24"/>
                <w:szCs w:val="24"/>
                <w:highlight w:val="none"/>
              </w:rPr>
              <w:t>5）验收报告公示期满后5个工作日内，建设单位应当登录全国建设项目竣工环境保护验收信息平台，填报建设项目基本信息、环境保护设施验收情况等相关信息，环境保护主管部门对上述信息予以公开。</w:t>
            </w:r>
          </w:p>
          <w:p w14:paraId="41E17EC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highlight w:val="none"/>
              </w:rPr>
            </w:pPr>
            <w:r>
              <w:rPr>
                <w:color w:val="auto"/>
                <w:sz w:val="24"/>
                <w:szCs w:val="24"/>
                <w:highlight w:val="none"/>
              </w:rPr>
              <w:t>6）纳入排污许可管理的建设项目，排污单位应当在项目产生实际污染物排放之前，按照国家排污许可有关管理规定要求，申请排污许可证。建设项目验收报告中与污染物排放相关的主要内容应当纳入该项目验收完成当年排污许可证执行年报。</w:t>
            </w:r>
          </w:p>
        </w:tc>
      </w:tr>
    </w:tbl>
    <w:p w14:paraId="53852AE2">
      <w:pPr>
        <w:pStyle w:val="44"/>
        <w:widowControl w:val="0"/>
        <w:spacing w:before="0" w:beforeAutospacing="0" w:after="0" w:afterAutospacing="0" w:line="360" w:lineRule="auto"/>
        <w:jc w:val="center"/>
        <w:outlineLvl w:val="0"/>
        <w:rPr>
          <w:rFonts w:hint="eastAsia" w:ascii="黑体" w:hAnsi="黑体" w:eastAsia="黑体"/>
          <w:color w:val="auto"/>
          <w:kern w:val="0"/>
          <w:sz w:val="30"/>
          <w:szCs w:val="30"/>
          <w:highlight w:val="none"/>
        </w:rPr>
      </w:pPr>
      <w:bookmarkStart w:id="62" w:name="_Toc20824"/>
      <w:bookmarkStart w:id="63" w:name="_Toc16452"/>
      <w:r>
        <w:rPr>
          <w:rFonts w:hint="eastAsia"/>
          <w:color w:val="auto"/>
          <w:kern w:val="0"/>
          <w:highlight w:val="none"/>
        </w:rPr>
        <w:br w:type="page"/>
      </w:r>
      <w:bookmarkStart w:id="64" w:name="_Toc16505"/>
      <w:bookmarkStart w:id="65" w:name="_Toc10227"/>
      <w:r>
        <w:rPr>
          <w:rFonts w:hint="eastAsia" w:ascii="黑体" w:hAnsi="黑体" w:eastAsia="黑体"/>
          <w:color w:val="auto"/>
          <w:kern w:val="0"/>
          <w:sz w:val="30"/>
          <w:szCs w:val="30"/>
          <w:highlight w:val="none"/>
        </w:rPr>
        <w:t>五、</w:t>
      </w:r>
      <w:bookmarkStart w:id="66" w:name="_Hlk54167917"/>
      <w:r>
        <w:rPr>
          <w:rFonts w:hint="eastAsia" w:ascii="黑体" w:hAnsi="黑体" w:eastAsia="黑体"/>
          <w:color w:val="auto"/>
          <w:kern w:val="0"/>
          <w:sz w:val="30"/>
          <w:szCs w:val="30"/>
          <w:highlight w:val="none"/>
        </w:rPr>
        <w:t>环境保护措施监督检查清单</w:t>
      </w:r>
      <w:bookmarkEnd w:id="62"/>
      <w:bookmarkEnd w:id="63"/>
      <w:bookmarkEnd w:id="64"/>
      <w:bookmarkEnd w:id="65"/>
      <w:bookmarkEnd w:id="66"/>
    </w:p>
    <w:tbl>
      <w:tblPr>
        <w:tblStyle w:val="26"/>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99"/>
        <w:gridCol w:w="420"/>
        <w:gridCol w:w="456"/>
        <w:gridCol w:w="859"/>
        <w:gridCol w:w="1281"/>
        <w:gridCol w:w="2499"/>
        <w:gridCol w:w="2467"/>
      </w:tblGrid>
      <w:tr w14:paraId="227C3D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99" w:type="pct"/>
            <w:tcBorders>
              <w:tl2br w:val="single" w:color="auto" w:sz="4" w:space="0"/>
            </w:tcBorders>
            <w:vAlign w:val="center"/>
          </w:tcPr>
          <w:p w14:paraId="36CB040F">
            <w:pPr>
              <w:keepNext w:val="0"/>
              <w:keepLines w:val="0"/>
              <w:pageBreakBefore w:val="0"/>
              <w:widowControl w:val="0"/>
              <w:kinsoku/>
              <w:wordWrap/>
              <w:overflowPunct/>
              <w:topLinePunct w:val="0"/>
              <w:autoSpaceDE/>
              <w:autoSpaceDN/>
              <w:bidi w:val="0"/>
              <w:adjustRightInd w:val="0"/>
              <w:snapToGrid w:val="0"/>
              <w:spacing w:line="360" w:lineRule="exact"/>
              <w:ind w:firstLine="241" w:firstLineChars="100"/>
              <w:jc w:val="right"/>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内容</w:t>
            </w:r>
          </w:p>
          <w:p w14:paraId="256772C4">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要素</w:t>
            </w:r>
          </w:p>
        </w:tc>
        <w:tc>
          <w:tcPr>
            <w:tcW w:w="934" w:type="pct"/>
            <w:gridSpan w:val="3"/>
            <w:vAlign w:val="center"/>
          </w:tcPr>
          <w:p w14:paraId="0CAA8F5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排放口</w:t>
            </w:r>
          </w:p>
          <w:p w14:paraId="0649B0A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（编号、名称）/污染源</w:t>
            </w:r>
          </w:p>
        </w:tc>
        <w:tc>
          <w:tcPr>
            <w:tcW w:w="690" w:type="pct"/>
            <w:vAlign w:val="center"/>
          </w:tcPr>
          <w:p w14:paraId="1D4695F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污染物</w:t>
            </w:r>
          </w:p>
          <w:p w14:paraId="540BE64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项目</w:t>
            </w:r>
          </w:p>
        </w:tc>
        <w:tc>
          <w:tcPr>
            <w:tcW w:w="1346" w:type="pct"/>
            <w:vAlign w:val="center"/>
          </w:tcPr>
          <w:p w14:paraId="678D9D7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环境保护措施</w:t>
            </w:r>
          </w:p>
        </w:tc>
        <w:tc>
          <w:tcPr>
            <w:tcW w:w="1329" w:type="pct"/>
            <w:vAlign w:val="center"/>
          </w:tcPr>
          <w:p w14:paraId="3EDF95A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执行标准</w:t>
            </w:r>
          </w:p>
        </w:tc>
      </w:tr>
      <w:tr w14:paraId="2C133A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699" w:type="pct"/>
            <w:vMerge w:val="restart"/>
            <w:vAlign w:val="center"/>
          </w:tcPr>
          <w:p w14:paraId="135B7BB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大气环境</w:t>
            </w:r>
          </w:p>
        </w:tc>
        <w:tc>
          <w:tcPr>
            <w:tcW w:w="226" w:type="pct"/>
            <w:vMerge w:val="restart"/>
            <w:vAlign w:val="center"/>
          </w:tcPr>
          <w:p w14:paraId="37A54B88">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有组织</w:t>
            </w:r>
          </w:p>
        </w:tc>
        <w:tc>
          <w:tcPr>
            <w:tcW w:w="708" w:type="pct"/>
            <w:gridSpan w:val="2"/>
            <w:vAlign w:val="center"/>
          </w:tcPr>
          <w:p w14:paraId="699EB535">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DA003</w:t>
            </w:r>
          </w:p>
        </w:tc>
        <w:tc>
          <w:tcPr>
            <w:tcW w:w="690" w:type="pct"/>
            <w:vAlign w:val="center"/>
          </w:tcPr>
          <w:p w14:paraId="5B4F8183">
            <w:pPr>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氨、硫化氢、臭气浓度</w:t>
            </w:r>
          </w:p>
        </w:tc>
        <w:tc>
          <w:tcPr>
            <w:tcW w:w="1346" w:type="pct"/>
            <w:shd w:val="clear" w:color="auto" w:fill="auto"/>
            <w:vAlign w:val="center"/>
          </w:tcPr>
          <w:p w14:paraId="109268D5">
            <w:pPr>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lang w:val="en-US" w:eastAsia="zh-CN"/>
              </w:rPr>
              <w:t>固体复合微生物肥生产区发酵废气采取全封闭车间负压</w:t>
            </w:r>
            <w:r>
              <w:rPr>
                <w:rFonts w:hint="default" w:ascii="Times New Roman" w:hAnsi="Times New Roman" w:cs="Times New Roman" w:eastAsiaTheme="minorEastAsia"/>
                <w:color w:val="auto"/>
                <w:sz w:val="24"/>
                <w:szCs w:val="24"/>
                <w:highlight w:val="none"/>
              </w:rPr>
              <w:t>收集</w:t>
            </w: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z w:val="24"/>
                <w:szCs w:val="24"/>
                <w:highlight w:val="none"/>
                <w:lang w:val="en-US" w:eastAsia="zh-CN"/>
              </w:rPr>
              <w:t>90%</w:t>
            </w: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z w:val="24"/>
                <w:szCs w:val="24"/>
                <w:highlight w:val="none"/>
              </w:rPr>
              <w:t>后经一套生物过滤除臭系统</w:t>
            </w: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z w:val="24"/>
                <w:szCs w:val="24"/>
                <w:highlight w:val="none"/>
                <w:lang w:val="en-US" w:eastAsia="zh-CN"/>
              </w:rPr>
              <w:t>处理效率88%，风量16000m</w:t>
            </w:r>
            <w:r>
              <w:rPr>
                <w:rFonts w:hint="default" w:ascii="Times New Roman" w:hAnsi="Times New Roman" w:cs="Times New Roman" w:eastAsiaTheme="minorEastAsia"/>
                <w:color w:val="auto"/>
                <w:sz w:val="24"/>
                <w:szCs w:val="24"/>
                <w:highlight w:val="none"/>
                <w:vertAlign w:val="superscript"/>
                <w:lang w:val="en-US" w:eastAsia="zh-CN"/>
              </w:rPr>
              <w:t>3</w:t>
            </w:r>
            <w:r>
              <w:rPr>
                <w:rFonts w:hint="default" w:ascii="Times New Roman" w:hAnsi="Times New Roman" w:cs="Times New Roman" w:eastAsiaTheme="minorEastAsia"/>
                <w:color w:val="auto"/>
                <w:sz w:val="24"/>
                <w:szCs w:val="24"/>
                <w:highlight w:val="none"/>
                <w:lang w:val="en-US" w:eastAsia="zh-CN"/>
              </w:rPr>
              <w:t>/h</w:t>
            </w: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z w:val="24"/>
                <w:szCs w:val="24"/>
                <w:highlight w:val="none"/>
              </w:rPr>
              <w:t>处理后由15m高排气筒排放。</w:t>
            </w:r>
          </w:p>
        </w:tc>
        <w:tc>
          <w:tcPr>
            <w:tcW w:w="1329" w:type="pct"/>
            <w:vAlign w:val="center"/>
          </w:tcPr>
          <w:p w14:paraId="1F8F679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《恶臭污染物排放标准》（GB14554-93）</w:t>
            </w:r>
          </w:p>
          <w:p w14:paraId="26F64DF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kern w:val="0"/>
                <w:sz w:val="24"/>
                <w:szCs w:val="24"/>
                <w:highlight w:val="none"/>
              </w:rPr>
              <w:t>表</w:t>
            </w:r>
            <w:r>
              <w:rPr>
                <w:rFonts w:hint="default" w:ascii="Times New Roman" w:hAnsi="Times New Roman" w:cs="Times New Roman" w:eastAsiaTheme="minorEastAsia"/>
                <w:color w:val="auto"/>
                <w:kern w:val="0"/>
                <w:sz w:val="24"/>
                <w:szCs w:val="24"/>
                <w:highlight w:val="none"/>
                <w:lang w:val="en-US" w:eastAsia="zh-CN"/>
              </w:rPr>
              <w:t>2</w:t>
            </w:r>
          </w:p>
        </w:tc>
      </w:tr>
      <w:tr w14:paraId="1C2A59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699" w:type="pct"/>
            <w:vMerge w:val="continue"/>
            <w:vAlign w:val="center"/>
          </w:tcPr>
          <w:p w14:paraId="64DB414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226" w:type="pct"/>
            <w:vMerge w:val="continue"/>
            <w:vAlign w:val="center"/>
          </w:tcPr>
          <w:p w14:paraId="38933C93">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sz w:val="24"/>
                <w:szCs w:val="24"/>
                <w:highlight w:val="none"/>
                <w:lang w:val="en-US" w:eastAsia="zh-CN"/>
              </w:rPr>
            </w:pPr>
          </w:p>
        </w:tc>
        <w:tc>
          <w:tcPr>
            <w:tcW w:w="708" w:type="pct"/>
            <w:gridSpan w:val="2"/>
            <w:vAlign w:val="center"/>
          </w:tcPr>
          <w:p w14:paraId="46E15238">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DA004</w:t>
            </w:r>
          </w:p>
        </w:tc>
        <w:tc>
          <w:tcPr>
            <w:tcW w:w="690" w:type="pct"/>
            <w:vAlign w:val="center"/>
          </w:tcPr>
          <w:p w14:paraId="7962DB01">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颗粒物</w:t>
            </w:r>
          </w:p>
        </w:tc>
        <w:tc>
          <w:tcPr>
            <w:tcW w:w="1346" w:type="pct"/>
            <w:shd w:val="clear" w:color="auto" w:fill="auto"/>
            <w:vAlign w:val="center"/>
          </w:tcPr>
          <w:p w14:paraId="7FC9669F">
            <w:pPr>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val="en-US" w:eastAsia="zh-CN"/>
              </w:rPr>
              <w:t>固体复合微生物肥生产区扑粉、搅拌投料、筛分、粉碎、包装等</w:t>
            </w:r>
            <w:r>
              <w:rPr>
                <w:rFonts w:hint="default" w:ascii="Times New Roman" w:hAnsi="Times New Roman" w:cs="Times New Roman" w:eastAsiaTheme="minorEastAsia"/>
                <w:color w:val="auto"/>
                <w:sz w:val="24"/>
                <w:szCs w:val="24"/>
                <w:highlight w:val="none"/>
              </w:rPr>
              <w:t>设6个半密闭集气罩（收集效率80%）收集后经布袋除尘器处理（处理效率98%</w:t>
            </w: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z w:val="24"/>
                <w:szCs w:val="24"/>
                <w:highlight w:val="none"/>
                <w:lang w:val="en-US" w:eastAsia="zh-CN"/>
              </w:rPr>
              <w:t>风量21384m</w:t>
            </w:r>
            <w:r>
              <w:rPr>
                <w:rFonts w:hint="default" w:ascii="Times New Roman" w:hAnsi="Times New Roman" w:cs="Times New Roman" w:eastAsiaTheme="minorEastAsia"/>
                <w:color w:val="auto"/>
                <w:sz w:val="24"/>
                <w:szCs w:val="24"/>
                <w:highlight w:val="none"/>
                <w:vertAlign w:val="superscript"/>
                <w:lang w:val="en-US" w:eastAsia="zh-CN"/>
              </w:rPr>
              <w:t>3</w:t>
            </w:r>
            <w:r>
              <w:rPr>
                <w:rFonts w:hint="default" w:ascii="Times New Roman" w:hAnsi="Times New Roman" w:cs="Times New Roman" w:eastAsiaTheme="minorEastAsia"/>
                <w:color w:val="auto"/>
                <w:sz w:val="24"/>
                <w:szCs w:val="24"/>
                <w:highlight w:val="none"/>
                <w:lang w:val="en-US" w:eastAsia="zh-CN"/>
              </w:rPr>
              <w:t>/h</w:t>
            </w:r>
            <w:r>
              <w:rPr>
                <w:rFonts w:hint="default" w:ascii="Times New Roman" w:hAnsi="Times New Roman" w:cs="Times New Roman" w:eastAsiaTheme="minorEastAsia"/>
                <w:color w:val="auto"/>
                <w:sz w:val="24"/>
                <w:szCs w:val="24"/>
                <w:highlight w:val="none"/>
              </w:rPr>
              <w:t>）处理后由15m高排气筒（DA0</w:t>
            </w:r>
            <w:r>
              <w:rPr>
                <w:rFonts w:hint="default" w:ascii="Times New Roman" w:hAnsi="Times New Roman" w:cs="Times New Roman" w:eastAsiaTheme="minorEastAsia"/>
                <w:color w:val="auto"/>
                <w:sz w:val="24"/>
                <w:szCs w:val="24"/>
                <w:highlight w:val="none"/>
                <w:lang w:val="en-US" w:eastAsia="zh-CN"/>
              </w:rPr>
              <w:t>04</w:t>
            </w:r>
            <w:r>
              <w:rPr>
                <w:rFonts w:hint="default" w:ascii="Times New Roman" w:hAnsi="Times New Roman" w:cs="Times New Roman" w:eastAsiaTheme="minorEastAsia"/>
                <w:color w:val="auto"/>
                <w:sz w:val="24"/>
                <w:szCs w:val="24"/>
                <w:highlight w:val="none"/>
              </w:rPr>
              <w:t>）有组织排放。</w:t>
            </w:r>
          </w:p>
        </w:tc>
        <w:tc>
          <w:tcPr>
            <w:tcW w:w="1329" w:type="pct"/>
            <w:vAlign w:val="center"/>
          </w:tcPr>
          <w:p w14:paraId="27C1863B">
            <w:pPr>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《大气污染物综合排放标准》（GB16297-1996）</w:t>
            </w:r>
          </w:p>
          <w:p w14:paraId="56FCC6AC">
            <w:pPr>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kern w:val="0"/>
                <w:sz w:val="24"/>
                <w:szCs w:val="24"/>
                <w:highlight w:val="none"/>
              </w:rPr>
              <w:t>表2</w:t>
            </w:r>
          </w:p>
        </w:tc>
      </w:tr>
      <w:tr w14:paraId="247FD3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699" w:type="pct"/>
            <w:vMerge w:val="continue"/>
            <w:vAlign w:val="center"/>
          </w:tcPr>
          <w:p w14:paraId="3F6258E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226" w:type="pct"/>
            <w:vMerge w:val="restart"/>
            <w:vAlign w:val="center"/>
          </w:tcPr>
          <w:p w14:paraId="7488C45D">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kern w:val="0"/>
                <w:sz w:val="24"/>
                <w:szCs w:val="24"/>
                <w:highlight w:val="none"/>
                <w:lang w:val="en-US" w:eastAsia="zh-CN"/>
              </w:rPr>
            </w:pPr>
            <w:r>
              <w:rPr>
                <w:rFonts w:hint="default" w:ascii="Times New Roman" w:hAnsi="Times New Roman" w:cs="Times New Roman" w:eastAsiaTheme="minorEastAsia"/>
                <w:color w:val="auto"/>
                <w:kern w:val="0"/>
                <w:sz w:val="24"/>
                <w:szCs w:val="24"/>
                <w:highlight w:val="none"/>
                <w:lang w:val="en-US" w:eastAsia="zh-CN"/>
              </w:rPr>
              <w:t>无组织</w:t>
            </w:r>
          </w:p>
        </w:tc>
        <w:tc>
          <w:tcPr>
            <w:tcW w:w="245" w:type="pct"/>
            <w:vMerge w:val="restart"/>
            <w:shd w:val="clear" w:color="auto" w:fill="auto"/>
            <w:vAlign w:val="center"/>
          </w:tcPr>
          <w:p w14:paraId="0C4EE8AF">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kern w:val="2"/>
                <w:sz w:val="24"/>
                <w:szCs w:val="24"/>
                <w:highlight w:val="none"/>
                <w:lang w:val="en-US" w:eastAsia="zh-CN" w:bidi="ar-SA"/>
              </w:rPr>
              <w:t>液体复合微生物肥生产区</w:t>
            </w:r>
          </w:p>
        </w:tc>
        <w:tc>
          <w:tcPr>
            <w:tcW w:w="462" w:type="pct"/>
            <w:shd w:val="clear" w:color="auto" w:fill="auto"/>
            <w:vAlign w:val="center"/>
          </w:tcPr>
          <w:p w14:paraId="167D7EFC">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发酵</w:t>
            </w:r>
          </w:p>
          <w:p w14:paraId="4F8E96AA">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废气</w:t>
            </w:r>
          </w:p>
        </w:tc>
        <w:tc>
          <w:tcPr>
            <w:tcW w:w="690" w:type="pct"/>
            <w:shd w:val="clear" w:color="auto" w:fill="auto"/>
            <w:vAlign w:val="center"/>
          </w:tcPr>
          <w:p w14:paraId="01380B6A">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lang w:val="en-US" w:eastAsia="zh-CN"/>
              </w:rPr>
              <w:t>氨、硫化氢、臭气浓度</w:t>
            </w:r>
          </w:p>
        </w:tc>
        <w:tc>
          <w:tcPr>
            <w:tcW w:w="1346" w:type="pct"/>
            <w:shd w:val="clear" w:color="auto" w:fill="auto"/>
            <w:vAlign w:val="center"/>
          </w:tcPr>
          <w:p w14:paraId="113D8FE7">
            <w:pPr>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rPr>
              <w:t>发酵罐密封发酵并采取发酵罐及时清洗、加强通风、开罐和搅拌期间喷洒除臭剂减轻臭气浓度对周边环境的影响。</w:t>
            </w:r>
          </w:p>
        </w:tc>
        <w:tc>
          <w:tcPr>
            <w:tcW w:w="1329" w:type="pct"/>
            <w:vMerge w:val="restart"/>
            <w:vAlign w:val="center"/>
          </w:tcPr>
          <w:p w14:paraId="109678F8">
            <w:pPr>
              <w:keepNext w:val="0"/>
              <w:keepLines w:val="0"/>
              <w:pageBreakBefore w:val="0"/>
              <w:widowControl w:val="0"/>
              <w:kinsoku/>
              <w:wordWrap/>
              <w:overflowPunct/>
              <w:topLinePunct w:val="0"/>
              <w:autoSpaceDE/>
              <w:autoSpaceDN/>
              <w:bidi w:val="0"/>
              <w:adjustRightInd/>
              <w:snapToGrid w:val="0"/>
              <w:spacing w:line="360" w:lineRule="exact"/>
              <w:ind w:firstLine="0" w:firstLineChars="0"/>
              <w:jc w:val="center"/>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sz w:val="24"/>
                <w:szCs w:val="24"/>
                <w:highlight w:val="none"/>
                <w:lang w:val="en-US" w:eastAsia="zh-CN"/>
              </w:rPr>
              <w:t>氨、硫化氢、臭气浓度执行</w:t>
            </w:r>
            <w:r>
              <w:rPr>
                <w:rFonts w:hint="default" w:ascii="Times New Roman" w:hAnsi="Times New Roman" w:cs="Times New Roman" w:eastAsiaTheme="minorEastAsia"/>
                <w:color w:val="auto"/>
                <w:kern w:val="0"/>
                <w:sz w:val="24"/>
                <w:szCs w:val="24"/>
                <w:highlight w:val="none"/>
              </w:rPr>
              <w:t>《恶臭污染物排放标准》（GB14554-93）中表1</w:t>
            </w:r>
            <w:r>
              <w:rPr>
                <w:rFonts w:hint="default" w:ascii="Times New Roman" w:hAnsi="Times New Roman" w:cs="Times New Roman" w:eastAsiaTheme="minorEastAsia"/>
                <w:color w:val="auto"/>
                <w:kern w:val="0"/>
                <w:sz w:val="24"/>
                <w:szCs w:val="24"/>
                <w:highlight w:val="none"/>
                <w:lang w:val="en-US" w:eastAsia="zh-CN"/>
              </w:rPr>
              <w:t>二级</w:t>
            </w:r>
            <w:r>
              <w:rPr>
                <w:rFonts w:hint="default" w:ascii="Times New Roman" w:hAnsi="Times New Roman" w:cs="Times New Roman" w:eastAsiaTheme="minorEastAsia"/>
                <w:color w:val="auto"/>
                <w:kern w:val="0"/>
                <w:sz w:val="24"/>
                <w:szCs w:val="24"/>
                <w:highlight w:val="none"/>
              </w:rPr>
              <w:t>排放标准</w:t>
            </w:r>
            <w:r>
              <w:rPr>
                <w:rFonts w:hint="default" w:ascii="Times New Roman" w:hAnsi="Times New Roman" w:cs="Times New Roman" w:eastAsiaTheme="minorEastAsia"/>
                <w:color w:val="auto"/>
                <w:kern w:val="0"/>
                <w:sz w:val="24"/>
                <w:szCs w:val="24"/>
                <w:highlight w:val="none"/>
                <w:lang w:eastAsia="zh-CN"/>
              </w:rPr>
              <w:t>；</w:t>
            </w:r>
            <w:r>
              <w:rPr>
                <w:rFonts w:hint="default" w:ascii="Times New Roman" w:hAnsi="Times New Roman" w:cs="Times New Roman" w:eastAsiaTheme="minorEastAsia"/>
                <w:color w:val="auto"/>
                <w:kern w:val="0"/>
                <w:sz w:val="24"/>
                <w:szCs w:val="24"/>
                <w:highlight w:val="none"/>
                <w:lang w:val="en-US" w:eastAsia="zh-CN"/>
              </w:rPr>
              <w:t>颗粒物执行</w:t>
            </w:r>
            <w:r>
              <w:rPr>
                <w:rFonts w:hint="default" w:ascii="Times New Roman" w:hAnsi="Times New Roman" w:cs="Times New Roman" w:eastAsiaTheme="minorEastAsia"/>
                <w:color w:val="auto"/>
                <w:kern w:val="0"/>
                <w:sz w:val="24"/>
                <w:szCs w:val="24"/>
                <w:highlight w:val="none"/>
              </w:rPr>
              <w:t>《大气污染物综合排放标准》（GB16297-1996）</w:t>
            </w:r>
          </w:p>
          <w:p w14:paraId="5390659C">
            <w:pPr>
              <w:keepNext w:val="0"/>
              <w:keepLines w:val="0"/>
              <w:pageBreakBefore w:val="0"/>
              <w:widowControl w:val="0"/>
              <w:kinsoku/>
              <w:wordWrap/>
              <w:overflowPunct/>
              <w:topLinePunct w:val="0"/>
              <w:autoSpaceDE/>
              <w:autoSpaceDN/>
              <w:bidi w:val="0"/>
              <w:adjustRightInd/>
              <w:snapToGrid w:val="0"/>
              <w:spacing w:line="360" w:lineRule="exact"/>
              <w:ind w:firstLine="0" w:firstLineChars="0"/>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kern w:val="0"/>
                <w:sz w:val="24"/>
                <w:szCs w:val="24"/>
                <w:highlight w:val="none"/>
                <w:lang w:val="en-US" w:eastAsia="zh-CN"/>
              </w:rPr>
              <w:t>表2</w:t>
            </w:r>
            <w:r>
              <w:rPr>
                <w:rFonts w:hint="default" w:ascii="Times New Roman" w:hAnsi="Times New Roman" w:cs="Times New Roman" w:eastAsiaTheme="minorEastAsia"/>
                <w:color w:val="auto"/>
                <w:kern w:val="0"/>
                <w:sz w:val="24"/>
                <w:szCs w:val="24"/>
                <w:highlight w:val="none"/>
              </w:rPr>
              <w:t>无组织排放限值</w:t>
            </w:r>
          </w:p>
        </w:tc>
      </w:tr>
      <w:tr w14:paraId="14A3BD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699" w:type="pct"/>
            <w:vMerge w:val="continue"/>
            <w:vAlign w:val="center"/>
          </w:tcPr>
          <w:p w14:paraId="174213F4">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eastAsiaTheme="minorEastAsia"/>
                <w:color w:val="auto"/>
                <w:sz w:val="24"/>
                <w:szCs w:val="24"/>
                <w:highlight w:val="none"/>
              </w:rPr>
            </w:pPr>
          </w:p>
        </w:tc>
        <w:tc>
          <w:tcPr>
            <w:tcW w:w="226" w:type="pct"/>
            <w:vMerge w:val="continue"/>
            <w:vAlign w:val="center"/>
          </w:tcPr>
          <w:p w14:paraId="2A3884EA">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eastAsiaTheme="minorEastAsia"/>
                <w:color w:val="auto"/>
                <w:sz w:val="24"/>
                <w:szCs w:val="24"/>
                <w:highlight w:val="none"/>
              </w:rPr>
            </w:pPr>
          </w:p>
        </w:tc>
        <w:tc>
          <w:tcPr>
            <w:tcW w:w="245" w:type="pct"/>
            <w:vMerge w:val="continue"/>
            <w:vAlign w:val="center"/>
          </w:tcPr>
          <w:p w14:paraId="4F5976F8">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462" w:type="pct"/>
            <w:vAlign w:val="center"/>
          </w:tcPr>
          <w:p w14:paraId="260CDBA3">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投料、搅拌</w:t>
            </w:r>
          </w:p>
        </w:tc>
        <w:tc>
          <w:tcPr>
            <w:tcW w:w="690" w:type="pct"/>
            <w:vAlign w:val="center"/>
          </w:tcPr>
          <w:p w14:paraId="7555DBDC">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颗粒物</w:t>
            </w:r>
          </w:p>
        </w:tc>
        <w:tc>
          <w:tcPr>
            <w:tcW w:w="1346" w:type="pct"/>
            <w:shd w:val="clear" w:color="auto" w:fill="auto"/>
            <w:vAlign w:val="center"/>
          </w:tcPr>
          <w:p w14:paraId="7C3CFA8A">
            <w:pPr>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rPr>
              <w:t>采取人工投料站（滤芯除尘）</w:t>
            </w:r>
            <w:r>
              <w:rPr>
                <w:rFonts w:hint="default" w:ascii="Times New Roman" w:hAnsi="Times New Roman" w:cs="Times New Roman" w:eastAsiaTheme="minorEastAsia"/>
                <w:color w:val="auto"/>
                <w:sz w:val="24"/>
                <w:szCs w:val="24"/>
                <w:highlight w:val="none"/>
                <w:lang w:val="en-US" w:eastAsia="zh-CN"/>
              </w:rPr>
              <w:t>和</w:t>
            </w:r>
            <w:r>
              <w:rPr>
                <w:rFonts w:hint="default" w:ascii="Times New Roman" w:hAnsi="Times New Roman" w:cs="Times New Roman" w:eastAsiaTheme="minorEastAsia"/>
                <w:color w:val="auto"/>
                <w:sz w:val="24"/>
                <w:szCs w:val="24"/>
                <w:highlight w:val="none"/>
              </w:rPr>
              <w:t>湿法搅拌</w:t>
            </w:r>
            <w:r>
              <w:rPr>
                <w:rFonts w:hint="default" w:ascii="Times New Roman" w:hAnsi="Times New Roman" w:cs="Times New Roman" w:eastAsiaTheme="minorEastAsia"/>
                <w:color w:val="auto"/>
                <w:sz w:val="24"/>
                <w:szCs w:val="24"/>
                <w:highlight w:val="none"/>
                <w:lang w:val="en-US" w:eastAsia="zh-CN"/>
              </w:rPr>
              <w:t>，再</w:t>
            </w:r>
            <w:r>
              <w:rPr>
                <w:rFonts w:hint="default" w:ascii="Times New Roman" w:hAnsi="Times New Roman" w:cs="Times New Roman" w:eastAsiaTheme="minorEastAsia"/>
                <w:color w:val="auto"/>
                <w:sz w:val="24"/>
                <w:szCs w:val="24"/>
                <w:highlight w:val="none"/>
              </w:rPr>
              <w:t>经封闭厂房（预留进出口）围挡后无组织排放。</w:t>
            </w:r>
          </w:p>
        </w:tc>
        <w:tc>
          <w:tcPr>
            <w:tcW w:w="1329" w:type="pct"/>
            <w:vMerge w:val="continue"/>
            <w:vAlign w:val="center"/>
          </w:tcPr>
          <w:p w14:paraId="1AC866BF">
            <w:pPr>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cs="Times New Roman" w:eastAsiaTheme="minorEastAsia"/>
                <w:color w:val="auto"/>
                <w:sz w:val="24"/>
                <w:szCs w:val="24"/>
                <w:highlight w:val="none"/>
              </w:rPr>
            </w:pPr>
          </w:p>
        </w:tc>
      </w:tr>
      <w:tr w14:paraId="4A2BEA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699" w:type="pct"/>
            <w:vMerge w:val="continue"/>
            <w:vAlign w:val="center"/>
          </w:tcPr>
          <w:p w14:paraId="78B80FF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226" w:type="pct"/>
            <w:vMerge w:val="continue"/>
            <w:vAlign w:val="center"/>
          </w:tcPr>
          <w:p w14:paraId="484A9F20">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kern w:val="0"/>
                <w:sz w:val="24"/>
                <w:szCs w:val="24"/>
                <w:highlight w:val="none"/>
              </w:rPr>
            </w:pPr>
          </w:p>
        </w:tc>
        <w:tc>
          <w:tcPr>
            <w:tcW w:w="245" w:type="pct"/>
            <w:vMerge w:val="restart"/>
            <w:vAlign w:val="center"/>
          </w:tcPr>
          <w:p w14:paraId="69B260CA">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2"/>
                <w:sz w:val="24"/>
                <w:szCs w:val="24"/>
                <w:highlight w:val="none"/>
                <w:lang w:val="en-US" w:eastAsia="zh-CN" w:bidi="ar-SA"/>
              </w:rPr>
              <w:t>固体复合微生物肥生产区</w:t>
            </w:r>
          </w:p>
        </w:tc>
        <w:tc>
          <w:tcPr>
            <w:tcW w:w="462" w:type="pct"/>
            <w:vAlign w:val="center"/>
          </w:tcPr>
          <w:p w14:paraId="323E3D01">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kern w:val="2"/>
                <w:sz w:val="24"/>
                <w:szCs w:val="24"/>
                <w:highlight w:val="none"/>
                <w:lang w:val="en-US" w:eastAsia="zh-CN" w:bidi="ar-SA"/>
              </w:rPr>
              <w:t>投料、扑粉、筛分、粉碎、包装、搅拌</w:t>
            </w:r>
          </w:p>
        </w:tc>
        <w:tc>
          <w:tcPr>
            <w:tcW w:w="690" w:type="pct"/>
            <w:vAlign w:val="center"/>
          </w:tcPr>
          <w:p w14:paraId="71C76145">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颗粒物</w:t>
            </w:r>
          </w:p>
        </w:tc>
        <w:tc>
          <w:tcPr>
            <w:tcW w:w="1346" w:type="pct"/>
            <w:shd w:val="clear" w:color="auto" w:fill="auto"/>
            <w:vAlign w:val="center"/>
          </w:tcPr>
          <w:p w14:paraId="08EB7B52">
            <w:pPr>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kern w:val="2"/>
                <w:sz w:val="24"/>
                <w:szCs w:val="24"/>
                <w:highlight w:val="none"/>
                <w:lang w:val="en-US" w:eastAsia="zh-CN" w:bidi="ar-SA"/>
              </w:rPr>
              <w:t>未能收集废气经封闭式厂房（预留进出口）阻隔后，无组织排放。</w:t>
            </w:r>
          </w:p>
        </w:tc>
        <w:tc>
          <w:tcPr>
            <w:tcW w:w="1329" w:type="pct"/>
            <w:vMerge w:val="continue"/>
            <w:vAlign w:val="center"/>
          </w:tcPr>
          <w:p w14:paraId="4CE6B7F4">
            <w:pPr>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cs="Times New Roman" w:eastAsiaTheme="minorEastAsia"/>
                <w:color w:val="auto"/>
                <w:sz w:val="24"/>
                <w:szCs w:val="24"/>
                <w:highlight w:val="none"/>
              </w:rPr>
            </w:pPr>
          </w:p>
        </w:tc>
      </w:tr>
      <w:tr w14:paraId="5459FD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699" w:type="pct"/>
            <w:vMerge w:val="continue"/>
            <w:vAlign w:val="center"/>
          </w:tcPr>
          <w:p w14:paraId="680109D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226" w:type="pct"/>
            <w:vMerge w:val="continue"/>
            <w:vAlign w:val="center"/>
          </w:tcPr>
          <w:p w14:paraId="2113681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245" w:type="pct"/>
            <w:vMerge w:val="continue"/>
            <w:vAlign w:val="center"/>
          </w:tcPr>
          <w:p w14:paraId="0E7D5536">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kern w:val="0"/>
                <w:sz w:val="24"/>
                <w:szCs w:val="24"/>
                <w:highlight w:val="none"/>
              </w:rPr>
            </w:pPr>
          </w:p>
        </w:tc>
        <w:tc>
          <w:tcPr>
            <w:tcW w:w="462" w:type="pct"/>
            <w:vAlign w:val="center"/>
          </w:tcPr>
          <w:p w14:paraId="067CE6E0">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发酵、一次筛分</w:t>
            </w:r>
          </w:p>
        </w:tc>
        <w:tc>
          <w:tcPr>
            <w:tcW w:w="690" w:type="pct"/>
            <w:vAlign w:val="center"/>
          </w:tcPr>
          <w:p w14:paraId="6D19FBBE">
            <w:pPr>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sz w:val="24"/>
                <w:szCs w:val="24"/>
                <w:highlight w:val="none"/>
                <w:lang w:val="en-US" w:eastAsia="zh-CN"/>
              </w:rPr>
              <w:t>氨、硫化氢、臭气浓度</w:t>
            </w:r>
          </w:p>
        </w:tc>
        <w:tc>
          <w:tcPr>
            <w:tcW w:w="1346" w:type="pct"/>
            <w:shd w:val="clear" w:color="auto" w:fill="auto"/>
            <w:vAlign w:val="center"/>
          </w:tcPr>
          <w:p w14:paraId="0E93245B">
            <w:pPr>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cs="Times New Roman" w:eastAsiaTheme="minorEastAsia"/>
                <w:color w:val="auto"/>
                <w:kern w:val="0"/>
                <w:sz w:val="24"/>
                <w:szCs w:val="24"/>
                <w:highlight w:val="none"/>
                <w:lang w:val="en-US" w:eastAsia="zh-CN" w:bidi="ar-SA"/>
              </w:rPr>
            </w:pPr>
            <w:r>
              <w:rPr>
                <w:rFonts w:hint="default" w:ascii="Times New Roman" w:hAnsi="Times New Roman" w:cs="Times New Roman" w:eastAsiaTheme="minorEastAsia"/>
                <w:color w:val="auto"/>
                <w:sz w:val="24"/>
                <w:szCs w:val="24"/>
                <w:highlight w:val="none"/>
                <w:lang w:val="en-US" w:eastAsia="zh-CN"/>
              </w:rPr>
              <w:t>未能收集的废气采取定期</w:t>
            </w:r>
            <w:r>
              <w:rPr>
                <w:rFonts w:hint="default" w:ascii="Times New Roman" w:hAnsi="Times New Roman" w:cs="Times New Roman" w:eastAsiaTheme="minorEastAsia"/>
                <w:color w:val="auto"/>
                <w:sz w:val="24"/>
                <w:szCs w:val="24"/>
                <w:highlight w:val="none"/>
              </w:rPr>
              <w:t>喷洒除臭剂减轻臭气浓度对周边环境的影响。</w:t>
            </w:r>
          </w:p>
        </w:tc>
        <w:tc>
          <w:tcPr>
            <w:tcW w:w="1329" w:type="pct"/>
            <w:vMerge w:val="continue"/>
            <w:vAlign w:val="center"/>
          </w:tcPr>
          <w:p w14:paraId="23373141">
            <w:pPr>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cs="Times New Roman" w:eastAsiaTheme="minorEastAsia"/>
                <w:color w:val="auto"/>
                <w:kern w:val="0"/>
                <w:sz w:val="24"/>
                <w:szCs w:val="24"/>
                <w:highlight w:val="none"/>
              </w:rPr>
            </w:pPr>
          </w:p>
        </w:tc>
      </w:tr>
      <w:tr w14:paraId="1FDCC0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Merge w:val="restart"/>
            <w:vAlign w:val="center"/>
          </w:tcPr>
          <w:p w14:paraId="372BD5E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地表水环境</w:t>
            </w:r>
          </w:p>
        </w:tc>
        <w:tc>
          <w:tcPr>
            <w:tcW w:w="934" w:type="pct"/>
            <w:gridSpan w:val="3"/>
            <w:vAlign w:val="center"/>
          </w:tcPr>
          <w:p w14:paraId="27BB0BE4">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实验室废水、软水制备、生产设备清洗废水、地面冲洗废水、渗滤液</w:t>
            </w:r>
          </w:p>
        </w:tc>
        <w:tc>
          <w:tcPr>
            <w:tcW w:w="690" w:type="pct"/>
            <w:vAlign w:val="center"/>
          </w:tcPr>
          <w:p w14:paraId="4DC3EA0B">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eastAsiaTheme="minorEastAsia"/>
                <w:bCs/>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rPr>
              <w:t>COD、BOD</w:t>
            </w:r>
            <w:r>
              <w:rPr>
                <w:rFonts w:hint="default" w:ascii="Times New Roman" w:hAnsi="Times New Roman" w:cs="Times New Roman" w:eastAsiaTheme="minorEastAsia"/>
                <w:color w:val="auto"/>
                <w:sz w:val="24"/>
                <w:szCs w:val="24"/>
                <w:highlight w:val="none"/>
                <w:vertAlign w:val="subscript"/>
              </w:rPr>
              <w:t>5</w:t>
            </w:r>
            <w:r>
              <w:rPr>
                <w:rFonts w:hint="default" w:ascii="Times New Roman" w:hAnsi="Times New Roman" w:cs="Times New Roman" w:eastAsiaTheme="minorEastAsia"/>
                <w:color w:val="auto"/>
                <w:sz w:val="24"/>
                <w:szCs w:val="24"/>
                <w:highlight w:val="none"/>
              </w:rPr>
              <w:t>、SS、氨氮、总磷</w:t>
            </w: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z w:val="24"/>
                <w:szCs w:val="24"/>
                <w:highlight w:val="none"/>
                <w:lang w:val="en-US" w:eastAsia="zh-CN"/>
              </w:rPr>
              <w:t>总氮</w:t>
            </w:r>
          </w:p>
        </w:tc>
        <w:tc>
          <w:tcPr>
            <w:tcW w:w="1346" w:type="pct"/>
            <w:vAlign w:val="center"/>
          </w:tcPr>
          <w:p w14:paraId="6FF67505">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rPr>
              <w:t>地面冲洗废水、渗滤液收集于25m</w:t>
            </w:r>
            <w:r>
              <w:rPr>
                <w:rFonts w:hint="default" w:ascii="Times New Roman" w:hAnsi="Times New Roman" w:cs="Times New Roman" w:eastAsiaTheme="minorEastAsia"/>
                <w:color w:val="auto"/>
                <w:sz w:val="24"/>
                <w:szCs w:val="24"/>
                <w:highlight w:val="none"/>
                <w:vertAlign w:val="superscript"/>
              </w:rPr>
              <w:t>3</w:t>
            </w:r>
            <w:r>
              <w:rPr>
                <w:rFonts w:hint="default" w:ascii="Times New Roman" w:hAnsi="Times New Roman" w:cs="Times New Roman" w:eastAsiaTheme="minorEastAsia"/>
                <w:color w:val="auto"/>
                <w:sz w:val="24"/>
                <w:szCs w:val="24"/>
                <w:highlight w:val="none"/>
              </w:rPr>
              <w:t>封闭式渗滤液收集池</w:t>
            </w:r>
            <w:r>
              <w:rPr>
                <w:rFonts w:hint="default" w:ascii="Times New Roman" w:hAnsi="Times New Roman" w:cs="Times New Roman" w:eastAsiaTheme="minorEastAsia"/>
                <w:color w:val="auto"/>
                <w:sz w:val="24"/>
                <w:szCs w:val="24"/>
                <w:highlight w:val="none"/>
                <w:lang w:val="en-US" w:eastAsia="zh-CN"/>
              </w:rPr>
              <w:t>和验室废水、软水制备、生产设备清洗废水一起依托现有污水处理站（900m</w:t>
            </w:r>
            <w:r>
              <w:rPr>
                <w:rFonts w:hint="default" w:ascii="Times New Roman" w:hAnsi="Times New Roman" w:cs="Times New Roman" w:eastAsiaTheme="minorEastAsia"/>
                <w:color w:val="auto"/>
                <w:sz w:val="24"/>
                <w:szCs w:val="24"/>
                <w:highlight w:val="none"/>
                <w:vertAlign w:val="superscript"/>
                <w:lang w:val="en-US" w:eastAsia="zh-CN"/>
              </w:rPr>
              <w:t>3</w:t>
            </w:r>
            <w:r>
              <w:rPr>
                <w:rFonts w:hint="default" w:ascii="Times New Roman" w:hAnsi="Times New Roman" w:cs="Times New Roman" w:eastAsiaTheme="minorEastAsia"/>
                <w:color w:val="auto"/>
                <w:sz w:val="24"/>
                <w:szCs w:val="24"/>
                <w:highlight w:val="none"/>
                <w:lang w:val="en-US" w:eastAsia="zh-CN"/>
              </w:rPr>
              <w:t>/d）处理。</w:t>
            </w:r>
          </w:p>
        </w:tc>
        <w:tc>
          <w:tcPr>
            <w:tcW w:w="1329" w:type="pct"/>
            <w:vAlign w:val="center"/>
          </w:tcPr>
          <w:p w14:paraId="5CF43687">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《污水综合排放标准》（GB 8978-1996）中三级标准</w:t>
            </w:r>
          </w:p>
        </w:tc>
      </w:tr>
      <w:tr w14:paraId="4036D8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Merge w:val="continue"/>
            <w:vAlign w:val="center"/>
          </w:tcPr>
          <w:p w14:paraId="10D9B9E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934" w:type="pct"/>
            <w:gridSpan w:val="3"/>
            <w:vAlign w:val="center"/>
          </w:tcPr>
          <w:p w14:paraId="661C507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初期雨水</w:t>
            </w:r>
          </w:p>
        </w:tc>
        <w:tc>
          <w:tcPr>
            <w:tcW w:w="690" w:type="pct"/>
            <w:vAlign w:val="center"/>
          </w:tcPr>
          <w:p w14:paraId="2325C43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SS、氨氮、COD</w:t>
            </w:r>
          </w:p>
        </w:tc>
        <w:tc>
          <w:tcPr>
            <w:tcW w:w="1346" w:type="pct"/>
            <w:vAlign w:val="center"/>
          </w:tcPr>
          <w:p w14:paraId="7C7850D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kern w:val="0"/>
                <w:sz w:val="24"/>
                <w:szCs w:val="24"/>
                <w:highlight w:val="none"/>
                <w:lang w:val="en-US" w:eastAsia="zh-CN"/>
              </w:rPr>
              <w:t>固体复合微生物肥生产区低洼处设置1个30m</w:t>
            </w:r>
            <w:r>
              <w:rPr>
                <w:rFonts w:hint="default" w:ascii="Times New Roman" w:hAnsi="Times New Roman" w:cs="Times New Roman" w:eastAsiaTheme="minorEastAsia"/>
                <w:color w:val="auto"/>
                <w:kern w:val="0"/>
                <w:sz w:val="24"/>
                <w:szCs w:val="24"/>
                <w:highlight w:val="none"/>
                <w:vertAlign w:val="superscript"/>
                <w:lang w:val="en-US" w:eastAsia="zh-CN"/>
              </w:rPr>
              <w:t>3</w:t>
            </w:r>
            <w:r>
              <w:rPr>
                <w:rFonts w:hint="default" w:ascii="Times New Roman" w:hAnsi="Times New Roman" w:cs="Times New Roman" w:eastAsiaTheme="minorEastAsia"/>
                <w:color w:val="auto"/>
                <w:kern w:val="0"/>
                <w:sz w:val="24"/>
                <w:szCs w:val="24"/>
                <w:highlight w:val="none"/>
                <w:vertAlign w:val="baseline"/>
                <w:lang w:val="en-US" w:eastAsia="zh-CN"/>
              </w:rPr>
              <w:t>的初期雨水收集池，初期雨水经收集池处理后回用于道路降尘。</w:t>
            </w:r>
          </w:p>
        </w:tc>
        <w:tc>
          <w:tcPr>
            <w:tcW w:w="1329" w:type="pct"/>
            <w:vAlign w:val="center"/>
          </w:tcPr>
          <w:p w14:paraId="43C06B30">
            <w:pPr>
              <w:keepNext w:val="0"/>
              <w:keepLines w:val="0"/>
              <w:pageBreakBefore w:val="0"/>
              <w:widowControl w:val="0"/>
              <w:kinsoku/>
              <w:wordWrap/>
              <w:overflowPunct/>
              <w:topLinePunct w:val="0"/>
              <w:autoSpaceDE/>
              <w:autoSpaceDN/>
              <w:bidi w:val="0"/>
              <w:snapToGrid w:val="0"/>
              <w:spacing w:line="360" w:lineRule="exact"/>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不外排</w:t>
            </w:r>
          </w:p>
        </w:tc>
      </w:tr>
      <w:tr w14:paraId="072D9E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14:paraId="3270095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声环境</w:t>
            </w:r>
          </w:p>
        </w:tc>
        <w:tc>
          <w:tcPr>
            <w:tcW w:w="934" w:type="pct"/>
            <w:gridSpan w:val="3"/>
            <w:vAlign w:val="center"/>
          </w:tcPr>
          <w:p w14:paraId="0F2439A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生产设备</w:t>
            </w:r>
          </w:p>
        </w:tc>
        <w:tc>
          <w:tcPr>
            <w:tcW w:w="690" w:type="pct"/>
            <w:vAlign w:val="center"/>
          </w:tcPr>
          <w:p w14:paraId="7BC3D78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设备噪声</w:t>
            </w:r>
          </w:p>
        </w:tc>
        <w:tc>
          <w:tcPr>
            <w:tcW w:w="1346" w:type="pct"/>
            <w:vAlign w:val="center"/>
          </w:tcPr>
          <w:p w14:paraId="7F4C64FE">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优先选用噪声低、振动小的设备，车间合理布局：加强生产设备的日常维护与保养，根据设备的自重及振动特性采用合适的减振和隔声措施。</w:t>
            </w:r>
          </w:p>
        </w:tc>
        <w:tc>
          <w:tcPr>
            <w:tcW w:w="1329" w:type="pct"/>
            <w:vAlign w:val="center"/>
          </w:tcPr>
          <w:p w14:paraId="179BF3E5">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《工业企业厂界环境噪声排放标准》（GB12348-2008）</w:t>
            </w:r>
          </w:p>
          <w:p w14:paraId="30CB6D52">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val="en-US" w:eastAsia="zh-CN"/>
              </w:rPr>
              <w:t>2</w:t>
            </w:r>
            <w:r>
              <w:rPr>
                <w:rFonts w:hint="default" w:ascii="Times New Roman" w:hAnsi="Times New Roman" w:cs="Times New Roman" w:eastAsiaTheme="minorEastAsia"/>
                <w:color w:val="auto"/>
                <w:sz w:val="24"/>
                <w:szCs w:val="24"/>
                <w:highlight w:val="none"/>
              </w:rPr>
              <w:t>类标准</w:t>
            </w:r>
          </w:p>
        </w:tc>
      </w:tr>
      <w:tr w14:paraId="7D3BD6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14:paraId="7C3231A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电磁辐射</w:t>
            </w:r>
          </w:p>
        </w:tc>
        <w:tc>
          <w:tcPr>
            <w:tcW w:w="934" w:type="pct"/>
            <w:gridSpan w:val="3"/>
            <w:vAlign w:val="center"/>
          </w:tcPr>
          <w:p w14:paraId="2CA6E3C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w:t>
            </w:r>
          </w:p>
        </w:tc>
        <w:tc>
          <w:tcPr>
            <w:tcW w:w="690" w:type="pct"/>
            <w:vAlign w:val="center"/>
          </w:tcPr>
          <w:p w14:paraId="197E021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w:t>
            </w:r>
          </w:p>
        </w:tc>
        <w:tc>
          <w:tcPr>
            <w:tcW w:w="1346" w:type="pct"/>
            <w:vAlign w:val="center"/>
          </w:tcPr>
          <w:p w14:paraId="1224202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w:t>
            </w:r>
          </w:p>
        </w:tc>
        <w:tc>
          <w:tcPr>
            <w:tcW w:w="1329" w:type="pct"/>
            <w:vAlign w:val="center"/>
          </w:tcPr>
          <w:p w14:paraId="0EF2373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w:t>
            </w:r>
          </w:p>
        </w:tc>
      </w:tr>
      <w:tr w14:paraId="7F7DC2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14:paraId="7BA8559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固体废物</w:t>
            </w:r>
          </w:p>
        </w:tc>
        <w:tc>
          <w:tcPr>
            <w:tcW w:w="4300" w:type="pct"/>
            <w:gridSpan w:val="6"/>
            <w:vAlign w:val="center"/>
          </w:tcPr>
          <w:p w14:paraId="625201BB">
            <w:pPr>
              <w:keepNext w:val="0"/>
              <w:keepLines w:val="0"/>
              <w:pageBreakBefore w:val="0"/>
              <w:widowControl w:val="0"/>
              <w:kinsoku/>
              <w:wordWrap/>
              <w:overflowPunct/>
              <w:topLinePunct w:val="0"/>
              <w:autoSpaceDE/>
              <w:autoSpaceDN/>
              <w:bidi w:val="0"/>
              <w:snapToGrid w:val="0"/>
              <w:spacing w:line="360" w:lineRule="exact"/>
              <w:jc w:val="left"/>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①不合格产品、布袋集尘及厂房降尘返回生产；</w:t>
            </w:r>
          </w:p>
          <w:p w14:paraId="2889F2DD">
            <w:pPr>
              <w:keepNext w:val="0"/>
              <w:keepLines w:val="0"/>
              <w:pageBreakBefore w:val="0"/>
              <w:widowControl w:val="0"/>
              <w:kinsoku/>
              <w:wordWrap/>
              <w:overflowPunct/>
              <w:topLinePunct w:val="0"/>
              <w:autoSpaceDE/>
              <w:autoSpaceDN/>
              <w:bidi w:val="0"/>
              <w:snapToGrid w:val="0"/>
              <w:spacing w:line="360" w:lineRule="exact"/>
              <w:jc w:val="left"/>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②废包装物外售废旧资源回收单位；</w:t>
            </w:r>
          </w:p>
          <w:p w14:paraId="0DA8A74E">
            <w:pPr>
              <w:keepNext w:val="0"/>
              <w:keepLines w:val="0"/>
              <w:pageBreakBefore w:val="0"/>
              <w:widowControl w:val="0"/>
              <w:kinsoku/>
              <w:wordWrap/>
              <w:overflowPunct/>
              <w:topLinePunct w:val="0"/>
              <w:autoSpaceDE/>
              <w:autoSpaceDN/>
              <w:bidi w:val="0"/>
              <w:snapToGrid w:val="0"/>
              <w:spacing w:line="360" w:lineRule="exact"/>
              <w:jc w:val="left"/>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1"/>
                <w:sz w:val="24"/>
                <w:szCs w:val="24"/>
                <w:highlight w:val="none"/>
              </w:rPr>
              <w:t>③</w:t>
            </w:r>
            <w:r>
              <w:rPr>
                <w:rFonts w:hint="default" w:ascii="Times New Roman" w:hAnsi="Times New Roman" w:cs="Times New Roman" w:eastAsiaTheme="minorEastAsia"/>
                <w:color w:val="auto"/>
                <w:kern w:val="1"/>
                <w:sz w:val="24"/>
                <w:szCs w:val="24"/>
                <w:highlight w:val="none"/>
                <w:lang w:val="en-US" w:eastAsia="zh-CN"/>
              </w:rPr>
              <w:t>废纳米膜和废布袋由厂家带走回收</w:t>
            </w:r>
            <w:r>
              <w:rPr>
                <w:rFonts w:hint="default" w:ascii="Times New Roman" w:hAnsi="Times New Roman" w:cs="Times New Roman" w:eastAsiaTheme="minorEastAsia"/>
                <w:color w:val="auto"/>
                <w:kern w:val="0"/>
                <w:sz w:val="24"/>
                <w:szCs w:val="24"/>
                <w:highlight w:val="none"/>
              </w:rPr>
              <w:t>。</w:t>
            </w:r>
          </w:p>
          <w:p w14:paraId="217B99F7">
            <w:pPr>
              <w:keepNext w:val="0"/>
              <w:keepLines w:val="0"/>
              <w:pageBreakBefore w:val="0"/>
              <w:widowControl w:val="0"/>
              <w:kinsoku/>
              <w:wordWrap/>
              <w:overflowPunct/>
              <w:topLinePunct w:val="0"/>
              <w:autoSpaceDE/>
              <w:autoSpaceDN/>
              <w:bidi w:val="0"/>
              <w:snapToGrid w:val="0"/>
              <w:spacing w:line="360" w:lineRule="exact"/>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rPr>
              <w:t>④</w:t>
            </w:r>
            <w:r>
              <w:rPr>
                <w:rFonts w:hint="default" w:ascii="Times New Roman" w:hAnsi="Times New Roman" w:cs="Times New Roman" w:eastAsiaTheme="minorEastAsia"/>
                <w:color w:val="auto"/>
                <w:sz w:val="24"/>
                <w:szCs w:val="24"/>
                <w:highlight w:val="none"/>
                <w:lang w:val="en-US" w:eastAsia="zh-CN"/>
              </w:rPr>
              <w:t>废培养基统一收集并用121℃高压蒸汽灭菌30min处理后，同生活垃圾一起处理：</w:t>
            </w:r>
          </w:p>
          <w:p w14:paraId="03E83D21">
            <w:pPr>
              <w:keepNext w:val="0"/>
              <w:keepLines w:val="0"/>
              <w:pageBreakBefore w:val="0"/>
              <w:widowControl w:val="0"/>
              <w:kinsoku/>
              <w:wordWrap/>
              <w:overflowPunct/>
              <w:topLinePunct w:val="0"/>
              <w:autoSpaceDE/>
              <w:autoSpaceDN/>
              <w:bidi w:val="0"/>
              <w:snapToGrid w:val="0"/>
              <w:spacing w:line="360" w:lineRule="exact"/>
              <w:jc w:val="left"/>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废机油危险废物</w:t>
            </w:r>
            <w:r>
              <w:rPr>
                <w:rFonts w:hint="default" w:ascii="Times New Roman" w:hAnsi="Times New Roman" w:cs="Times New Roman" w:eastAsiaTheme="minorEastAsia"/>
                <w:color w:val="auto"/>
                <w:sz w:val="24"/>
                <w:szCs w:val="24"/>
                <w:highlight w:val="none"/>
                <w:lang w:val="en-US" w:eastAsia="zh-CN"/>
              </w:rPr>
              <w:t>依托现有项目建设的6m</w:t>
            </w:r>
            <w:r>
              <w:rPr>
                <w:rFonts w:hint="default" w:ascii="Times New Roman" w:hAnsi="Times New Roman" w:cs="Times New Roman" w:eastAsiaTheme="minorEastAsia"/>
                <w:color w:val="auto"/>
                <w:sz w:val="24"/>
                <w:szCs w:val="24"/>
                <w:highlight w:val="none"/>
                <w:vertAlign w:val="superscript"/>
                <w:lang w:val="en-US" w:eastAsia="zh-CN"/>
              </w:rPr>
              <w:t>2</w:t>
            </w:r>
            <w:r>
              <w:rPr>
                <w:rFonts w:hint="default" w:ascii="Times New Roman" w:hAnsi="Times New Roman" w:cs="Times New Roman" w:eastAsiaTheme="minorEastAsia"/>
                <w:color w:val="auto"/>
                <w:sz w:val="24"/>
                <w:szCs w:val="24"/>
                <w:highlight w:val="none"/>
                <w:lang w:val="en-US" w:eastAsia="zh-CN"/>
              </w:rPr>
              <w:t>危废暂存间暂存，定期交由云南泽森环保科技有限公司进行处理。</w:t>
            </w:r>
          </w:p>
        </w:tc>
      </w:tr>
      <w:tr w14:paraId="40269A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14:paraId="168F121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生态保护措施</w:t>
            </w:r>
          </w:p>
        </w:tc>
        <w:tc>
          <w:tcPr>
            <w:tcW w:w="4300" w:type="pct"/>
            <w:gridSpan w:val="6"/>
            <w:vAlign w:val="center"/>
          </w:tcPr>
          <w:p w14:paraId="09B6AD6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w:t>
            </w:r>
          </w:p>
        </w:tc>
      </w:tr>
      <w:tr w14:paraId="6EAE67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14:paraId="23FE9A1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土壤、地下水</w:t>
            </w:r>
          </w:p>
        </w:tc>
        <w:tc>
          <w:tcPr>
            <w:tcW w:w="4300" w:type="pct"/>
            <w:gridSpan w:val="6"/>
            <w:vAlign w:val="center"/>
          </w:tcPr>
          <w:p w14:paraId="32877F82">
            <w:pPr>
              <w:keepNext w:val="0"/>
              <w:keepLines w:val="0"/>
              <w:pageBreakBefore w:val="0"/>
              <w:kinsoku/>
              <w:wordWrap/>
              <w:overflowPunct/>
              <w:topLinePunct w:val="0"/>
              <w:autoSpaceDE/>
              <w:autoSpaceDN/>
              <w:bidi w:val="0"/>
              <w:adjustRightInd/>
              <w:spacing w:line="360" w:lineRule="exact"/>
              <w:ind w:firstLine="482" w:firstLineChars="200"/>
              <w:textAlignment w:val="auto"/>
              <w:rPr>
                <w:rFonts w:hint="default" w:ascii="Times New Roman" w:hAnsi="Times New Roman" w:cs="Times New Roman" w:eastAsiaTheme="minorEastAsia"/>
                <w:b/>
                <w:color w:val="auto"/>
                <w:kern w:val="0"/>
                <w:sz w:val="24"/>
                <w:szCs w:val="24"/>
                <w:highlight w:val="none"/>
                <w:lang w:val="en-US"/>
              </w:rPr>
            </w:pPr>
            <w:r>
              <w:rPr>
                <w:rFonts w:hint="default" w:ascii="Times New Roman" w:hAnsi="Times New Roman" w:cs="Times New Roman" w:eastAsiaTheme="minorEastAsia"/>
                <w:b/>
                <w:color w:val="auto"/>
                <w:kern w:val="0"/>
                <w:sz w:val="24"/>
                <w:szCs w:val="24"/>
                <w:highlight w:val="none"/>
                <w:lang w:eastAsia="zh-CN"/>
              </w:rPr>
              <w:t>（</w:t>
            </w:r>
            <w:r>
              <w:rPr>
                <w:rFonts w:hint="default" w:ascii="Times New Roman" w:hAnsi="Times New Roman" w:cs="Times New Roman" w:eastAsiaTheme="minorEastAsia"/>
                <w:b/>
                <w:color w:val="auto"/>
                <w:kern w:val="0"/>
                <w:sz w:val="24"/>
                <w:szCs w:val="24"/>
                <w:highlight w:val="none"/>
                <w:lang w:val="en-US" w:eastAsia="zh-CN"/>
              </w:rPr>
              <w:t>1</w:t>
            </w:r>
            <w:r>
              <w:rPr>
                <w:rFonts w:hint="default" w:ascii="Times New Roman" w:hAnsi="Times New Roman" w:cs="Times New Roman" w:eastAsiaTheme="minorEastAsia"/>
                <w:b/>
                <w:color w:val="auto"/>
                <w:kern w:val="0"/>
                <w:sz w:val="24"/>
                <w:szCs w:val="24"/>
                <w:highlight w:val="none"/>
                <w:lang w:eastAsia="zh-CN"/>
              </w:rPr>
              <w:t>）</w:t>
            </w:r>
            <w:r>
              <w:rPr>
                <w:rFonts w:hint="default" w:ascii="Times New Roman" w:hAnsi="Times New Roman" w:cs="Times New Roman" w:eastAsiaTheme="minorEastAsia"/>
                <w:b/>
                <w:color w:val="auto"/>
                <w:kern w:val="0"/>
                <w:sz w:val="24"/>
                <w:szCs w:val="24"/>
                <w:highlight w:val="none"/>
                <w:lang w:val="en-US" w:eastAsia="zh-CN"/>
              </w:rPr>
              <w:t>源头控制</w:t>
            </w:r>
          </w:p>
          <w:p w14:paraId="264B2C15">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kern w:val="0"/>
                <w:sz w:val="24"/>
                <w:szCs w:val="24"/>
                <w:highlight w:val="none"/>
                <w:lang w:bidi="ar"/>
              </w:rPr>
              <w:t>①节约用水，减少废水产生量。</w:t>
            </w:r>
          </w:p>
          <w:p w14:paraId="61996B9E">
            <w:pPr>
              <w:keepNext w:val="0"/>
              <w:keepLines w:val="0"/>
              <w:pageBreakBefore w:val="0"/>
              <w:kinsoku/>
              <w:wordWrap/>
              <w:overflowPunct/>
              <w:topLinePunct w:val="0"/>
              <w:autoSpaceDE/>
              <w:autoSpaceDN/>
              <w:bidi w:val="0"/>
              <w:adjustRightInd/>
              <w:spacing w:line="360" w:lineRule="exact"/>
              <w:ind w:firstLine="480" w:firstLineChars="200"/>
              <w:textAlignment w:val="auto"/>
              <w:rPr>
                <w:rFonts w:hint="default" w:ascii="Times New Roman" w:hAnsi="Times New Roman" w:cs="Times New Roman" w:eastAsiaTheme="minorEastAsia"/>
                <w:bCs/>
                <w:color w:val="auto"/>
                <w:kern w:val="0"/>
                <w:sz w:val="24"/>
                <w:szCs w:val="24"/>
                <w:highlight w:val="none"/>
              </w:rPr>
            </w:pPr>
            <w:r>
              <w:rPr>
                <w:rFonts w:hint="default" w:ascii="Times New Roman" w:hAnsi="Times New Roman" w:cs="Times New Roman" w:eastAsiaTheme="minorEastAsia"/>
                <w:color w:val="auto"/>
                <w:kern w:val="0"/>
                <w:sz w:val="24"/>
                <w:szCs w:val="24"/>
                <w:highlight w:val="none"/>
                <w:lang w:bidi="ar"/>
              </w:rPr>
              <w:t>②</w:t>
            </w:r>
            <w:r>
              <w:rPr>
                <w:rFonts w:hint="default" w:ascii="Times New Roman" w:hAnsi="Times New Roman" w:cs="Times New Roman" w:eastAsiaTheme="minorEastAsia"/>
                <w:bCs/>
                <w:color w:val="auto"/>
                <w:kern w:val="0"/>
                <w:sz w:val="24"/>
                <w:szCs w:val="24"/>
                <w:highlight w:val="none"/>
              </w:rPr>
              <w:t>按照国家相关规范要求，对工艺、设备、原辅材料贮存区、产品储存等采取相应的措施，以防止和降低污染物的跑、冒、滴、漏，将污染物泄漏的环境风险事故降低到最低程度；废水管网敷设应采用“可视化”原则，尽可能架空或者管沟敷设，做到污染物“早发现、早处理”，以减少由于埋地管道泄漏而可能造成的地下水污染。</w:t>
            </w:r>
          </w:p>
          <w:p w14:paraId="6F069E66">
            <w:pPr>
              <w:keepNext w:val="0"/>
              <w:keepLines w:val="0"/>
              <w:pageBreakBefore w:val="0"/>
              <w:kinsoku/>
              <w:wordWrap/>
              <w:overflowPunct/>
              <w:topLinePunct w:val="0"/>
              <w:autoSpaceDE/>
              <w:autoSpaceDN/>
              <w:bidi w:val="0"/>
              <w:adjustRightInd/>
              <w:spacing w:line="360" w:lineRule="exact"/>
              <w:ind w:firstLine="480" w:firstLineChars="200"/>
              <w:textAlignment w:val="auto"/>
              <w:rPr>
                <w:rFonts w:hint="default" w:ascii="Times New Roman" w:hAnsi="Times New Roman" w:cs="Times New Roman" w:eastAsiaTheme="minorEastAsia"/>
                <w:b/>
                <w:color w:val="auto"/>
                <w:kern w:val="0"/>
                <w:sz w:val="24"/>
                <w:szCs w:val="24"/>
                <w:highlight w:val="none"/>
                <w:lang w:eastAsia="zh-CN"/>
              </w:rPr>
            </w:pPr>
            <w:r>
              <w:rPr>
                <w:rFonts w:hint="default" w:ascii="Times New Roman" w:hAnsi="Times New Roman" w:cs="Times New Roman" w:eastAsiaTheme="minorEastAsia"/>
                <w:color w:val="auto"/>
                <w:kern w:val="0"/>
                <w:sz w:val="24"/>
                <w:szCs w:val="24"/>
                <w:highlight w:val="none"/>
                <w:lang w:bidi="ar"/>
              </w:rPr>
              <w:t>③定期对污水处理设施的各个池子及处理构筑物、危险废物贮存库进行巡检、调节、保养、维修，及时发现可能引起事故的异常运行苗头，消除事故隐患，将污染物跑冒、滴漏降到最低限度。</w:t>
            </w:r>
          </w:p>
          <w:p w14:paraId="4F70C789">
            <w:pPr>
              <w:keepNext w:val="0"/>
              <w:keepLines w:val="0"/>
              <w:pageBreakBefore w:val="0"/>
              <w:kinsoku/>
              <w:wordWrap/>
              <w:overflowPunct/>
              <w:topLinePunct w:val="0"/>
              <w:autoSpaceDE/>
              <w:autoSpaceDN/>
              <w:bidi w:val="0"/>
              <w:adjustRightInd/>
              <w:spacing w:line="360" w:lineRule="exact"/>
              <w:ind w:firstLine="482" w:firstLineChars="200"/>
              <w:textAlignment w:val="auto"/>
              <w:rPr>
                <w:rFonts w:hint="default" w:ascii="Times New Roman" w:hAnsi="Times New Roman" w:cs="Times New Roman" w:eastAsiaTheme="minorEastAsia"/>
                <w:b/>
                <w:color w:val="auto"/>
                <w:kern w:val="0"/>
                <w:sz w:val="24"/>
                <w:szCs w:val="24"/>
                <w:highlight w:val="none"/>
                <w:lang w:val="en-US"/>
              </w:rPr>
            </w:pPr>
            <w:r>
              <w:rPr>
                <w:rFonts w:hint="default" w:ascii="Times New Roman" w:hAnsi="Times New Roman" w:cs="Times New Roman" w:eastAsiaTheme="minorEastAsia"/>
                <w:b/>
                <w:color w:val="auto"/>
                <w:kern w:val="0"/>
                <w:sz w:val="24"/>
                <w:szCs w:val="24"/>
                <w:highlight w:val="none"/>
                <w:lang w:eastAsia="zh-CN"/>
              </w:rPr>
              <w:t>（</w:t>
            </w:r>
            <w:r>
              <w:rPr>
                <w:rFonts w:hint="default" w:ascii="Times New Roman" w:hAnsi="Times New Roman" w:cs="Times New Roman" w:eastAsiaTheme="minorEastAsia"/>
                <w:b/>
                <w:color w:val="auto"/>
                <w:kern w:val="0"/>
                <w:sz w:val="24"/>
                <w:szCs w:val="24"/>
                <w:highlight w:val="none"/>
                <w:lang w:val="en-US" w:eastAsia="zh-CN"/>
              </w:rPr>
              <w:t>2</w:t>
            </w:r>
            <w:r>
              <w:rPr>
                <w:rFonts w:hint="default" w:ascii="Times New Roman" w:hAnsi="Times New Roman" w:cs="Times New Roman" w:eastAsiaTheme="minorEastAsia"/>
                <w:b/>
                <w:color w:val="auto"/>
                <w:kern w:val="0"/>
                <w:sz w:val="24"/>
                <w:szCs w:val="24"/>
                <w:highlight w:val="none"/>
                <w:lang w:eastAsia="zh-CN"/>
              </w:rPr>
              <w:t>）</w:t>
            </w:r>
            <w:r>
              <w:rPr>
                <w:rFonts w:hint="default" w:ascii="Times New Roman" w:hAnsi="Times New Roman" w:cs="Times New Roman" w:eastAsiaTheme="minorEastAsia"/>
                <w:b/>
                <w:color w:val="auto"/>
                <w:kern w:val="0"/>
                <w:sz w:val="24"/>
                <w:szCs w:val="24"/>
                <w:highlight w:val="none"/>
                <w:lang w:val="en-US" w:eastAsia="zh-CN"/>
              </w:rPr>
              <w:t>分区防渗</w:t>
            </w:r>
          </w:p>
          <w:p w14:paraId="07D64254">
            <w:pPr>
              <w:keepNext w:val="0"/>
              <w:keepLines w:val="0"/>
              <w:pageBreakBefore w:val="0"/>
              <w:kinsoku/>
              <w:wordWrap/>
              <w:overflowPunct/>
              <w:topLinePunct w:val="0"/>
              <w:autoSpaceDE/>
              <w:autoSpaceDN/>
              <w:bidi w:val="0"/>
              <w:adjustRightInd/>
              <w:spacing w:line="360" w:lineRule="exact"/>
              <w:ind w:firstLine="480" w:firstLineChars="200"/>
              <w:textAlignment w:val="auto"/>
              <w:rPr>
                <w:rFonts w:hint="default" w:ascii="Times New Roman" w:hAnsi="Times New Roman" w:cs="Times New Roman" w:eastAsiaTheme="minorEastAsia"/>
                <w:bCs/>
                <w:color w:val="auto"/>
                <w:kern w:val="0"/>
                <w:sz w:val="24"/>
                <w:szCs w:val="24"/>
                <w:highlight w:val="none"/>
              </w:rPr>
            </w:pPr>
            <w:r>
              <w:rPr>
                <w:rFonts w:hint="default" w:ascii="Times New Roman" w:hAnsi="Times New Roman" w:cs="Times New Roman" w:eastAsiaTheme="minorEastAsia"/>
                <w:bCs/>
                <w:color w:val="auto"/>
                <w:kern w:val="0"/>
                <w:sz w:val="24"/>
                <w:szCs w:val="24"/>
                <w:highlight w:val="none"/>
                <w:lang w:val="en-US" w:eastAsia="zh-CN"/>
              </w:rPr>
              <w:t>危废暂存间、渗滤液收集池采取</w:t>
            </w:r>
            <w:r>
              <w:rPr>
                <w:rFonts w:hint="default" w:ascii="Times New Roman" w:hAnsi="Times New Roman" w:cs="Times New Roman" w:eastAsiaTheme="minorEastAsia"/>
                <w:bCs/>
                <w:color w:val="auto"/>
                <w:kern w:val="0"/>
                <w:sz w:val="24"/>
                <w:szCs w:val="24"/>
                <w:highlight w:val="none"/>
              </w:rPr>
              <w:t>重点防渗区</w:t>
            </w:r>
            <w:r>
              <w:rPr>
                <w:rFonts w:hint="default" w:ascii="Times New Roman" w:hAnsi="Times New Roman" w:cs="Times New Roman" w:eastAsiaTheme="minorEastAsia"/>
                <w:bCs/>
                <w:color w:val="auto"/>
                <w:kern w:val="0"/>
                <w:sz w:val="24"/>
                <w:szCs w:val="24"/>
                <w:highlight w:val="none"/>
                <w:lang w:eastAsia="zh-CN"/>
              </w:rPr>
              <w:t>；</w:t>
            </w:r>
            <w:r>
              <w:rPr>
                <w:rFonts w:hint="default" w:ascii="Times New Roman" w:hAnsi="Times New Roman" w:cs="Times New Roman" w:eastAsiaTheme="minorEastAsia"/>
                <w:bCs/>
                <w:color w:val="auto"/>
                <w:kern w:val="0"/>
                <w:sz w:val="24"/>
                <w:szCs w:val="24"/>
                <w:highlight w:val="none"/>
              </w:rPr>
              <w:t>生产区，原辅料区</w:t>
            </w:r>
            <w:r>
              <w:rPr>
                <w:rFonts w:hint="default" w:ascii="Times New Roman" w:hAnsi="Times New Roman" w:cs="Times New Roman" w:eastAsiaTheme="minorEastAsia"/>
                <w:bCs/>
                <w:color w:val="auto"/>
                <w:kern w:val="0"/>
                <w:sz w:val="24"/>
                <w:szCs w:val="24"/>
                <w:highlight w:val="none"/>
                <w:lang w:eastAsia="zh-CN"/>
              </w:rPr>
              <w:t>、</w:t>
            </w:r>
            <w:r>
              <w:rPr>
                <w:rFonts w:hint="default" w:ascii="Times New Roman" w:hAnsi="Times New Roman" w:cs="Times New Roman" w:eastAsiaTheme="minorEastAsia"/>
                <w:bCs/>
                <w:color w:val="auto"/>
                <w:kern w:val="0"/>
                <w:sz w:val="24"/>
                <w:szCs w:val="24"/>
                <w:highlight w:val="none"/>
              </w:rPr>
              <w:t>实验室</w:t>
            </w:r>
            <w:r>
              <w:rPr>
                <w:rFonts w:hint="default" w:ascii="Times New Roman" w:hAnsi="Times New Roman" w:cs="Times New Roman" w:eastAsiaTheme="minorEastAsia"/>
                <w:bCs/>
                <w:color w:val="auto"/>
                <w:kern w:val="0"/>
                <w:sz w:val="24"/>
                <w:szCs w:val="24"/>
                <w:highlight w:val="none"/>
                <w:lang w:eastAsia="zh-CN"/>
              </w:rPr>
              <w:t>、</w:t>
            </w:r>
            <w:r>
              <w:rPr>
                <w:rFonts w:hint="default" w:ascii="Times New Roman" w:hAnsi="Times New Roman" w:cs="Times New Roman" w:eastAsiaTheme="minorEastAsia"/>
                <w:bCs/>
                <w:color w:val="auto"/>
                <w:kern w:val="0"/>
                <w:sz w:val="24"/>
                <w:szCs w:val="24"/>
                <w:highlight w:val="none"/>
                <w:lang w:val="en-US" w:eastAsia="zh-CN"/>
              </w:rPr>
              <w:t>一般固废暂存区采取一般防渗区；</w:t>
            </w:r>
            <w:r>
              <w:rPr>
                <w:rFonts w:hint="default" w:ascii="Times New Roman" w:hAnsi="Times New Roman" w:cs="Times New Roman" w:eastAsiaTheme="minorEastAsia"/>
                <w:bCs/>
                <w:color w:val="auto"/>
                <w:kern w:val="0"/>
                <w:sz w:val="24"/>
                <w:szCs w:val="24"/>
                <w:highlight w:val="none"/>
              </w:rPr>
              <w:t>办公室及其他区域</w:t>
            </w:r>
            <w:r>
              <w:rPr>
                <w:rFonts w:hint="default" w:ascii="Times New Roman" w:hAnsi="Times New Roman" w:cs="Times New Roman" w:eastAsiaTheme="minorEastAsia"/>
                <w:bCs/>
                <w:color w:val="auto"/>
                <w:kern w:val="0"/>
                <w:sz w:val="24"/>
                <w:szCs w:val="24"/>
                <w:highlight w:val="none"/>
                <w:lang w:val="en-US" w:eastAsia="zh-CN"/>
              </w:rPr>
              <w:t>采取</w:t>
            </w:r>
            <w:r>
              <w:rPr>
                <w:rFonts w:hint="default" w:ascii="Times New Roman" w:hAnsi="Times New Roman" w:cs="Times New Roman" w:eastAsiaTheme="minorEastAsia"/>
                <w:bCs/>
                <w:color w:val="auto"/>
                <w:kern w:val="0"/>
                <w:sz w:val="24"/>
                <w:szCs w:val="24"/>
                <w:highlight w:val="none"/>
              </w:rPr>
              <w:t>简单防渗</w:t>
            </w:r>
            <w:r>
              <w:rPr>
                <w:rFonts w:hint="default" w:ascii="Times New Roman" w:hAnsi="Times New Roman" w:cs="Times New Roman" w:eastAsiaTheme="minorEastAsia"/>
                <w:bCs/>
                <w:color w:val="auto"/>
                <w:kern w:val="0"/>
                <w:sz w:val="24"/>
                <w:szCs w:val="24"/>
                <w:highlight w:val="none"/>
                <w:lang w:val="en-US" w:eastAsia="zh-CN"/>
              </w:rPr>
              <w:t>区</w:t>
            </w:r>
            <w:r>
              <w:rPr>
                <w:rFonts w:hint="default" w:ascii="Times New Roman" w:hAnsi="Times New Roman" w:cs="Times New Roman" w:eastAsiaTheme="minorEastAsia"/>
                <w:bCs/>
                <w:color w:val="auto"/>
                <w:kern w:val="0"/>
                <w:sz w:val="24"/>
                <w:szCs w:val="24"/>
                <w:highlight w:val="none"/>
              </w:rPr>
              <w:t>。</w:t>
            </w:r>
          </w:p>
          <w:p w14:paraId="2FAD6AA2">
            <w:pPr>
              <w:keepNext w:val="0"/>
              <w:keepLines w:val="0"/>
              <w:pageBreakBefore w:val="0"/>
              <w:widowControl w:val="0"/>
              <w:kinsoku/>
              <w:wordWrap/>
              <w:overflowPunct/>
              <w:topLinePunct w:val="0"/>
              <w:autoSpaceDE/>
              <w:autoSpaceDN/>
              <w:bidi w:val="0"/>
              <w:adjustRightInd/>
              <w:snapToGrid/>
              <w:spacing w:line="360" w:lineRule="exact"/>
              <w:ind w:left="420" w:leftChars="200"/>
              <w:textAlignment w:val="auto"/>
              <w:rPr>
                <w:rFonts w:hint="default" w:ascii="Times New Roman" w:hAnsi="Times New Roman" w:cs="Times New Roman" w:eastAsiaTheme="minorEastAsia"/>
                <w:b/>
                <w:color w:val="auto"/>
                <w:kern w:val="0"/>
                <w:sz w:val="24"/>
                <w:szCs w:val="24"/>
                <w:highlight w:val="none"/>
              </w:rPr>
            </w:pPr>
            <w:r>
              <w:rPr>
                <w:rFonts w:hint="default" w:ascii="Times New Roman" w:hAnsi="Times New Roman" w:cs="Times New Roman" w:eastAsiaTheme="minorEastAsia"/>
                <w:b/>
                <w:color w:val="auto"/>
                <w:kern w:val="0"/>
                <w:sz w:val="24"/>
                <w:szCs w:val="24"/>
                <w:highlight w:val="none"/>
                <w:lang w:eastAsia="zh-CN"/>
              </w:rPr>
              <w:t>（</w:t>
            </w:r>
            <w:r>
              <w:rPr>
                <w:rFonts w:hint="default" w:ascii="Times New Roman" w:hAnsi="Times New Roman" w:cs="Times New Roman" w:eastAsiaTheme="minorEastAsia"/>
                <w:b/>
                <w:color w:val="auto"/>
                <w:kern w:val="0"/>
                <w:sz w:val="24"/>
                <w:szCs w:val="24"/>
                <w:highlight w:val="none"/>
                <w:lang w:val="en-US" w:eastAsia="zh-CN"/>
              </w:rPr>
              <w:t>3</w:t>
            </w:r>
            <w:r>
              <w:rPr>
                <w:rFonts w:hint="default" w:ascii="Times New Roman" w:hAnsi="Times New Roman" w:cs="Times New Roman" w:eastAsiaTheme="minorEastAsia"/>
                <w:b/>
                <w:color w:val="auto"/>
                <w:kern w:val="0"/>
                <w:sz w:val="24"/>
                <w:szCs w:val="24"/>
                <w:highlight w:val="none"/>
                <w:lang w:eastAsia="zh-CN"/>
              </w:rPr>
              <w:t>）</w:t>
            </w:r>
            <w:r>
              <w:rPr>
                <w:rFonts w:hint="default" w:ascii="Times New Roman" w:hAnsi="Times New Roman" w:cs="Times New Roman" w:eastAsiaTheme="minorEastAsia"/>
                <w:b/>
                <w:color w:val="auto"/>
                <w:kern w:val="0"/>
                <w:sz w:val="24"/>
                <w:szCs w:val="24"/>
                <w:highlight w:val="none"/>
              </w:rPr>
              <w:t>其他措施</w:t>
            </w:r>
          </w:p>
          <w:p w14:paraId="1FD7DB6F">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①原料库区、成品库区设置托板，采用高密度聚乙烯或聚丙烯材质，防止原料、产品直接接触地面；</w:t>
            </w:r>
          </w:p>
          <w:p w14:paraId="41A1E9F9">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②原料、产品堆存位置避开窗户下方、出入口附近等区域，降低雨淋、受潮风险。</w:t>
            </w:r>
          </w:p>
          <w:p w14:paraId="699BD72E">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③提高原料、产品周转次数，减少在项目区内的存在量；</w:t>
            </w:r>
          </w:p>
          <w:p w14:paraId="163537F8">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④保持生产区域地面干爽，地面清洁采用笤帚、吸尘器进行干式清洁，禁止采用冲洗等方式。</w:t>
            </w:r>
          </w:p>
          <w:p w14:paraId="317ECD6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default" w:ascii="Times New Roman" w:hAnsi="Times New Roman" w:cs="Times New Roman" w:eastAsiaTheme="minorEastAsia"/>
                <w:color w:val="auto"/>
                <w:kern w:val="0"/>
                <w:sz w:val="24"/>
                <w:szCs w:val="24"/>
                <w:highlight w:val="none"/>
                <w:lang w:bidi="ar"/>
              </w:rPr>
            </w:pPr>
            <w:r>
              <w:rPr>
                <w:rFonts w:hint="default" w:ascii="Times New Roman" w:hAnsi="Times New Roman" w:cs="Times New Roman" w:eastAsiaTheme="minorEastAsia"/>
                <w:color w:val="auto"/>
                <w:sz w:val="24"/>
                <w:szCs w:val="24"/>
                <w:highlight w:val="none"/>
              </w:rPr>
              <w:t>⑤生产区域目前已采取硬化措施，生产过程中发生地面硬化破损情况时，及时采取修复。</w:t>
            </w:r>
          </w:p>
        </w:tc>
      </w:tr>
      <w:tr w14:paraId="401385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14:paraId="33D465E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pacing w:val="-8"/>
                <w:sz w:val="24"/>
                <w:szCs w:val="24"/>
                <w:highlight w:val="none"/>
              </w:rPr>
            </w:pPr>
            <w:r>
              <w:rPr>
                <w:rFonts w:hint="default" w:ascii="Times New Roman" w:hAnsi="Times New Roman" w:cs="Times New Roman" w:eastAsiaTheme="minorEastAsia"/>
                <w:color w:val="auto"/>
                <w:spacing w:val="-8"/>
                <w:sz w:val="24"/>
                <w:szCs w:val="24"/>
                <w:highlight w:val="none"/>
              </w:rPr>
              <w:t>环境风险防范措施</w:t>
            </w:r>
          </w:p>
        </w:tc>
        <w:tc>
          <w:tcPr>
            <w:tcW w:w="4300" w:type="pct"/>
            <w:gridSpan w:val="6"/>
            <w:vAlign w:val="center"/>
          </w:tcPr>
          <w:p w14:paraId="1DBAC60E">
            <w:pPr>
              <w:keepNext w:val="0"/>
              <w:keepLines w:val="0"/>
              <w:pageBreakBefore w:val="0"/>
              <w:widowControl w:val="0"/>
              <w:kinsoku/>
              <w:wordWrap/>
              <w:overflowPunct/>
              <w:topLinePunct w:val="0"/>
              <w:autoSpaceDE/>
              <w:autoSpaceDN/>
              <w:bidi w:val="0"/>
              <w:adjustRightInd w:val="0"/>
              <w:snapToGrid w:val="0"/>
              <w:spacing w:line="360" w:lineRule="exact"/>
              <w:ind w:firstLine="482" w:firstLineChars="200"/>
              <w:textAlignment w:val="auto"/>
              <w:rPr>
                <w:rFonts w:hint="default" w:ascii="Times New Roman" w:hAnsi="Times New Roman" w:cs="Times New Roman" w:eastAsiaTheme="minorEastAsia"/>
                <w:b/>
                <w:color w:val="auto"/>
                <w:sz w:val="24"/>
                <w:szCs w:val="24"/>
                <w:highlight w:val="none"/>
              </w:rPr>
            </w:pPr>
            <w:r>
              <w:rPr>
                <w:rFonts w:hint="default" w:ascii="Times New Roman" w:hAnsi="Times New Roman" w:cs="Times New Roman" w:eastAsiaTheme="minorEastAsia"/>
                <w:b/>
                <w:color w:val="auto"/>
                <w:sz w:val="24"/>
                <w:szCs w:val="24"/>
                <w:highlight w:val="none"/>
              </w:rPr>
              <w:t>1）环保设施和生产设施防范措施</w:t>
            </w:r>
          </w:p>
          <w:p w14:paraId="235F518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①项目废气处理装置由专业厂家进行设计和安装，采用较为坚固的材料制成，防止因设备损坏导致废气污染物排放事故，将污染物泄漏的环境风险事故降至最低。</w:t>
            </w:r>
          </w:p>
          <w:p w14:paraId="2538D109">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②定期检查废气处理装置是否堵塞，如被堵应及时维护。</w:t>
            </w:r>
          </w:p>
          <w:p w14:paraId="6CA320F8">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③定期检查废水处理装置是否发生破损，如发生破损应及时维修。</w:t>
            </w:r>
          </w:p>
          <w:p w14:paraId="55539616">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④运营过程中应加强巡检，及时处理污染物跑、冒、滴、漏，同时应加强对管道工程的检查，若发现管道老化或损坏，应及时维修更换。</w:t>
            </w:r>
          </w:p>
          <w:p w14:paraId="2C8E9EA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⑤一旦发现废气处理装置故障，暂停生产，排查故障并解决后方能恢复生产。</w:t>
            </w:r>
          </w:p>
          <w:p w14:paraId="43FB60C3">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⑥废水处理池修建过程中选用合格的建材，并且满足一般防渗区的防渗要求。</w:t>
            </w:r>
          </w:p>
          <w:p w14:paraId="5C3785DE">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lang w:eastAsia="zh-CN"/>
              </w:rPr>
            </w:pPr>
            <w:r>
              <w:rPr>
                <w:rFonts w:hint="default" w:ascii="Times New Roman" w:hAnsi="Times New Roman" w:cs="Times New Roman" w:eastAsiaTheme="minorEastAsia"/>
                <w:color w:val="auto"/>
                <w:sz w:val="24"/>
                <w:szCs w:val="24"/>
                <w:highlight w:val="none"/>
              </w:rPr>
              <w:t>⑦加强员工的岗前培训，强化安全意识，制定操作规程</w:t>
            </w:r>
            <w:r>
              <w:rPr>
                <w:rFonts w:hint="default" w:ascii="Times New Roman" w:hAnsi="Times New Roman" w:cs="Times New Roman" w:eastAsiaTheme="minorEastAsia"/>
                <w:color w:val="auto"/>
                <w:sz w:val="24"/>
                <w:szCs w:val="24"/>
                <w:highlight w:val="none"/>
                <w:lang w:eastAsia="zh-CN"/>
              </w:rPr>
              <w:t>。</w:t>
            </w:r>
          </w:p>
          <w:p w14:paraId="552824B0">
            <w:pPr>
              <w:keepNext w:val="0"/>
              <w:keepLines w:val="0"/>
              <w:pageBreakBefore w:val="0"/>
              <w:widowControl w:val="0"/>
              <w:kinsoku/>
              <w:wordWrap/>
              <w:overflowPunct/>
              <w:topLinePunct w:val="0"/>
              <w:autoSpaceDE/>
              <w:autoSpaceDN/>
              <w:bidi w:val="0"/>
              <w:adjustRightInd w:val="0"/>
              <w:snapToGrid w:val="0"/>
              <w:spacing w:line="360" w:lineRule="exact"/>
              <w:ind w:firstLine="482" w:firstLineChars="200"/>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2）泄露风险防范措施</w:t>
            </w:r>
          </w:p>
          <w:p w14:paraId="6020AA80">
            <w:pPr>
              <w:keepNext w:val="0"/>
              <w:keepLines w:val="0"/>
              <w:pageBreakBefore w:val="0"/>
              <w:widowControl w:val="0"/>
              <w:tabs>
                <w:tab w:val="left" w:pos="305"/>
              </w:tabs>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①硫酸铵泄漏风险防范措施</w:t>
            </w:r>
          </w:p>
          <w:p w14:paraId="7230B9B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A、制定严格的消防安全管理制度，安全生产责任制及安全奖惩制度，并组织专门人员进行监督、落实。</w:t>
            </w:r>
          </w:p>
          <w:p w14:paraId="29CE53E5">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B、硫酸铵等物料避免与酸类、碱类接触。搬运时要轻装轻卸，防止包装及容器损坏。配备泄漏应急处理设备。倒空的容器可能残留有害物。储存于阴凉、通风的库房。远离火种、热源。应与酸类、碱类分开存放，切忌混储。储区应备有合适的材料收容泄漏物。</w:t>
            </w:r>
          </w:p>
          <w:p w14:paraId="00733FD3">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C、购买原料时务必检查好原料包装袋的完整性，如有发现破损须立即处理避免物料泄漏</w:t>
            </w:r>
          </w:p>
          <w:p w14:paraId="49051F33">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D、原料储存区应与容易产生火源点的生产单相分隔，同时日常生产运行期间，</w:t>
            </w:r>
          </w:p>
          <w:p w14:paraId="4913BB46">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E、厂内生产区应严禁携带各种火种物品，切断一切火灾诱发源头。</w:t>
            </w:r>
          </w:p>
          <w:p w14:paraId="63F098B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F、发生泄漏时，隔离泄漏污染区，限制出入。建议应急处理人员戴防尘面具(全面罩)，穿防毒服。用洁净的铲子收集于干燥、洁净、有盖的容器中，转移至安全场所。若大量泄漏，收集回收或运至废物处理场所处置。</w:t>
            </w:r>
          </w:p>
          <w:p w14:paraId="545B113D">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 xml:space="preserve">G、加强对生产车间监督管理，通过专人定时巡查、安装视频监控系统、每天上下班检查设备等方式，遏制可能发生的突发环境事故隐患。 </w:t>
            </w:r>
          </w:p>
          <w:p w14:paraId="24B1F6DE">
            <w:pPr>
              <w:keepNext w:val="0"/>
              <w:keepLines w:val="0"/>
              <w:pageBreakBefore w:val="0"/>
              <w:widowControl w:val="0"/>
              <w:tabs>
                <w:tab w:val="left" w:pos="305"/>
              </w:tabs>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②</w:t>
            </w:r>
            <w:r>
              <w:rPr>
                <w:rFonts w:hint="default" w:ascii="Times New Roman" w:hAnsi="Times New Roman" w:cs="Times New Roman" w:eastAsiaTheme="minorEastAsia"/>
                <w:color w:val="auto"/>
                <w:sz w:val="24"/>
                <w:szCs w:val="24"/>
                <w:highlight w:val="none"/>
                <w:lang w:val="en-US" w:eastAsia="zh-CN"/>
              </w:rPr>
              <w:t>冰醋酸</w:t>
            </w:r>
            <w:r>
              <w:rPr>
                <w:rFonts w:hint="default" w:ascii="Times New Roman" w:hAnsi="Times New Roman" w:cs="Times New Roman" w:eastAsiaTheme="minorEastAsia"/>
                <w:color w:val="auto"/>
                <w:sz w:val="24"/>
                <w:szCs w:val="24"/>
                <w:highlight w:val="none"/>
              </w:rPr>
              <w:t>泄漏风险防范措施</w:t>
            </w:r>
          </w:p>
          <w:p w14:paraId="3F93580B">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A、制定严格的消防安全管理制度，安全生产责任制及安全奖惩制度，并组织专门人员进行监督、落实。</w:t>
            </w:r>
          </w:p>
          <w:p w14:paraId="7B7FBCB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B、</w:t>
            </w:r>
            <w:r>
              <w:rPr>
                <w:rFonts w:hint="default" w:ascii="Times New Roman" w:hAnsi="Times New Roman" w:cs="Times New Roman" w:eastAsiaTheme="minorEastAsia"/>
                <w:color w:val="auto"/>
                <w:sz w:val="24"/>
                <w:szCs w:val="24"/>
                <w:highlight w:val="none"/>
                <w:lang w:val="en-US" w:eastAsia="zh-CN"/>
              </w:rPr>
              <w:t>冰醋酸</w:t>
            </w:r>
            <w:r>
              <w:rPr>
                <w:rFonts w:hint="default" w:ascii="Times New Roman" w:hAnsi="Times New Roman" w:cs="Times New Roman" w:eastAsiaTheme="minorEastAsia"/>
                <w:color w:val="auto"/>
                <w:sz w:val="24"/>
                <w:szCs w:val="24"/>
                <w:highlight w:val="none"/>
              </w:rPr>
              <w:t>等物料避免与</w:t>
            </w:r>
            <w:r>
              <w:rPr>
                <w:rFonts w:hint="default" w:ascii="Times New Roman" w:hAnsi="Times New Roman" w:cs="Times New Roman" w:eastAsiaTheme="minorEastAsia"/>
                <w:color w:val="auto"/>
                <w:sz w:val="24"/>
                <w:szCs w:val="24"/>
                <w:highlight w:val="none"/>
                <w:lang w:val="en-US" w:eastAsia="zh-CN"/>
              </w:rPr>
              <w:t>硫酸铵直接</w:t>
            </w:r>
            <w:r>
              <w:rPr>
                <w:rFonts w:hint="default" w:ascii="Times New Roman" w:hAnsi="Times New Roman" w:cs="Times New Roman" w:eastAsiaTheme="minorEastAsia"/>
                <w:color w:val="auto"/>
                <w:sz w:val="24"/>
                <w:szCs w:val="24"/>
                <w:highlight w:val="none"/>
              </w:rPr>
              <w:t>接触。搬运时要轻装轻卸，防止包装及容器损坏。配备泄漏应急处理设备。倒空的容器可能残留有害物。储存于阴凉、通风的库房。远离火种、热源。应与酸类、碱类分开存放，切忌混储。储区应备有合适的材料收容泄漏物。</w:t>
            </w:r>
          </w:p>
          <w:p w14:paraId="33984E2A">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C、购买原料时务必检查好原料包装袋的完整性，如有发现破损须立即处理避免物料泄漏</w:t>
            </w:r>
          </w:p>
          <w:p w14:paraId="482FD4BC">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D、原料储存区应与容易产生火源点的生产单相分隔，同时日常生产运行期间，</w:t>
            </w:r>
          </w:p>
          <w:p w14:paraId="375017F5">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E、厂内生产区应严禁携带各种火种物品，切断一切火灾诱发源头。</w:t>
            </w:r>
          </w:p>
          <w:p w14:paraId="197401E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F、发生泄漏时，隔离泄漏污染区，限制出入。</w:t>
            </w:r>
          </w:p>
          <w:p w14:paraId="630186D7">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 xml:space="preserve">G、加强对生产车间监督管理，通过专人定时巡查、安装视频监控系统、每天上下班检查设备等方式，遏制可能发生的突发环境事故隐患。 </w:t>
            </w:r>
          </w:p>
          <w:p w14:paraId="16473407">
            <w:pPr>
              <w:keepNext w:val="0"/>
              <w:keepLines w:val="0"/>
              <w:pageBreakBefore w:val="0"/>
              <w:widowControl w:val="0"/>
              <w:kinsoku/>
              <w:wordWrap/>
              <w:overflowPunct/>
              <w:topLinePunct w:val="0"/>
              <w:autoSpaceDE/>
              <w:autoSpaceDN/>
              <w:bidi w:val="0"/>
              <w:adjustRightInd w:val="0"/>
              <w:snapToGrid w:val="0"/>
              <w:spacing w:line="360" w:lineRule="exact"/>
              <w:ind w:firstLine="482" w:firstLineChars="200"/>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lang w:val="en-US" w:eastAsia="zh-CN"/>
              </w:rPr>
              <w:t>3）</w:t>
            </w:r>
            <w:r>
              <w:rPr>
                <w:rFonts w:hint="default" w:ascii="Times New Roman" w:hAnsi="Times New Roman" w:cs="Times New Roman" w:eastAsiaTheme="minorEastAsia"/>
                <w:b/>
                <w:bCs/>
                <w:color w:val="auto"/>
                <w:sz w:val="24"/>
                <w:szCs w:val="24"/>
                <w:highlight w:val="none"/>
              </w:rPr>
              <w:t>其他风险防范措施</w:t>
            </w:r>
          </w:p>
          <w:p w14:paraId="68D7574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①远离火种、热源。</w:t>
            </w:r>
          </w:p>
          <w:p w14:paraId="506FB20B">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②储存区应备有泄漏应急处理设备和合适的收容材料。</w:t>
            </w:r>
          </w:p>
          <w:p w14:paraId="76A4E88A">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③贴有安全事故告知标识、区域安全提示牌、“禁止烟火”、“职业病危害告知”等制度及标识。</w:t>
            </w:r>
          </w:p>
          <w:p w14:paraId="2C37A14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④加强生产设备、环保设备运行管理，厂区各设施及生产、危废存储区均按照相关标准及规范设置。从物品存储、运输等全过程控制产品泄漏，采取行之有效的防渗措施，定期检查，及时消除污染隐患，杜绝跑冒滴漏现象：发现有污染物泄漏或渗漏，及时清理污染物和修补漏洞等补救措施。废气处理设备和生产设备同步投入运行，废气处理设备发生故障时，企业采取停止生产的措施。</w:t>
            </w:r>
          </w:p>
          <w:p w14:paraId="184E4E5C">
            <w:pPr>
              <w:keepNext w:val="0"/>
              <w:keepLines w:val="0"/>
              <w:pageBreakBefore w:val="0"/>
              <w:widowControl w:val="0"/>
              <w:kinsoku/>
              <w:wordWrap/>
              <w:overflowPunct/>
              <w:topLinePunct w:val="0"/>
              <w:autoSpaceDE/>
              <w:autoSpaceDN/>
              <w:bidi w:val="0"/>
              <w:adjustRightInd w:val="0"/>
              <w:snapToGrid w:val="0"/>
              <w:spacing w:line="360" w:lineRule="exact"/>
              <w:ind w:firstLine="482" w:firstLineChars="200"/>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w:t>
            </w:r>
            <w:r>
              <w:rPr>
                <w:rFonts w:hint="default" w:ascii="Times New Roman" w:hAnsi="Times New Roman" w:cs="Times New Roman" w:eastAsiaTheme="minorEastAsia"/>
                <w:b/>
                <w:bCs/>
                <w:color w:val="auto"/>
                <w:sz w:val="24"/>
                <w:szCs w:val="24"/>
                <w:highlight w:val="none"/>
                <w:lang w:val="en-US" w:eastAsia="zh-CN"/>
              </w:rPr>
              <w:t>5</w:t>
            </w:r>
            <w:r>
              <w:rPr>
                <w:rFonts w:hint="default" w:ascii="Times New Roman" w:hAnsi="Times New Roman" w:cs="Times New Roman" w:eastAsiaTheme="minorEastAsia"/>
                <w:b/>
                <w:bCs/>
                <w:color w:val="auto"/>
                <w:sz w:val="24"/>
                <w:szCs w:val="24"/>
                <w:highlight w:val="none"/>
              </w:rPr>
              <w:t>）应急要求</w:t>
            </w:r>
          </w:p>
          <w:p w14:paraId="63A0A03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1）按照相关要求企业应该编制环境风险事故应急预案，本着立足“自救为主，外援为辅，统一指挥，当机立断”原则，制定防止重大环境污染事故发生的工作计划、消除事故隐患的措施及突发性事故应急处理办法等。</w:t>
            </w:r>
          </w:p>
          <w:p w14:paraId="35F0774B">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2）一旦出现突发事故，必须按事先拟定的应急预案，进行紧急处理。它包括应急状态分类、应急计划区、事故等级水平、应急防护和应急医学处理等。运行人员在巡视设备中，发现导热油炉发生泄露，及时汇报和通知公司人员进行抢修。并设好围挡、悬挂标示牌，疏散现场财物，并向主管生产的部门汇报；</w:t>
            </w:r>
          </w:p>
          <w:p w14:paraId="79906C4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3）发生物料泄露，不得有明火靠近，并严格按照消防管理制度执行；企业应指定专人负责抢修现场指挥，及时组织抢修人员进行查漏、堵漏，严防事故有外漏而造成的环境污染。</w:t>
            </w:r>
          </w:p>
          <w:p w14:paraId="5ACCCAE5">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4）发生泄漏、火灾事故，事故应急方案及时启动，可有效防止事故蔓延；发现锅炉废气排气异常，及时停止锅炉运行，避免废气污染物继续产生，及时组织抢修人员进行维修，检修完成前，不得继续运行。</w:t>
            </w:r>
          </w:p>
          <w:p w14:paraId="3F22CB0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cs="Times New Roman" w:eastAsiaTheme="minorEastAsia"/>
                <w:bCs/>
                <w:color w:val="auto"/>
                <w:kern w:val="0"/>
                <w:sz w:val="24"/>
                <w:szCs w:val="24"/>
                <w:highlight w:val="none"/>
              </w:rPr>
            </w:pPr>
            <w:r>
              <w:rPr>
                <w:rFonts w:hint="default" w:ascii="Times New Roman" w:hAnsi="Times New Roman" w:cs="Times New Roman" w:eastAsiaTheme="minorEastAsia"/>
                <w:color w:val="auto"/>
                <w:sz w:val="24"/>
                <w:szCs w:val="24"/>
                <w:highlight w:val="none"/>
              </w:rPr>
              <w:t>5）为有效应对突发环境事件，提高应对突发环境事件的能力，将突发环境事件对人员、财产和环境造成的损失降至最小程度、最大限度地保障人民群众的生命财产安全及环境安全，维护社会稳定，促进企业全面、协调、持续发展。建设单位应及时结合本项目新增风险物质对现有项目编制的《云南錦创环境科技有限公司突发环境事件应急预案》</w:t>
            </w:r>
            <w:r>
              <w:rPr>
                <w:rFonts w:hint="default" w:ascii="Times New Roman" w:hAnsi="Times New Roman" w:cs="Times New Roman" w:eastAsiaTheme="minorEastAsia"/>
                <w:color w:val="auto"/>
                <w:sz w:val="24"/>
                <w:szCs w:val="24"/>
                <w:highlight w:val="none"/>
                <w:lang w:val="en-US" w:eastAsia="zh-CN"/>
              </w:rPr>
              <w:t>进行修编，</w:t>
            </w:r>
            <w:r>
              <w:rPr>
                <w:rFonts w:hint="default" w:ascii="Times New Roman" w:hAnsi="Times New Roman" w:cs="Times New Roman" w:eastAsiaTheme="minorEastAsia"/>
                <w:color w:val="auto"/>
                <w:sz w:val="24"/>
                <w:szCs w:val="24"/>
                <w:highlight w:val="none"/>
              </w:rPr>
              <w:t>并上报当地环保部门备案。</w:t>
            </w:r>
          </w:p>
        </w:tc>
      </w:tr>
      <w:tr w14:paraId="4E5949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14:paraId="4801E29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spacing w:val="-8"/>
                <w:sz w:val="24"/>
                <w:szCs w:val="24"/>
                <w:highlight w:val="none"/>
              </w:rPr>
            </w:pPr>
            <w:r>
              <w:rPr>
                <w:rFonts w:hint="default" w:ascii="Times New Roman" w:hAnsi="Times New Roman" w:cs="Times New Roman" w:eastAsiaTheme="minorEastAsia"/>
                <w:color w:val="auto"/>
                <w:spacing w:val="-8"/>
                <w:sz w:val="24"/>
                <w:szCs w:val="24"/>
                <w:highlight w:val="none"/>
              </w:rPr>
              <w:t>其他环境管理要求</w:t>
            </w:r>
          </w:p>
        </w:tc>
        <w:tc>
          <w:tcPr>
            <w:tcW w:w="4300" w:type="pct"/>
            <w:gridSpan w:val="6"/>
            <w:vAlign w:val="center"/>
          </w:tcPr>
          <w:p w14:paraId="0B5EAD2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①项目在建设和运营中应认真执行国家、地方环境保护的有关规定和要求。按照当地环保部门的要求及时反映发生的环保问题，随时接受各级环保部门的检查监督；</w:t>
            </w:r>
          </w:p>
          <w:p w14:paraId="4A24582D">
            <w:pPr>
              <w:keepNext w:val="0"/>
              <w:keepLines w:val="0"/>
              <w:pageBreakBefore w:val="0"/>
              <w:widowControl w:val="0"/>
              <w:kinsoku/>
              <w:wordWrap/>
              <w:overflowPunct/>
              <w:topLinePunct w:val="0"/>
              <w:autoSpaceDE/>
              <w:autoSpaceDN/>
              <w:bidi w:val="0"/>
              <w:snapToGrid w:val="0"/>
              <w:spacing w:line="360" w:lineRule="exact"/>
              <w:ind w:firstLine="480" w:firstLineChars="200"/>
              <w:jc w:val="left"/>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②建设单位以后如需增加本报告表所涉及之外的污染源或对其功能进行改变，则应按要求向有关环保部门进行申报，并按污染控制目标采取相应的污染治理措施；</w:t>
            </w:r>
          </w:p>
          <w:p w14:paraId="6F578EFC">
            <w:pPr>
              <w:keepNext w:val="0"/>
              <w:keepLines w:val="0"/>
              <w:pageBreakBefore w:val="0"/>
              <w:widowControl w:val="0"/>
              <w:kinsoku/>
              <w:wordWrap/>
              <w:overflowPunct/>
              <w:topLinePunct w:val="0"/>
              <w:autoSpaceDE/>
              <w:autoSpaceDN/>
              <w:bidi w:val="0"/>
              <w:snapToGrid w:val="0"/>
              <w:spacing w:line="360" w:lineRule="exact"/>
              <w:ind w:firstLine="480" w:firstLineChars="200"/>
              <w:jc w:val="left"/>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③项目运行前按照相关排污许可证申请与核发技术规范申请办理排污许可手续；</w:t>
            </w:r>
          </w:p>
          <w:p w14:paraId="0D15552F">
            <w:pPr>
              <w:keepNext w:val="0"/>
              <w:keepLines w:val="0"/>
              <w:pageBreakBefore w:val="0"/>
              <w:widowControl w:val="0"/>
              <w:kinsoku/>
              <w:wordWrap/>
              <w:overflowPunct/>
              <w:topLinePunct w:val="0"/>
              <w:autoSpaceDE/>
              <w:autoSpaceDN/>
              <w:bidi w:val="0"/>
              <w:snapToGrid w:val="0"/>
              <w:spacing w:line="360" w:lineRule="exact"/>
              <w:ind w:firstLine="480" w:firstLineChars="200"/>
              <w:jc w:val="left"/>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④项目投入运行且环保设施运行稳定后需尽快开展竣工环境保护验收工作，应严格按照本监督检查清单中的各项内容进行竣工环境保护验收；</w:t>
            </w:r>
          </w:p>
          <w:p w14:paraId="06719477">
            <w:pPr>
              <w:pStyle w:val="73"/>
              <w:keepNext w:val="0"/>
              <w:keepLines w:val="0"/>
              <w:pageBreakBefore w:val="0"/>
              <w:widowControl w:val="0"/>
              <w:kinsoku/>
              <w:wordWrap/>
              <w:overflowPunct/>
              <w:topLinePunct w:val="0"/>
              <w:autoSpaceDE/>
              <w:autoSpaceDN/>
              <w:bidi w:val="0"/>
              <w:snapToGrid w:val="0"/>
              <w:spacing w:line="360" w:lineRule="exact"/>
              <w:ind w:firstLine="496" w:firstLineChars="20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val="en-US"/>
              </w:rPr>
              <w:t>⑤建设单位应严格落实本评价提出的各项自行监测计划，并对各期监测报告进行妥善保存；</w:t>
            </w:r>
          </w:p>
        </w:tc>
      </w:tr>
    </w:tbl>
    <w:p w14:paraId="5253B3C3">
      <w:pPr>
        <w:pStyle w:val="44"/>
        <w:widowControl w:val="0"/>
        <w:spacing w:before="0" w:beforeAutospacing="0" w:after="0" w:afterAutospacing="0" w:line="360" w:lineRule="auto"/>
        <w:jc w:val="center"/>
        <w:outlineLvl w:val="0"/>
        <w:rPr>
          <w:rFonts w:hint="eastAsia" w:ascii="黑体" w:hAnsi="黑体" w:eastAsia="黑体"/>
          <w:color w:val="auto"/>
          <w:kern w:val="0"/>
          <w:sz w:val="30"/>
          <w:szCs w:val="30"/>
          <w:highlight w:val="none"/>
        </w:rPr>
      </w:pPr>
      <w:r>
        <w:rPr>
          <w:color w:val="auto"/>
          <w:kern w:val="0"/>
          <w:highlight w:val="none"/>
        </w:rPr>
        <w:br w:type="page"/>
      </w:r>
      <w:bookmarkStart w:id="67" w:name="_Toc3770"/>
      <w:bookmarkStart w:id="68" w:name="_Toc10790"/>
      <w:bookmarkStart w:id="69" w:name="_Toc25173"/>
      <w:bookmarkStart w:id="70" w:name="_Toc13331"/>
      <w:r>
        <w:rPr>
          <w:rFonts w:hint="eastAsia" w:ascii="黑体" w:hAnsi="黑体" w:eastAsia="黑体"/>
          <w:color w:val="auto"/>
          <w:kern w:val="0"/>
          <w:sz w:val="30"/>
          <w:szCs w:val="30"/>
          <w:highlight w:val="none"/>
        </w:rPr>
        <w:t>六、结论</w:t>
      </w:r>
      <w:bookmarkEnd w:id="67"/>
      <w:bookmarkEnd w:id="68"/>
      <w:bookmarkEnd w:id="69"/>
      <w:bookmarkEnd w:id="70"/>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47"/>
      </w:tblGrid>
      <w:tr w14:paraId="14FEDC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47" w:type="dxa"/>
          </w:tcPr>
          <w:p w14:paraId="3693FF6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sz w:val="24"/>
                <w:highlight w:val="none"/>
              </w:rPr>
            </w:pPr>
            <w:r>
              <w:rPr>
                <w:rFonts w:hint="eastAsia"/>
                <w:color w:val="auto"/>
                <w:sz w:val="24"/>
                <w:highlight w:val="none"/>
              </w:rPr>
              <w:t>本项目选址符合国家和地方的产业政策，不涉及自然保护区、饮用水源保护区、生态红线、基本农田等环境敏感区域，平面布局合理，符合生态保护红线、环境质量底线、资源利用上线和</w:t>
            </w:r>
            <w:r>
              <w:rPr>
                <w:rFonts w:hint="eastAsia"/>
                <w:color w:val="auto"/>
                <w:sz w:val="24"/>
                <w:highlight w:val="none"/>
                <w:lang w:val="en-US" w:eastAsia="zh-CN"/>
              </w:rPr>
              <w:t>昆明市</w:t>
            </w:r>
            <w:r>
              <w:rPr>
                <w:rFonts w:hint="eastAsia"/>
                <w:color w:val="auto"/>
                <w:sz w:val="24"/>
                <w:highlight w:val="none"/>
              </w:rPr>
              <w:t>分区管控方案的控制要求。</w:t>
            </w:r>
          </w:p>
          <w:p w14:paraId="26F2CD9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sz w:val="24"/>
                <w:highlight w:val="none"/>
              </w:rPr>
            </w:pPr>
            <w:r>
              <w:rPr>
                <w:rFonts w:hint="eastAsia"/>
                <w:color w:val="auto"/>
                <w:sz w:val="24"/>
                <w:highlight w:val="none"/>
              </w:rPr>
              <w:t>建设单位在严格按照环评提出的要求，切实落实相应的污染防治对策及生态保护措施，严格执行建设项目竣工环境保护验收，并加强环保设施管理和维护，确保环保设施的正常高效运行的基础上，可做到废气、废水和噪声达标排放；固体废物100%合理处置，项目运营过程中对所在区域的环境质量影响较小，不改变所在区域的环境功能，对环境保护目标不会产生显著影响，符合达标排放、总量控制原则，项目的建设与周围环境是相容的。</w:t>
            </w:r>
          </w:p>
          <w:p w14:paraId="1EFB264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highlight w:val="none"/>
              </w:rPr>
            </w:pPr>
            <w:r>
              <w:rPr>
                <w:rFonts w:hint="eastAsia"/>
                <w:color w:val="auto"/>
                <w:sz w:val="24"/>
                <w:highlight w:val="none"/>
              </w:rPr>
              <w:t>综上所述，评价认为，经营单位在今后的运营过程中严格按环评提出的对策措施进行管理，严格执行“三同时”制度，加强企业的环境管理，确保污染物的达标排放的前提下，可减缓项目建设对环境带来的不利影响，使工程建设与环境保护协调发展，从环境保护角度，项目建设是可行的。</w:t>
            </w:r>
          </w:p>
          <w:p w14:paraId="356CC933">
            <w:pPr>
              <w:spacing w:line="360" w:lineRule="auto"/>
              <w:ind w:firstLine="470" w:firstLineChars="196"/>
              <w:rPr>
                <w:color w:val="auto"/>
                <w:kern w:val="0"/>
                <w:sz w:val="24"/>
                <w:highlight w:val="none"/>
              </w:rPr>
            </w:pPr>
          </w:p>
          <w:p w14:paraId="296F8877">
            <w:pPr>
              <w:spacing w:line="360" w:lineRule="auto"/>
              <w:ind w:firstLine="470" w:firstLineChars="196"/>
              <w:rPr>
                <w:color w:val="auto"/>
                <w:kern w:val="0"/>
                <w:sz w:val="24"/>
                <w:highlight w:val="none"/>
              </w:rPr>
            </w:pPr>
          </w:p>
          <w:p w14:paraId="36D2F607">
            <w:pPr>
              <w:spacing w:line="360" w:lineRule="auto"/>
              <w:ind w:firstLine="470" w:firstLineChars="196"/>
              <w:rPr>
                <w:color w:val="auto"/>
                <w:kern w:val="0"/>
                <w:sz w:val="24"/>
                <w:highlight w:val="none"/>
              </w:rPr>
            </w:pPr>
          </w:p>
          <w:p w14:paraId="5635383E">
            <w:pPr>
              <w:spacing w:line="360" w:lineRule="auto"/>
              <w:ind w:firstLine="470" w:firstLineChars="196"/>
              <w:rPr>
                <w:color w:val="auto"/>
                <w:kern w:val="0"/>
                <w:sz w:val="24"/>
                <w:highlight w:val="none"/>
              </w:rPr>
            </w:pPr>
          </w:p>
          <w:p w14:paraId="52BB8A39">
            <w:pPr>
              <w:spacing w:line="360" w:lineRule="auto"/>
              <w:ind w:firstLine="470" w:firstLineChars="196"/>
              <w:rPr>
                <w:color w:val="auto"/>
                <w:kern w:val="0"/>
                <w:sz w:val="24"/>
                <w:highlight w:val="none"/>
              </w:rPr>
            </w:pPr>
          </w:p>
          <w:p w14:paraId="7FB29587">
            <w:pPr>
              <w:spacing w:line="360" w:lineRule="auto"/>
              <w:ind w:firstLine="470" w:firstLineChars="196"/>
              <w:rPr>
                <w:color w:val="auto"/>
                <w:kern w:val="0"/>
                <w:sz w:val="24"/>
                <w:highlight w:val="none"/>
              </w:rPr>
            </w:pPr>
          </w:p>
          <w:p w14:paraId="011F60AC">
            <w:pPr>
              <w:spacing w:line="360" w:lineRule="auto"/>
              <w:ind w:firstLine="470" w:firstLineChars="196"/>
              <w:rPr>
                <w:color w:val="auto"/>
                <w:kern w:val="0"/>
                <w:sz w:val="24"/>
                <w:highlight w:val="none"/>
              </w:rPr>
            </w:pPr>
          </w:p>
          <w:p w14:paraId="2BCC4714">
            <w:pPr>
              <w:spacing w:line="360" w:lineRule="auto"/>
              <w:ind w:firstLine="470" w:firstLineChars="196"/>
              <w:rPr>
                <w:color w:val="auto"/>
                <w:kern w:val="0"/>
                <w:sz w:val="24"/>
                <w:highlight w:val="none"/>
              </w:rPr>
            </w:pPr>
          </w:p>
          <w:p w14:paraId="56CFA4A1">
            <w:pPr>
              <w:spacing w:line="360" w:lineRule="auto"/>
              <w:ind w:firstLine="470" w:firstLineChars="196"/>
              <w:rPr>
                <w:color w:val="auto"/>
                <w:kern w:val="0"/>
                <w:sz w:val="24"/>
                <w:highlight w:val="none"/>
              </w:rPr>
            </w:pPr>
          </w:p>
          <w:p w14:paraId="76EB9C13">
            <w:pPr>
              <w:spacing w:line="360" w:lineRule="auto"/>
              <w:ind w:firstLine="470" w:firstLineChars="196"/>
              <w:rPr>
                <w:color w:val="auto"/>
                <w:kern w:val="0"/>
                <w:sz w:val="24"/>
                <w:highlight w:val="none"/>
              </w:rPr>
            </w:pPr>
          </w:p>
          <w:p w14:paraId="47CF767E">
            <w:pPr>
              <w:spacing w:line="360" w:lineRule="auto"/>
              <w:ind w:firstLine="470" w:firstLineChars="196"/>
              <w:rPr>
                <w:color w:val="auto"/>
                <w:kern w:val="0"/>
                <w:sz w:val="24"/>
                <w:highlight w:val="none"/>
              </w:rPr>
            </w:pPr>
          </w:p>
          <w:p w14:paraId="7D01A7B2">
            <w:pPr>
              <w:spacing w:line="360" w:lineRule="auto"/>
              <w:ind w:firstLine="470" w:firstLineChars="196"/>
              <w:rPr>
                <w:color w:val="auto"/>
                <w:kern w:val="0"/>
                <w:sz w:val="24"/>
                <w:highlight w:val="none"/>
              </w:rPr>
            </w:pPr>
          </w:p>
          <w:p w14:paraId="438B5565">
            <w:pPr>
              <w:spacing w:line="360" w:lineRule="auto"/>
              <w:ind w:firstLine="470" w:firstLineChars="196"/>
              <w:rPr>
                <w:color w:val="auto"/>
                <w:kern w:val="0"/>
                <w:sz w:val="24"/>
                <w:highlight w:val="none"/>
              </w:rPr>
            </w:pPr>
          </w:p>
          <w:p w14:paraId="5357D5BD">
            <w:pPr>
              <w:spacing w:line="360" w:lineRule="auto"/>
              <w:ind w:firstLine="470" w:firstLineChars="196"/>
              <w:rPr>
                <w:color w:val="auto"/>
                <w:kern w:val="0"/>
                <w:sz w:val="24"/>
                <w:highlight w:val="none"/>
              </w:rPr>
            </w:pPr>
          </w:p>
          <w:p w14:paraId="6BAF8987">
            <w:pPr>
              <w:spacing w:line="360" w:lineRule="auto"/>
              <w:ind w:firstLine="470" w:firstLineChars="196"/>
              <w:rPr>
                <w:color w:val="auto"/>
                <w:kern w:val="0"/>
                <w:sz w:val="24"/>
                <w:highlight w:val="none"/>
              </w:rPr>
            </w:pPr>
          </w:p>
          <w:p w14:paraId="483BE007">
            <w:pPr>
              <w:spacing w:line="360" w:lineRule="auto"/>
              <w:ind w:firstLine="470" w:firstLineChars="196"/>
              <w:rPr>
                <w:color w:val="auto"/>
                <w:kern w:val="0"/>
                <w:sz w:val="24"/>
                <w:highlight w:val="none"/>
              </w:rPr>
            </w:pPr>
          </w:p>
          <w:p w14:paraId="6B7F7D82">
            <w:pPr>
              <w:spacing w:line="360" w:lineRule="auto"/>
              <w:rPr>
                <w:rFonts w:ascii="宋体" w:cs="宋体"/>
                <w:color w:val="auto"/>
                <w:kern w:val="0"/>
                <w:sz w:val="24"/>
                <w:highlight w:val="none"/>
              </w:rPr>
            </w:pPr>
          </w:p>
        </w:tc>
      </w:tr>
    </w:tbl>
    <w:p w14:paraId="104C3032">
      <w:pPr>
        <w:rPr>
          <w:rFonts w:hint="eastAsia" w:ascii="宋体" w:hAnsi="宋体" w:eastAsia="黑体"/>
          <w:color w:val="auto"/>
          <w:kern w:val="0"/>
          <w:highlight w:val="none"/>
        </w:rPr>
        <w:sectPr>
          <w:footerReference r:id="rId7" w:type="default"/>
          <w:pgSz w:w="11906" w:h="16838"/>
          <w:pgMar w:top="1701" w:right="1417" w:bottom="1417" w:left="1417" w:header="851" w:footer="851" w:gutter="0"/>
          <w:pgBorders>
            <w:top w:val="none" w:sz="0" w:space="0"/>
            <w:left w:val="none" w:sz="0" w:space="0"/>
            <w:bottom w:val="none" w:sz="0" w:space="0"/>
            <w:right w:val="none" w:sz="0" w:space="0"/>
          </w:pgBorders>
          <w:cols w:space="720" w:num="1"/>
          <w:docGrid w:linePitch="312" w:charSpace="0"/>
        </w:sectPr>
      </w:pPr>
    </w:p>
    <w:p w14:paraId="55E1A95B">
      <w:pPr>
        <w:widowControl/>
        <w:jc w:val="left"/>
        <w:rPr>
          <w:rFonts w:hint="eastAsia" w:ascii="黑体" w:hAnsi="黑体" w:eastAsia="黑体"/>
          <w:snapToGrid w:val="0"/>
          <w:color w:val="auto"/>
          <w:kern w:val="0"/>
          <w:sz w:val="28"/>
          <w:szCs w:val="28"/>
          <w:highlight w:val="none"/>
        </w:rPr>
      </w:pPr>
      <w:bookmarkStart w:id="71" w:name="_Toc22570"/>
      <w:bookmarkStart w:id="72" w:name="_Toc17174"/>
      <w:bookmarkStart w:id="73" w:name="_Toc28105"/>
      <w:r>
        <w:rPr>
          <w:rFonts w:hint="eastAsia" w:ascii="黑体" w:hAnsi="黑体" w:eastAsia="黑体"/>
          <w:snapToGrid w:val="0"/>
          <w:color w:val="auto"/>
          <w:kern w:val="0"/>
          <w:sz w:val="28"/>
          <w:szCs w:val="28"/>
          <w:highlight w:val="none"/>
        </w:rPr>
        <w:t>附表</w:t>
      </w:r>
      <w:bookmarkEnd w:id="71"/>
    </w:p>
    <w:bookmarkEnd w:id="72"/>
    <w:bookmarkEnd w:id="73"/>
    <w:p w14:paraId="4D2AF4EE">
      <w:pPr>
        <w:widowControl/>
        <w:spacing w:before="120" w:beforeLines="50" w:after="120" w:afterLines="50"/>
        <w:jc w:val="center"/>
        <w:outlineLvl w:val="0"/>
        <w:rPr>
          <w:rFonts w:hint="eastAsia" w:ascii="黑体" w:hAnsi="黑体" w:eastAsia="黑体" w:cs="黑体"/>
          <w:color w:val="auto"/>
          <w:kern w:val="0"/>
          <w:sz w:val="28"/>
          <w:szCs w:val="21"/>
          <w:highlight w:val="none"/>
        </w:rPr>
      </w:pPr>
      <w:bookmarkStart w:id="74" w:name="_Toc31760"/>
      <w:bookmarkStart w:id="75" w:name="_Toc22220"/>
      <w:bookmarkStart w:id="76" w:name="_Toc7165"/>
      <w:bookmarkStart w:id="77" w:name="_Toc4009"/>
      <w:r>
        <w:rPr>
          <w:rFonts w:hint="eastAsia" w:ascii="黑体" w:hAnsi="黑体" w:eastAsia="黑体" w:cs="黑体"/>
          <w:color w:val="auto"/>
          <w:kern w:val="0"/>
          <w:sz w:val="28"/>
          <w:szCs w:val="21"/>
          <w:highlight w:val="none"/>
        </w:rPr>
        <w:t>建设项目污染物排放量汇总表</w:t>
      </w:r>
      <w:bookmarkEnd w:id="74"/>
      <w:bookmarkEnd w:id="75"/>
      <w:bookmarkEnd w:id="76"/>
      <w:bookmarkEnd w:id="77"/>
    </w:p>
    <w:tbl>
      <w:tblPr>
        <w:tblStyle w:val="26"/>
        <w:tblW w:w="1419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53"/>
        <w:gridCol w:w="1929"/>
        <w:gridCol w:w="1636"/>
        <w:gridCol w:w="1081"/>
        <w:gridCol w:w="1735"/>
        <w:gridCol w:w="1590"/>
        <w:gridCol w:w="1796"/>
        <w:gridCol w:w="1730"/>
        <w:gridCol w:w="1242"/>
      </w:tblGrid>
      <w:tr w14:paraId="75ED1A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tcBorders>
              <w:tl2br w:val="single" w:color="auto" w:sz="4" w:space="0"/>
            </w:tcBorders>
            <w:tcMar>
              <w:left w:w="28" w:type="dxa"/>
              <w:right w:w="28" w:type="dxa"/>
            </w:tcMar>
            <w:vAlign w:val="center"/>
          </w:tcPr>
          <w:p w14:paraId="04032562">
            <w:pPr>
              <w:keepNext w:val="0"/>
              <w:keepLines w:val="0"/>
              <w:pageBreakBefore w:val="0"/>
              <w:kinsoku/>
              <w:wordWrap/>
              <w:overflowPunct/>
              <w:topLinePunct w:val="0"/>
              <w:autoSpaceDE/>
              <w:autoSpaceDN/>
              <w:bidi w:val="0"/>
              <w:adjustRightInd w:val="0"/>
              <w:snapToGrid w:val="0"/>
              <w:spacing w:line="320" w:lineRule="exact"/>
              <w:jc w:val="right"/>
              <w:rPr>
                <w:rFonts w:hint="default" w:ascii="Times New Roman" w:hAnsi="Times New Roman" w:cs="Times New Roman" w:eastAsiaTheme="minorEastAsia"/>
                <w:b/>
                <w:bCs/>
                <w:snapToGrid w:val="0"/>
                <w:color w:val="auto"/>
                <w:spacing w:val="-6"/>
                <w:kern w:val="21"/>
                <w:sz w:val="21"/>
                <w:szCs w:val="21"/>
                <w:highlight w:val="none"/>
              </w:rPr>
            </w:pPr>
            <w:r>
              <w:rPr>
                <w:rFonts w:hint="default" w:ascii="Times New Roman" w:hAnsi="Times New Roman" w:cs="Times New Roman" w:eastAsiaTheme="minorEastAsia"/>
                <w:b/>
                <w:bCs/>
                <w:snapToGrid w:val="0"/>
                <w:color w:val="auto"/>
                <w:spacing w:val="-6"/>
                <w:kern w:val="21"/>
                <w:sz w:val="21"/>
                <w:szCs w:val="21"/>
                <w:highlight w:val="none"/>
              </w:rPr>
              <w:t>项目</w:t>
            </w:r>
          </w:p>
          <w:p w14:paraId="07BDC8B1">
            <w:pPr>
              <w:keepNext w:val="0"/>
              <w:keepLines w:val="0"/>
              <w:pageBreakBefore w:val="0"/>
              <w:kinsoku/>
              <w:wordWrap/>
              <w:overflowPunct/>
              <w:topLinePunct w:val="0"/>
              <w:autoSpaceDE/>
              <w:autoSpaceDN/>
              <w:bidi w:val="0"/>
              <w:spacing w:line="320" w:lineRule="exact"/>
              <w:jc w:val="left"/>
              <w:rPr>
                <w:rFonts w:hint="default" w:ascii="Times New Roman" w:hAnsi="Times New Roman" w:cs="Times New Roman" w:eastAsiaTheme="minorEastAsia"/>
                <w:b/>
                <w:bCs/>
                <w:snapToGrid w:val="0"/>
                <w:color w:val="auto"/>
                <w:spacing w:val="-6"/>
                <w:kern w:val="21"/>
                <w:sz w:val="21"/>
                <w:szCs w:val="21"/>
                <w:highlight w:val="none"/>
              </w:rPr>
            </w:pPr>
            <w:r>
              <w:rPr>
                <w:rFonts w:hint="default" w:ascii="Times New Roman" w:hAnsi="Times New Roman" w:cs="Times New Roman" w:eastAsiaTheme="minorEastAsia"/>
                <w:b/>
                <w:bCs/>
                <w:snapToGrid w:val="0"/>
                <w:color w:val="auto"/>
                <w:spacing w:val="-6"/>
                <w:kern w:val="21"/>
                <w:sz w:val="21"/>
                <w:szCs w:val="21"/>
                <w:highlight w:val="none"/>
              </w:rPr>
              <w:t>分类</w:t>
            </w:r>
          </w:p>
        </w:tc>
        <w:tc>
          <w:tcPr>
            <w:tcW w:w="1929" w:type="dxa"/>
            <w:tcMar>
              <w:left w:w="28" w:type="dxa"/>
              <w:right w:w="28" w:type="dxa"/>
            </w:tcMar>
            <w:vAlign w:val="center"/>
          </w:tcPr>
          <w:p w14:paraId="16C8E899">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snapToGrid w:val="0"/>
                <w:color w:val="auto"/>
                <w:spacing w:val="-6"/>
                <w:kern w:val="21"/>
                <w:sz w:val="21"/>
                <w:szCs w:val="21"/>
                <w:highlight w:val="none"/>
              </w:rPr>
            </w:pPr>
            <w:r>
              <w:rPr>
                <w:rFonts w:hint="default" w:ascii="Times New Roman" w:hAnsi="Times New Roman" w:cs="Times New Roman" w:eastAsiaTheme="minorEastAsia"/>
                <w:b/>
                <w:bCs/>
                <w:snapToGrid w:val="0"/>
                <w:color w:val="auto"/>
                <w:spacing w:val="-6"/>
                <w:kern w:val="21"/>
                <w:sz w:val="21"/>
                <w:szCs w:val="21"/>
                <w:highlight w:val="none"/>
              </w:rPr>
              <w:t>污染物名称</w:t>
            </w:r>
          </w:p>
        </w:tc>
        <w:tc>
          <w:tcPr>
            <w:tcW w:w="1636" w:type="dxa"/>
            <w:tcMar>
              <w:left w:w="28" w:type="dxa"/>
              <w:right w:w="28" w:type="dxa"/>
            </w:tcMar>
            <w:vAlign w:val="center"/>
          </w:tcPr>
          <w:p w14:paraId="348FF532">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snapToGrid w:val="0"/>
                <w:color w:val="auto"/>
                <w:spacing w:val="-6"/>
                <w:kern w:val="21"/>
                <w:sz w:val="21"/>
                <w:szCs w:val="21"/>
                <w:highlight w:val="none"/>
              </w:rPr>
            </w:pPr>
            <w:r>
              <w:rPr>
                <w:rFonts w:hint="default" w:ascii="Times New Roman" w:hAnsi="Times New Roman" w:cs="Times New Roman" w:eastAsiaTheme="minorEastAsia"/>
                <w:b/>
                <w:bCs/>
                <w:snapToGrid w:val="0"/>
                <w:color w:val="auto"/>
                <w:spacing w:val="-6"/>
                <w:kern w:val="21"/>
                <w:sz w:val="21"/>
                <w:szCs w:val="21"/>
                <w:highlight w:val="none"/>
              </w:rPr>
              <w:t>现有工程</w:t>
            </w:r>
          </w:p>
          <w:p w14:paraId="11BE612C">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snapToGrid w:val="0"/>
                <w:color w:val="auto"/>
                <w:spacing w:val="-6"/>
                <w:kern w:val="21"/>
                <w:sz w:val="21"/>
                <w:szCs w:val="21"/>
                <w:highlight w:val="none"/>
              </w:rPr>
            </w:pPr>
            <w:r>
              <w:rPr>
                <w:rFonts w:hint="default" w:ascii="Times New Roman" w:hAnsi="Times New Roman" w:cs="Times New Roman" w:eastAsiaTheme="minorEastAsia"/>
                <w:b/>
                <w:bCs/>
                <w:snapToGrid w:val="0"/>
                <w:color w:val="auto"/>
                <w:spacing w:val="-6"/>
                <w:kern w:val="21"/>
                <w:sz w:val="21"/>
                <w:szCs w:val="21"/>
                <w:highlight w:val="none"/>
              </w:rPr>
              <w:t>排放量（固体废物产生量）</w:t>
            </w:r>
            <w:r>
              <w:rPr>
                <w:rFonts w:hint="default" w:ascii="Times New Roman" w:hAnsi="Times New Roman" w:cs="Times New Roman" w:eastAsiaTheme="minorEastAsia"/>
                <w:b/>
                <w:bCs/>
                <w:snapToGrid w:val="0"/>
                <w:color w:val="auto"/>
                <w:spacing w:val="-6"/>
                <w:kern w:val="21"/>
                <w:sz w:val="21"/>
                <w:szCs w:val="21"/>
                <w:highlight w:val="none"/>
              </w:rPr>
              <w:fldChar w:fldCharType="begin"/>
            </w:r>
            <w:r>
              <w:rPr>
                <w:rFonts w:hint="default" w:ascii="Times New Roman" w:hAnsi="Times New Roman" w:cs="Times New Roman" w:eastAsiaTheme="minorEastAsia"/>
                <w:b/>
                <w:bCs/>
                <w:snapToGrid w:val="0"/>
                <w:color w:val="auto"/>
                <w:spacing w:val="-6"/>
                <w:kern w:val="21"/>
                <w:sz w:val="21"/>
                <w:szCs w:val="21"/>
                <w:highlight w:val="none"/>
              </w:rPr>
              <w:instrText xml:space="preserve"> = 1 \* GB3 \* MERGEFORMAT </w:instrText>
            </w:r>
            <w:r>
              <w:rPr>
                <w:rFonts w:hint="default" w:ascii="Times New Roman" w:hAnsi="Times New Roman" w:cs="Times New Roman" w:eastAsiaTheme="minorEastAsia"/>
                <w:b/>
                <w:bCs/>
                <w:snapToGrid w:val="0"/>
                <w:color w:val="auto"/>
                <w:spacing w:val="-6"/>
                <w:kern w:val="21"/>
                <w:sz w:val="21"/>
                <w:szCs w:val="21"/>
                <w:highlight w:val="none"/>
              </w:rPr>
              <w:fldChar w:fldCharType="separate"/>
            </w:r>
            <w:r>
              <w:rPr>
                <w:rFonts w:hint="default" w:ascii="Times New Roman" w:hAnsi="Times New Roman" w:cs="Times New Roman" w:eastAsiaTheme="minorEastAsia"/>
                <w:b/>
                <w:bCs/>
                <w:color w:val="auto"/>
                <w:sz w:val="21"/>
                <w:szCs w:val="21"/>
                <w:highlight w:val="none"/>
              </w:rPr>
              <w:t>①</w:t>
            </w:r>
            <w:r>
              <w:rPr>
                <w:rFonts w:hint="default" w:ascii="Times New Roman" w:hAnsi="Times New Roman" w:cs="Times New Roman" w:eastAsiaTheme="minorEastAsia"/>
                <w:b/>
                <w:bCs/>
                <w:snapToGrid w:val="0"/>
                <w:color w:val="auto"/>
                <w:spacing w:val="-6"/>
                <w:kern w:val="21"/>
                <w:sz w:val="21"/>
                <w:szCs w:val="21"/>
                <w:highlight w:val="none"/>
              </w:rPr>
              <w:fldChar w:fldCharType="end"/>
            </w:r>
          </w:p>
        </w:tc>
        <w:tc>
          <w:tcPr>
            <w:tcW w:w="1081" w:type="dxa"/>
            <w:tcMar>
              <w:left w:w="28" w:type="dxa"/>
              <w:right w:w="28" w:type="dxa"/>
            </w:tcMar>
            <w:vAlign w:val="center"/>
          </w:tcPr>
          <w:p w14:paraId="4FA29EF0">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snapToGrid w:val="0"/>
                <w:color w:val="auto"/>
                <w:spacing w:val="-6"/>
                <w:kern w:val="21"/>
                <w:sz w:val="21"/>
                <w:szCs w:val="21"/>
                <w:highlight w:val="none"/>
              </w:rPr>
            </w:pPr>
            <w:r>
              <w:rPr>
                <w:rFonts w:hint="default" w:ascii="Times New Roman" w:hAnsi="Times New Roman" w:cs="Times New Roman" w:eastAsiaTheme="minorEastAsia"/>
                <w:b/>
                <w:bCs/>
                <w:snapToGrid w:val="0"/>
                <w:color w:val="auto"/>
                <w:spacing w:val="-6"/>
                <w:kern w:val="21"/>
                <w:sz w:val="21"/>
                <w:szCs w:val="21"/>
                <w:highlight w:val="none"/>
              </w:rPr>
              <w:t>现有工程</w:t>
            </w:r>
          </w:p>
          <w:p w14:paraId="33BEE6B9">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snapToGrid w:val="0"/>
                <w:color w:val="auto"/>
                <w:spacing w:val="-6"/>
                <w:kern w:val="21"/>
                <w:sz w:val="21"/>
                <w:szCs w:val="21"/>
                <w:highlight w:val="none"/>
              </w:rPr>
            </w:pPr>
            <w:r>
              <w:rPr>
                <w:rFonts w:hint="default" w:ascii="Times New Roman" w:hAnsi="Times New Roman" w:cs="Times New Roman" w:eastAsiaTheme="minorEastAsia"/>
                <w:b/>
                <w:bCs/>
                <w:snapToGrid w:val="0"/>
                <w:color w:val="auto"/>
                <w:spacing w:val="-6"/>
                <w:kern w:val="21"/>
                <w:sz w:val="21"/>
                <w:szCs w:val="21"/>
                <w:highlight w:val="none"/>
              </w:rPr>
              <w:t>许可排放量</w:t>
            </w:r>
            <w:r>
              <w:rPr>
                <w:rFonts w:hint="default" w:ascii="Times New Roman" w:hAnsi="Times New Roman" w:cs="Times New Roman" w:eastAsiaTheme="minorEastAsia"/>
                <w:b/>
                <w:bCs/>
                <w:snapToGrid w:val="0"/>
                <w:color w:val="auto"/>
                <w:spacing w:val="-6"/>
                <w:kern w:val="21"/>
                <w:sz w:val="21"/>
                <w:szCs w:val="21"/>
                <w:highlight w:val="none"/>
              </w:rPr>
              <w:fldChar w:fldCharType="begin"/>
            </w:r>
            <w:r>
              <w:rPr>
                <w:rFonts w:hint="default" w:ascii="Times New Roman" w:hAnsi="Times New Roman" w:cs="Times New Roman" w:eastAsiaTheme="minorEastAsia"/>
                <w:b/>
                <w:bCs/>
                <w:snapToGrid w:val="0"/>
                <w:color w:val="auto"/>
                <w:spacing w:val="-6"/>
                <w:kern w:val="21"/>
                <w:sz w:val="21"/>
                <w:szCs w:val="21"/>
                <w:highlight w:val="none"/>
              </w:rPr>
              <w:instrText xml:space="preserve"> = 2 \* GB3 \* MERGEFORMAT </w:instrText>
            </w:r>
            <w:r>
              <w:rPr>
                <w:rFonts w:hint="default" w:ascii="Times New Roman" w:hAnsi="Times New Roman" w:cs="Times New Roman" w:eastAsiaTheme="minorEastAsia"/>
                <w:b/>
                <w:bCs/>
                <w:snapToGrid w:val="0"/>
                <w:color w:val="auto"/>
                <w:spacing w:val="-6"/>
                <w:kern w:val="21"/>
                <w:sz w:val="21"/>
                <w:szCs w:val="21"/>
                <w:highlight w:val="none"/>
              </w:rPr>
              <w:fldChar w:fldCharType="separate"/>
            </w:r>
            <w:r>
              <w:rPr>
                <w:rFonts w:hint="default" w:ascii="Times New Roman" w:hAnsi="Times New Roman" w:cs="Times New Roman" w:eastAsiaTheme="minorEastAsia"/>
                <w:b/>
                <w:bCs/>
                <w:snapToGrid w:val="0"/>
                <w:color w:val="auto"/>
                <w:spacing w:val="-6"/>
                <w:kern w:val="21"/>
                <w:sz w:val="21"/>
                <w:szCs w:val="21"/>
                <w:highlight w:val="none"/>
              </w:rPr>
              <w:t>②</w:t>
            </w:r>
            <w:r>
              <w:rPr>
                <w:rFonts w:hint="default" w:ascii="Times New Roman" w:hAnsi="Times New Roman" w:cs="Times New Roman" w:eastAsiaTheme="minorEastAsia"/>
                <w:b/>
                <w:bCs/>
                <w:snapToGrid w:val="0"/>
                <w:color w:val="auto"/>
                <w:spacing w:val="-6"/>
                <w:kern w:val="21"/>
                <w:sz w:val="21"/>
                <w:szCs w:val="21"/>
                <w:highlight w:val="none"/>
              </w:rPr>
              <w:fldChar w:fldCharType="end"/>
            </w:r>
          </w:p>
        </w:tc>
        <w:tc>
          <w:tcPr>
            <w:tcW w:w="1735" w:type="dxa"/>
            <w:tcMar>
              <w:left w:w="28" w:type="dxa"/>
              <w:right w:w="28" w:type="dxa"/>
            </w:tcMar>
            <w:vAlign w:val="center"/>
          </w:tcPr>
          <w:p w14:paraId="3DA612BC">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snapToGrid w:val="0"/>
                <w:color w:val="auto"/>
                <w:spacing w:val="-6"/>
                <w:kern w:val="21"/>
                <w:sz w:val="21"/>
                <w:szCs w:val="21"/>
                <w:highlight w:val="none"/>
              </w:rPr>
            </w:pPr>
            <w:r>
              <w:rPr>
                <w:rFonts w:hint="default" w:ascii="Times New Roman" w:hAnsi="Times New Roman" w:cs="Times New Roman" w:eastAsiaTheme="minorEastAsia"/>
                <w:b/>
                <w:bCs/>
                <w:snapToGrid w:val="0"/>
                <w:color w:val="auto"/>
                <w:spacing w:val="-6"/>
                <w:kern w:val="21"/>
                <w:sz w:val="21"/>
                <w:szCs w:val="21"/>
                <w:highlight w:val="none"/>
              </w:rPr>
              <w:t>在建工程</w:t>
            </w:r>
          </w:p>
          <w:p w14:paraId="272993BC">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snapToGrid w:val="0"/>
                <w:color w:val="auto"/>
                <w:spacing w:val="-6"/>
                <w:kern w:val="21"/>
                <w:sz w:val="21"/>
                <w:szCs w:val="21"/>
                <w:highlight w:val="none"/>
              </w:rPr>
            </w:pPr>
            <w:r>
              <w:rPr>
                <w:rFonts w:hint="default" w:ascii="Times New Roman" w:hAnsi="Times New Roman" w:cs="Times New Roman" w:eastAsiaTheme="minorEastAsia"/>
                <w:b/>
                <w:bCs/>
                <w:snapToGrid w:val="0"/>
                <w:color w:val="auto"/>
                <w:spacing w:val="-6"/>
                <w:kern w:val="21"/>
                <w:sz w:val="21"/>
                <w:szCs w:val="21"/>
                <w:highlight w:val="none"/>
              </w:rPr>
              <w:t>排放量（固体废物产生量）</w:t>
            </w:r>
            <w:r>
              <w:rPr>
                <w:rFonts w:hint="default" w:ascii="Times New Roman" w:hAnsi="Times New Roman" w:cs="Times New Roman" w:eastAsiaTheme="minorEastAsia"/>
                <w:b/>
                <w:bCs/>
                <w:snapToGrid w:val="0"/>
                <w:color w:val="auto"/>
                <w:spacing w:val="-6"/>
                <w:kern w:val="21"/>
                <w:sz w:val="21"/>
                <w:szCs w:val="21"/>
                <w:highlight w:val="none"/>
              </w:rPr>
              <w:fldChar w:fldCharType="begin"/>
            </w:r>
            <w:r>
              <w:rPr>
                <w:rFonts w:hint="default" w:ascii="Times New Roman" w:hAnsi="Times New Roman" w:cs="Times New Roman" w:eastAsiaTheme="minorEastAsia"/>
                <w:b/>
                <w:bCs/>
                <w:snapToGrid w:val="0"/>
                <w:color w:val="auto"/>
                <w:spacing w:val="-6"/>
                <w:kern w:val="21"/>
                <w:sz w:val="21"/>
                <w:szCs w:val="21"/>
                <w:highlight w:val="none"/>
              </w:rPr>
              <w:instrText xml:space="preserve"> = 3 \* GB3 \* MERGEFORMAT </w:instrText>
            </w:r>
            <w:r>
              <w:rPr>
                <w:rFonts w:hint="default" w:ascii="Times New Roman" w:hAnsi="Times New Roman" w:cs="Times New Roman" w:eastAsiaTheme="minorEastAsia"/>
                <w:b/>
                <w:bCs/>
                <w:snapToGrid w:val="0"/>
                <w:color w:val="auto"/>
                <w:spacing w:val="-6"/>
                <w:kern w:val="21"/>
                <w:sz w:val="21"/>
                <w:szCs w:val="21"/>
                <w:highlight w:val="none"/>
              </w:rPr>
              <w:fldChar w:fldCharType="separate"/>
            </w:r>
            <w:r>
              <w:rPr>
                <w:rFonts w:hint="default" w:ascii="Times New Roman" w:hAnsi="Times New Roman" w:cs="Times New Roman" w:eastAsiaTheme="minorEastAsia"/>
                <w:b/>
                <w:bCs/>
                <w:color w:val="auto"/>
                <w:sz w:val="21"/>
                <w:szCs w:val="21"/>
                <w:highlight w:val="none"/>
              </w:rPr>
              <w:t>③</w:t>
            </w:r>
            <w:r>
              <w:rPr>
                <w:rFonts w:hint="default" w:ascii="Times New Roman" w:hAnsi="Times New Roman" w:cs="Times New Roman" w:eastAsiaTheme="minorEastAsia"/>
                <w:b/>
                <w:bCs/>
                <w:snapToGrid w:val="0"/>
                <w:color w:val="auto"/>
                <w:spacing w:val="-6"/>
                <w:kern w:val="21"/>
                <w:sz w:val="21"/>
                <w:szCs w:val="21"/>
                <w:highlight w:val="none"/>
              </w:rPr>
              <w:fldChar w:fldCharType="end"/>
            </w:r>
          </w:p>
        </w:tc>
        <w:tc>
          <w:tcPr>
            <w:tcW w:w="1590" w:type="dxa"/>
            <w:tcMar>
              <w:left w:w="28" w:type="dxa"/>
              <w:right w:w="28" w:type="dxa"/>
            </w:tcMar>
            <w:vAlign w:val="center"/>
          </w:tcPr>
          <w:p w14:paraId="01155A2F">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snapToGrid w:val="0"/>
                <w:color w:val="auto"/>
                <w:spacing w:val="-6"/>
                <w:kern w:val="21"/>
                <w:sz w:val="21"/>
                <w:szCs w:val="21"/>
                <w:highlight w:val="none"/>
              </w:rPr>
            </w:pPr>
            <w:r>
              <w:rPr>
                <w:rFonts w:hint="default" w:ascii="Times New Roman" w:hAnsi="Times New Roman" w:cs="Times New Roman" w:eastAsiaTheme="minorEastAsia"/>
                <w:b/>
                <w:bCs/>
                <w:snapToGrid w:val="0"/>
                <w:color w:val="auto"/>
                <w:spacing w:val="-6"/>
                <w:kern w:val="21"/>
                <w:sz w:val="21"/>
                <w:szCs w:val="21"/>
                <w:highlight w:val="none"/>
              </w:rPr>
              <w:t>本项目</w:t>
            </w:r>
          </w:p>
          <w:p w14:paraId="2B316A1C">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snapToGrid w:val="0"/>
                <w:color w:val="auto"/>
                <w:spacing w:val="-6"/>
                <w:kern w:val="21"/>
                <w:sz w:val="21"/>
                <w:szCs w:val="21"/>
                <w:highlight w:val="none"/>
              </w:rPr>
            </w:pPr>
            <w:r>
              <w:rPr>
                <w:rFonts w:hint="default" w:ascii="Times New Roman" w:hAnsi="Times New Roman" w:cs="Times New Roman" w:eastAsiaTheme="minorEastAsia"/>
                <w:b/>
                <w:bCs/>
                <w:snapToGrid w:val="0"/>
                <w:color w:val="auto"/>
                <w:spacing w:val="-6"/>
                <w:kern w:val="21"/>
                <w:sz w:val="21"/>
                <w:szCs w:val="21"/>
                <w:highlight w:val="none"/>
              </w:rPr>
              <w:t>排放量（固体废物产生量）</w:t>
            </w:r>
            <w:r>
              <w:rPr>
                <w:rFonts w:hint="default" w:ascii="Times New Roman" w:hAnsi="Times New Roman" w:cs="Times New Roman" w:eastAsiaTheme="minorEastAsia"/>
                <w:b/>
                <w:bCs/>
                <w:snapToGrid w:val="0"/>
                <w:color w:val="auto"/>
                <w:spacing w:val="-6"/>
                <w:kern w:val="21"/>
                <w:sz w:val="21"/>
                <w:szCs w:val="21"/>
                <w:highlight w:val="none"/>
              </w:rPr>
              <w:fldChar w:fldCharType="begin"/>
            </w:r>
            <w:r>
              <w:rPr>
                <w:rFonts w:hint="default" w:ascii="Times New Roman" w:hAnsi="Times New Roman" w:cs="Times New Roman" w:eastAsiaTheme="minorEastAsia"/>
                <w:b/>
                <w:bCs/>
                <w:snapToGrid w:val="0"/>
                <w:color w:val="auto"/>
                <w:spacing w:val="-6"/>
                <w:kern w:val="21"/>
                <w:sz w:val="21"/>
                <w:szCs w:val="21"/>
                <w:highlight w:val="none"/>
              </w:rPr>
              <w:instrText xml:space="preserve"> = 4 \* GB3 \* MERGEFORMAT </w:instrText>
            </w:r>
            <w:r>
              <w:rPr>
                <w:rFonts w:hint="default" w:ascii="Times New Roman" w:hAnsi="Times New Roman" w:cs="Times New Roman" w:eastAsiaTheme="minorEastAsia"/>
                <w:b/>
                <w:bCs/>
                <w:snapToGrid w:val="0"/>
                <w:color w:val="auto"/>
                <w:spacing w:val="-6"/>
                <w:kern w:val="21"/>
                <w:sz w:val="21"/>
                <w:szCs w:val="21"/>
                <w:highlight w:val="none"/>
              </w:rPr>
              <w:fldChar w:fldCharType="separate"/>
            </w:r>
            <w:r>
              <w:rPr>
                <w:rFonts w:hint="default" w:ascii="Times New Roman" w:hAnsi="Times New Roman" w:cs="Times New Roman" w:eastAsiaTheme="minorEastAsia"/>
                <w:b/>
                <w:bCs/>
                <w:color w:val="auto"/>
                <w:sz w:val="21"/>
                <w:szCs w:val="21"/>
                <w:highlight w:val="none"/>
              </w:rPr>
              <w:t>④</w:t>
            </w:r>
            <w:r>
              <w:rPr>
                <w:rFonts w:hint="default" w:ascii="Times New Roman" w:hAnsi="Times New Roman" w:cs="Times New Roman" w:eastAsiaTheme="minorEastAsia"/>
                <w:b/>
                <w:bCs/>
                <w:snapToGrid w:val="0"/>
                <w:color w:val="auto"/>
                <w:spacing w:val="-6"/>
                <w:kern w:val="21"/>
                <w:sz w:val="21"/>
                <w:szCs w:val="21"/>
                <w:highlight w:val="none"/>
              </w:rPr>
              <w:fldChar w:fldCharType="end"/>
            </w:r>
          </w:p>
        </w:tc>
        <w:tc>
          <w:tcPr>
            <w:tcW w:w="1796" w:type="dxa"/>
            <w:tcMar>
              <w:left w:w="28" w:type="dxa"/>
              <w:right w:w="28" w:type="dxa"/>
            </w:tcMar>
            <w:vAlign w:val="center"/>
          </w:tcPr>
          <w:p w14:paraId="21C06E05">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snapToGrid w:val="0"/>
                <w:color w:val="auto"/>
                <w:spacing w:val="-16"/>
                <w:kern w:val="21"/>
                <w:sz w:val="21"/>
                <w:szCs w:val="21"/>
                <w:highlight w:val="none"/>
              </w:rPr>
            </w:pPr>
            <w:r>
              <w:rPr>
                <w:rFonts w:hint="default" w:ascii="Times New Roman" w:hAnsi="Times New Roman" w:cs="Times New Roman" w:eastAsiaTheme="minorEastAsia"/>
                <w:b/>
                <w:bCs/>
                <w:snapToGrid w:val="0"/>
                <w:color w:val="auto"/>
                <w:spacing w:val="-16"/>
                <w:kern w:val="21"/>
                <w:sz w:val="21"/>
                <w:szCs w:val="21"/>
                <w:highlight w:val="none"/>
              </w:rPr>
              <w:t>以新带老削减量</w:t>
            </w:r>
          </w:p>
          <w:p w14:paraId="6E497D7C">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snapToGrid w:val="0"/>
                <w:color w:val="auto"/>
                <w:spacing w:val="-16"/>
                <w:kern w:val="21"/>
                <w:sz w:val="21"/>
                <w:szCs w:val="21"/>
                <w:highlight w:val="none"/>
              </w:rPr>
            </w:pPr>
            <w:r>
              <w:rPr>
                <w:rFonts w:hint="default" w:ascii="Times New Roman" w:hAnsi="Times New Roman" w:cs="Times New Roman" w:eastAsiaTheme="minorEastAsia"/>
                <w:b/>
                <w:bCs/>
                <w:snapToGrid w:val="0"/>
                <w:color w:val="auto"/>
                <w:spacing w:val="-16"/>
                <w:kern w:val="21"/>
                <w:sz w:val="21"/>
                <w:szCs w:val="21"/>
                <w:highlight w:val="none"/>
              </w:rPr>
              <w:t>（新建项目不填）</w:t>
            </w:r>
            <w:r>
              <w:rPr>
                <w:rFonts w:hint="default" w:ascii="Times New Roman" w:hAnsi="Times New Roman" w:cs="Times New Roman" w:eastAsiaTheme="minorEastAsia"/>
                <w:b/>
                <w:bCs/>
                <w:snapToGrid w:val="0"/>
                <w:color w:val="auto"/>
                <w:spacing w:val="-16"/>
                <w:kern w:val="21"/>
                <w:sz w:val="21"/>
                <w:szCs w:val="21"/>
                <w:highlight w:val="none"/>
              </w:rPr>
              <w:fldChar w:fldCharType="begin"/>
            </w:r>
            <w:r>
              <w:rPr>
                <w:rFonts w:hint="default" w:ascii="Times New Roman" w:hAnsi="Times New Roman" w:cs="Times New Roman" w:eastAsiaTheme="minorEastAsia"/>
                <w:b/>
                <w:bCs/>
                <w:snapToGrid w:val="0"/>
                <w:color w:val="auto"/>
                <w:spacing w:val="-16"/>
                <w:kern w:val="21"/>
                <w:sz w:val="21"/>
                <w:szCs w:val="21"/>
                <w:highlight w:val="none"/>
              </w:rPr>
              <w:instrText xml:space="preserve"> = 5 \* GB3 \* MERGEFORMAT </w:instrText>
            </w:r>
            <w:r>
              <w:rPr>
                <w:rFonts w:hint="default" w:ascii="Times New Roman" w:hAnsi="Times New Roman" w:cs="Times New Roman" w:eastAsiaTheme="minorEastAsia"/>
                <w:b/>
                <w:bCs/>
                <w:snapToGrid w:val="0"/>
                <w:color w:val="auto"/>
                <w:spacing w:val="-16"/>
                <w:kern w:val="21"/>
                <w:sz w:val="21"/>
                <w:szCs w:val="21"/>
                <w:highlight w:val="none"/>
              </w:rPr>
              <w:fldChar w:fldCharType="separate"/>
            </w:r>
            <w:r>
              <w:rPr>
                <w:rFonts w:hint="default" w:ascii="Times New Roman" w:hAnsi="Times New Roman" w:cs="Times New Roman" w:eastAsiaTheme="minorEastAsia"/>
                <w:b/>
                <w:bCs/>
                <w:color w:val="auto"/>
                <w:sz w:val="21"/>
                <w:szCs w:val="21"/>
                <w:highlight w:val="none"/>
              </w:rPr>
              <w:t>⑤</w:t>
            </w:r>
            <w:r>
              <w:rPr>
                <w:rFonts w:hint="default" w:ascii="Times New Roman" w:hAnsi="Times New Roman" w:cs="Times New Roman" w:eastAsiaTheme="minorEastAsia"/>
                <w:b/>
                <w:bCs/>
                <w:snapToGrid w:val="0"/>
                <w:color w:val="auto"/>
                <w:spacing w:val="-16"/>
                <w:kern w:val="21"/>
                <w:sz w:val="21"/>
                <w:szCs w:val="21"/>
                <w:highlight w:val="none"/>
              </w:rPr>
              <w:fldChar w:fldCharType="end"/>
            </w:r>
          </w:p>
        </w:tc>
        <w:tc>
          <w:tcPr>
            <w:tcW w:w="1730" w:type="dxa"/>
            <w:tcMar>
              <w:left w:w="28" w:type="dxa"/>
              <w:right w:w="28" w:type="dxa"/>
            </w:tcMar>
            <w:vAlign w:val="center"/>
          </w:tcPr>
          <w:p w14:paraId="145FE111">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snapToGrid w:val="0"/>
                <w:color w:val="auto"/>
                <w:spacing w:val="-16"/>
                <w:kern w:val="21"/>
                <w:sz w:val="21"/>
                <w:szCs w:val="21"/>
                <w:highlight w:val="none"/>
              </w:rPr>
            </w:pPr>
            <w:r>
              <w:rPr>
                <w:rFonts w:hint="default" w:ascii="Times New Roman" w:hAnsi="Times New Roman" w:cs="Times New Roman" w:eastAsiaTheme="minorEastAsia"/>
                <w:b/>
                <w:bCs/>
                <w:snapToGrid w:val="0"/>
                <w:color w:val="auto"/>
                <w:spacing w:val="-16"/>
                <w:kern w:val="21"/>
                <w:sz w:val="21"/>
                <w:szCs w:val="21"/>
                <w:highlight w:val="none"/>
              </w:rPr>
              <w:t>本项目建成后</w:t>
            </w:r>
          </w:p>
          <w:p w14:paraId="3D4A1155">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snapToGrid w:val="0"/>
                <w:color w:val="auto"/>
                <w:spacing w:val="-16"/>
                <w:kern w:val="21"/>
                <w:sz w:val="21"/>
                <w:szCs w:val="21"/>
                <w:highlight w:val="none"/>
              </w:rPr>
            </w:pPr>
            <w:r>
              <w:rPr>
                <w:rFonts w:hint="default" w:ascii="Times New Roman" w:hAnsi="Times New Roman" w:cs="Times New Roman" w:eastAsiaTheme="minorEastAsia"/>
                <w:b/>
                <w:bCs/>
                <w:snapToGrid w:val="0"/>
                <w:color w:val="auto"/>
                <w:spacing w:val="-16"/>
                <w:kern w:val="21"/>
                <w:sz w:val="21"/>
                <w:szCs w:val="21"/>
                <w:highlight w:val="none"/>
              </w:rPr>
              <w:t>全厂排放量（固体废物产生量）</w:t>
            </w:r>
            <w:r>
              <w:rPr>
                <w:rFonts w:hint="default" w:ascii="Times New Roman" w:hAnsi="Times New Roman" w:cs="Times New Roman" w:eastAsiaTheme="minorEastAsia"/>
                <w:b/>
                <w:bCs/>
                <w:snapToGrid w:val="0"/>
                <w:color w:val="auto"/>
                <w:spacing w:val="-16"/>
                <w:kern w:val="21"/>
                <w:sz w:val="21"/>
                <w:szCs w:val="21"/>
                <w:highlight w:val="none"/>
              </w:rPr>
              <w:fldChar w:fldCharType="begin"/>
            </w:r>
            <w:r>
              <w:rPr>
                <w:rFonts w:hint="default" w:ascii="Times New Roman" w:hAnsi="Times New Roman" w:cs="Times New Roman" w:eastAsiaTheme="minorEastAsia"/>
                <w:b/>
                <w:bCs/>
                <w:snapToGrid w:val="0"/>
                <w:color w:val="auto"/>
                <w:spacing w:val="-16"/>
                <w:kern w:val="21"/>
                <w:sz w:val="21"/>
                <w:szCs w:val="21"/>
                <w:highlight w:val="none"/>
              </w:rPr>
              <w:instrText xml:space="preserve"> = 6 \* GB3 \* MERGEFORMAT </w:instrText>
            </w:r>
            <w:r>
              <w:rPr>
                <w:rFonts w:hint="default" w:ascii="Times New Roman" w:hAnsi="Times New Roman" w:cs="Times New Roman" w:eastAsiaTheme="minorEastAsia"/>
                <w:b/>
                <w:bCs/>
                <w:snapToGrid w:val="0"/>
                <w:color w:val="auto"/>
                <w:spacing w:val="-16"/>
                <w:kern w:val="21"/>
                <w:sz w:val="21"/>
                <w:szCs w:val="21"/>
                <w:highlight w:val="none"/>
              </w:rPr>
              <w:fldChar w:fldCharType="separate"/>
            </w:r>
            <w:r>
              <w:rPr>
                <w:rFonts w:hint="default" w:ascii="Times New Roman" w:hAnsi="Times New Roman" w:cs="Times New Roman" w:eastAsiaTheme="minorEastAsia"/>
                <w:b/>
                <w:bCs/>
                <w:color w:val="auto"/>
                <w:sz w:val="21"/>
                <w:szCs w:val="21"/>
                <w:highlight w:val="none"/>
              </w:rPr>
              <w:t>⑥</w:t>
            </w:r>
            <w:r>
              <w:rPr>
                <w:rFonts w:hint="default" w:ascii="Times New Roman" w:hAnsi="Times New Roman" w:cs="Times New Roman" w:eastAsiaTheme="minorEastAsia"/>
                <w:b/>
                <w:bCs/>
                <w:snapToGrid w:val="0"/>
                <w:color w:val="auto"/>
                <w:spacing w:val="-16"/>
                <w:kern w:val="21"/>
                <w:sz w:val="21"/>
                <w:szCs w:val="21"/>
                <w:highlight w:val="none"/>
              </w:rPr>
              <w:fldChar w:fldCharType="end"/>
            </w:r>
          </w:p>
        </w:tc>
        <w:tc>
          <w:tcPr>
            <w:tcW w:w="1242" w:type="dxa"/>
            <w:tcMar>
              <w:left w:w="28" w:type="dxa"/>
              <w:right w:w="28" w:type="dxa"/>
            </w:tcMar>
            <w:vAlign w:val="center"/>
          </w:tcPr>
          <w:p w14:paraId="5D87C0A5">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snapToGrid w:val="0"/>
                <w:color w:val="auto"/>
                <w:spacing w:val="-6"/>
                <w:kern w:val="21"/>
                <w:sz w:val="21"/>
                <w:szCs w:val="21"/>
                <w:highlight w:val="none"/>
              </w:rPr>
            </w:pPr>
            <w:r>
              <w:rPr>
                <w:rFonts w:hint="default" w:ascii="Times New Roman" w:hAnsi="Times New Roman" w:cs="Times New Roman" w:eastAsiaTheme="minorEastAsia"/>
                <w:b/>
                <w:bCs/>
                <w:snapToGrid w:val="0"/>
                <w:color w:val="auto"/>
                <w:spacing w:val="-6"/>
                <w:kern w:val="21"/>
                <w:sz w:val="21"/>
                <w:szCs w:val="21"/>
                <w:highlight w:val="none"/>
              </w:rPr>
              <w:t>变化量</w:t>
            </w:r>
          </w:p>
          <w:p w14:paraId="3BF660D2">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b/>
                <w:bCs/>
                <w:snapToGrid w:val="0"/>
                <w:color w:val="auto"/>
                <w:spacing w:val="-6"/>
                <w:kern w:val="21"/>
                <w:sz w:val="21"/>
                <w:szCs w:val="21"/>
                <w:highlight w:val="none"/>
              </w:rPr>
            </w:pPr>
            <w:r>
              <w:rPr>
                <w:rFonts w:hint="default" w:ascii="Times New Roman" w:hAnsi="Times New Roman" w:cs="Times New Roman" w:eastAsiaTheme="minorEastAsia"/>
                <w:b/>
                <w:bCs/>
                <w:snapToGrid w:val="0"/>
                <w:color w:val="auto"/>
                <w:spacing w:val="-6"/>
                <w:kern w:val="21"/>
                <w:sz w:val="21"/>
                <w:szCs w:val="21"/>
                <w:highlight w:val="none"/>
              </w:rPr>
              <w:fldChar w:fldCharType="begin"/>
            </w:r>
            <w:r>
              <w:rPr>
                <w:rFonts w:hint="default" w:ascii="Times New Roman" w:hAnsi="Times New Roman" w:cs="Times New Roman" w:eastAsiaTheme="minorEastAsia"/>
                <w:b/>
                <w:bCs/>
                <w:snapToGrid w:val="0"/>
                <w:color w:val="auto"/>
                <w:spacing w:val="-6"/>
                <w:kern w:val="21"/>
                <w:sz w:val="21"/>
                <w:szCs w:val="21"/>
                <w:highlight w:val="none"/>
              </w:rPr>
              <w:instrText xml:space="preserve"> = 7 \* GB3 \* MERGEFORMAT </w:instrText>
            </w:r>
            <w:r>
              <w:rPr>
                <w:rFonts w:hint="default" w:ascii="Times New Roman" w:hAnsi="Times New Roman" w:cs="Times New Roman" w:eastAsiaTheme="minorEastAsia"/>
                <w:b/>
                <w:bCs/>
                <w:snapToGrid w:val="0"/>
                <w:color w:val="auto"/>
                <w:spacing w:val="-6"/>
                <w:kern w:val="21"/>
                <w:sz w:val="21"/>
                <w:szCs w:val="21"/>
                <w:highlight w:val="none"/>
              </w:rPr>
              <w:fldChar w:fldCharType="separate"/>
            </w:r>
            <w:r>
              <w:rPr>
                <w:rFonts w:hint="default" w:ascii="Times New Roman" w:hAnsi="Times New Roman" w:cs="Times New Roman" w:eastAsiaTheme="minorEastAsia"/>
                <w:b/>
                <w:bCs/>
                <w:color w:val="auto"/>
                <w:sz w:val="21"/>
                <w:szCs w:val="21"/>
                <w:highlight w:val="none"/>
              </w:rPr>
              <w:t>⑦</w:t>
            </w:r>
            <w:r>
              <w:rPr>
                <w:rFonts w:hint="default" w:ascii="Times New Roman" w:hAnsi="Times New Roman" w:cs="Times New Roman" w:eastAsiaTheme="minorEastAsia"/>
                <w:b/>
                <w:bCs/>
                <w:snapToGrid w:val="0"/>
                <w:color w:val="auto"/>
                <w:spacing w:val="-6"/>
                <w:kern w:val="21"/>
                <w:sz w:val="21"/>
                <w:szCs w:val="21"/>
                <w:highlight w:val="none"/>
              </w:rPr>
              <w:fldChar w:fldCharType="end"/>
            </w:r>
          </w:p>
        </w:tc>
      </w:tr>
      <w:tr w14:paraId="3515F2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restart"/>
            <w:vAlign w:val="center"/>
          </w:tcPr>
          <w:p w14:paraId="242AF5E2">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废气</w:t>
            </w:r>
          </w:p>
        </w:tc>
        <w:tc>
          <w:tcPr>
            <w:tcW w:w="1929" w:type="dxa"/>
            <w:vAlign w:val="center"/>
          </w:tcPr>
          <w:p w14:paraId="1F27A1DD">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rPr>
            </w:pPr>
            <w:r>
              <w:rPr>
                <w:rFonts w:hint="eastAsia"/>
                <w:color w:val="auto"/>
                <w:sz w:val="21"/>
                <w:szCs w:val="21"/>
                <w:highlight w:val="none"/>
                <w:lang w:val="en-US" w:eastAsia="zh-CN"/>
              </w:rPr>
              <w:t>氨</w:t>
            </w:r>
          </w:p>
        </w:tc>
        <w:tc>
          <w:tcPr>
            <w:tcW w:w="1636" w:type="dxa"/>
            <w:vAlign w:val="center"/>
          </w:tcPr>
          <w:p w14:paraId="4E796F0E">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rPr>
            </w:pPr>
            <w:r>
              <w:rPr>
                <w:rFonts w:hint="eastAsia"/>
                <w:color w:val="auto"/>
                <w:sz w:val="21"/>
                <w:szCs w:val="21"/>
                <w:highlight w:val="none"/>
                <w:lang w:val="en-US" w:eastAsia="zh-CN"/>
              </w:rPr>
              <w:t>2.107</w:t>
            </w:r>
          </w:p>
        </w:tc>
        <w:tc>
          <w:tcPr>
            <w:tcW w:w="1081" w:type="dxa"/>
            <w:vAlign w:val="center"/>
          </w:tcPr>
          <w:p w14:paraId="23A648C6">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735" w:type="dxa"/>
            <w:vAlign w:val="center"/>
          </w:tcPr>
          <w:p w14:paraId="3D42A1DB">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shd w:val="clear" w:color="auto" w:fill="auto"/>
            <w:vAlign w:val="center"/>
          </w:tcPr>
          <w:p w14:paraId="404824CD">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0.914</w:t>
            </w:r>
          </w:p>
        </w:tc>
        <w:tc>
          <w:tcPr>
            <w:tcW w:w="1796" w:type="dxa"/>
            <w:shd w:val="clear" w:color="auto" w:fill="auto"/>
            <w:vAlign w:val="center"/>
          </w:tcPr>
          <w:p w14:paraId="2AB8A8F0">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0.927</w:t>
            </w:r>
          </w:p>
        </w:tc>
        <w:tc>
          <w:tcPr>
            <w:tcW w:w="1730" w:type="dxa"/>
            <w:shd w:val="clear" w:color="auto" w:fill="auto"/>
            <w:vAlign w:val="center"/>
          </w:tcPr>
          <w:p w14:paraId="0935B8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2.094</w:t>
            </w:r>
          </w:p>
        </w:tc>
        <w:tc>
          <w:tcPr>
            <w:tcW w:w="1242" w:type="dxa"/>
            <w:shd w:val="clear" w:color="auto" w:fill="auto"/>
            <w:vAlign w:val="center"/>
          </w:tcPr>
          <w:p w14:paraId="6CE8AB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-0.013</w:t>
            </w:r>
          </w:p>
        </w:tc>
      </w:tr>
      <w:tr w14:paraId="097144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25FBB801">
            <w:pPr>
              <w:keepNext w:val="0"/>
              <w:keepLines w:val="0"/>
              <w:pageBreakBefore w:val="0"/>
              <w:kinsoku/>
              <w:wordWrap/>
              <w:overflowPunct/>
              <w:topLinePunct w:val="0"/>
              <w:autoSpaceDE/>
              <w:autoSpaceDN/>
              <w:bidi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vAlign w:val="center"/>
          </w:tcPr>
          <w:p w14:paraId="44CEB2AA">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rPr>
            </w:pPr>
            <w:r>
              <w:rPr>
                <w:rFonts w:hint="eastAsia"/>
                <w:color w:val="auto"/>
                <w:sz w:val="21"/>
                <w:szCs w:val="21"/>
                <w:highlight w:val="none"/>
                <w:lang w:val="en-US" w:eastAsia="zh-CN"/>
              </w:rPr>
              <w:t>硫化氢</w:t>
            </w:r>
          </w:p>
        </w:tc>
        <w:tc>
          <w:tcPr>
            <w:tcW w:w="1636" w:type="dxa"/>
            <w:vAlign w:val="center"/>
          </w:tcPr>
          <w:p w14:paraId="48A8F55B">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rPr>
            </w:pPr>
            <w:r>
              <w:rPr>
                <w:rFonts w:hint="eastAsia"/>
                <w:color w:val="auto"/>
                <w:sz w:val="21"/>
                <w:szCs w:val="21"/>
                <w:highlight w:val="none"/>
                <w:lang w:val="en-US" w:eastAsia="zh-CN"/>
              </w:rPr>
              <w:t>0.179</w:t>
            </w:r>
          </w:p>
        </w:tc>
        <w:tc>
          <w:tcPr>
            <w:tcW w:w="1081" w:type="dxa"/>
            <w:vAlign w:val="center"/>
          </w:tcPr>
          <w:p w14:paraId="14D9767C">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735" w:type="dxa"/>
            <w:vAlign w:val="center"/>
          </w:tcPr>
          <w:p w14:paraId="75A31F07">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shd w:val="clear" w:color="auto" w:fill="auto"/>
            <w:vAlign w:val="center"/>
          </w:tcPr>
          <w:p w14:paraId="0DEA414A">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0.092</w:t>
            </w:r>
          </w:p>
        </w:tc>
        <w:tc>
          <w:tcPr>
            <w:tcW w:w="1796" w:type="dxa"/>
            <w:shd w:val="clear" w:color="auto" w:fill="auto"/>
            <w:vAlign w:val="center"/>
          </w:tcPr>
          <w:p w14:paraId="6ED75D2A">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0.1221</w:t>
            </w:r>
          </w:p>
        </w:tc>
        <w:tc>
          <w:tcPr>
            <w:tcW w:w="1730" w:type="dxa"/>
            <w:shd w:val="clear" w:color="auto" w:fill="auto"/>
            <w:vAlign w:val="center"/>
          </w:tcPr>
          <w:p w14:paraId="571E17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0.1489</w:t>
            </w:r>
          </w:p>
        </w:tc>
        <w:tc>
          <w:tcPr>
            <w:tcW w:w="1242" w:type="dxa"/>
            <w:shd w:val="clear" w:color="auto" w:fill="auto"/>
            <w:vAlign w:val="center"/>
          </w:tcPr>
          <w:p w14:paraId="387F5F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-0.0301</w:t>
            </w:r>
          </w:p>
        </w:tc>
      </w:tr>
      <w:tr w14:paraId="295539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59601E67">
            <w:pPr>
              <w:keepNext w:val="0"/>
              <w:keepLines w:val="0"/>
              <w:pageBreakBefore w:val="0"/>
              <w:kinsoku/>
              <w:wordWrap/>
              <w:overflowPunct/>
              <w:topLinePunct w:val="0"/>
              <w:autoSpaceDE/>
              <w:autoSpaceDN/>
              <w:bidi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vAlign w:val="center"/>
          </w:tcPr>
          <w:p w14:paraId="577B4A4E">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rPr>
            </w:pPr>
            <w:r>
              <w:rPr>
                <w:rFonts w:hint="eastAsia"/>
                <w:color w:val="auto"/>
                <w:sz w:val="21"/>
                <w:szCs w:val="21"/>
                <w:highlight w:val="none"/>
                <w:lang w:val="en-US" w:eastAsia="zh-CN"/>
              </w:rPr>
              <w:t>二氧化硫</w:t>
            </w:r>
          </w:p>
        </w:tc>
        <w:tc>
          <w:tcPr>
            <w:tcW w:w="1636" w:type="dxa"/>
            <w:vAlign w:val="center"/>
          </w:tcPr>
          <w:p w14:paraId="2FDE79F7">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rPr>
            </w:pPr>
            <w:r>
              <w:rPr>
                <w:rFonts w:hint="eastAsia"/>
                <w:color w:val="auto"/>
                <w:sz w:val="21"/>
                <w:szCs w:val="21"/>
                <w:highlight w:val="none"/>
                <w:lang w:val="en-US" w:eastAsia="zh-CN"/>
              </w:rPr>
              <w:t>14.311</w:t>
            </w:r>
          </w:p>
        </w:tc>
        <w:tc>
          <w:tcPr>
            <w:tcW w:w="1081" w:type="dxa"/>
            <w:vAlign w:val="center"/>
          </w:tcPr>
          <w:p w14:paraId="04F9B43A">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735" w:type="dxa"/>
            <w:vAlign w:val="center"/>
          </w:tcPr>
          <w:p w14:paraId="7A83D116">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shd w:val="clear" w:color="auto" w:fill="auto"/>
            <w:vAlign w:val="center"/>
          </w:tcPr>
          <w:p w14:paraId="2DF925CA">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0</w:t>
            </w:r>
          </w:p>
        </w:tc>
        <w:tc>
          <w:tcPr>
            <w:tcW w:w="1796" w:type="dxa"/>
            <w:shd w:val="clear" w:color="auto" w:fill="auto"/>
            <w:vAlign w:val="center"/>
          </w:tcPr>
          <w:p w14:paraId="4A2B8655">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3.572</w:t>
            </w:r>
          </w:p>
        </w:tc>
        <w:tc>
          <w:tcPr>
            <w:tcW w:w="1730" w:type="dxa"/>
            <w:shd w:val="clear" w:color="auto" w:fill="auto"/>
            <w:vAlign w:val="center"/>
          </w:tcPr>
          <w:p w14:paraId="02CD3D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10.739</w:t>
            </w:r>
          </w:p>
        </w:tc>
        <w:tc>
          <w:tcPr>
            <w:tcW w:w="1242" w:type="dxa"/>
            <w:shd w:val="clear" w:color="auto" w:fill="auto"/>
            <w:vAlign w:val="center"/>
          </w:tcPr>
          <w:p w14:paraId="16BB45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-3.572</w:t>
            </w:r>
          </w:p>
        </w:tc>
      </w:tr>
      <w:tr w14:paraId="738E04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459D0687">
            <w:pPr>
              <w:keepNext w:val="0"/>
              <w:keepLines w:val="0"/>
              <w:pageBreakBefore w:val="0"/>
              <w:kinsoku/>
              <w:wordWrap/>
              <w:overflowPunct/>
              <w:topLinePunct w:val="0"/>
              <w:autoSpaceDE/>
              <w:autoSpaceDN/>
              <w:bidi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vAlign w:val="center"/>
          </w:tcPr>
          <w:p w14:paraId="34104E6C">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rPr>
            </w:pPr>
            <w:r>
              <w:rPr>
                <w:rFonts w:hint="eastAsia"/>
                <w:color w:val="auto"/>
                <w:sz w:val="21"/>
                <w:szCs w:val="21"/>
                <w:highlight w:val="none"/>
                <w:lang w:val="en-US" w:eastAsia="zh-CN"/>
              </w:rPr>
              <w:t>氮氧化物</w:t>
            </w:r>
          </w:p>
        </w:tc>
        <w:tc>
          <w:tcPr>
            <w:tcW w:w="1636" w:type="dxa"/>
            <w:vAlign w:val="center"/>
          </w:tcPr>
          <w:p w14:paraId="709D55DB">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rPr>
            </w:pPr>
            <w:r>
              <w:rPr>
                <w:rFonts w:hint="eastAsia"/>
                <w:color w:val="auto"/>
                <w:sz w:val="21"/>
                <w:szCs w:val="21"/>
                <w:highlight w:val="none"/>
                <w:lang w:val="en-US" w:eastAsia="zh-CN"/>
              </w:rPr>
              <w:t>6.843</w:t>
            </w:r>
          </w:p>
        </w:tc>
        <w:tc>
          <w:tcPr>
            <w:tcW w:w="1081" w:type="dxa"/>
            <w:vAlign w:val="center"/>
          </w:tcPr>
          <w:p w14:paraId="5EF39D7B">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735" w:type="dxa"/>
            <w:vAlign w:val="center"/>
          </w:tcPr>
          <w:p w14:paraId="42ED5951">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shd w:val="clear" w:color="auto" w:fill="auto"/>
            <w:vAlign w:val="center"/>
          </w:tcPr>
          <w:p w14:paraId="268845E7">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0</w:t>
            </w:r>
          </w:p>
        </w:tc>
        <w:tc>
          <w:tcPr>
            <w:tcW w:w="1796" w:type="dxa"/>
            <w:shd w:val="clear" w:color="auto" w:fill="auto"/>
            <w:vAlign w:val="center"/>
          </w:tcPr>
          <w:p w14:paraId="54EE81B6">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4.869</w:t>
            </w:r>
          </w:p>
        </w:tc>
        <w:tc>
          <w:tcPr>
            <w:tcW w:w="1730" w:type="dxa"/>
            <w:shd w:val="clear" w:color="auto" w:fill="auto"/>
            <w:vAlign w:val="center"/>
          </w:tcPr>
          <w:p w14:paraId="5CF318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1.974</w:t>
            </w:r>
          </w:p>
        </w:tc>
        <w:tc>
          <w:tcPr>
            <w:tcW w:w="1242" w:type="dxa"/>
            <w:shd w:val="clear" w:color="auto" w:fill="auto"/>
            <w:vAlign w:val="center"/>
          </w:tcPr>
          <w:p w14:paraId="74F845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-4.869</w:t>
            </w:r>
          </w:p>
        </w:tc>
      </w:tr>
      <w:tr w14:paraId="17966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2A48EE8C">
            <w:pPr>
              <w:keepNext w:val="0"/>
              <w:keepLines w:val="0"/>
              <w:pageBreakBefore w:val="0"/>
              <w:kinsoku/>
              <w:wordWrap/>
              <w:overflowPunct/>
              <w:topLinePunct w:val="0"/>
              <w:autoSpaceDE/>
              <w:autoSpaceDN/>
              <w:bidi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vAlign w:val="center"/>
          </w:tcPr>
          <w:p w14:paraId="4AF43737">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rPr>
            </w:pPr>
            <w:r>
              <w:rPr>
                <w:rFonts w:hint="eastAsia"/>
                <w:color w:val="auto"/>
                <w:sz w:val="21"/>
                <w:szCs w:val="21"/>
                <w:highlight w:val="none"/>
                <w:lang w:val="en-US" w:eastAsia="zh-CN"/>
              </w:rPr>
              <w:t>颗粒物</w:t>
            </w:r>
          </w:p>
        </w:tc>
        <w:tc>
          <w:tcPr>
            <w:tcW w:w="1636" w:type="dxa"/>
            <w:vAlign w:val="center"/>
          </w:tcPr>
          <w:p w14:paraId="15F72854">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cs="Times New Roman" w:eastAsiaTheme="minorEastAsia"/>
                <w:snapToGrid w:val="0"/>
                <w:color w:val="auto"/>
                <w:kern w:val="21"/>
                <w:sz w:val="21"/>
                <w:szCs w:val="21"/>
                <w:highlight w:val="none"/>
              </w:rPr>
            </w:pPr>
            <w:r>
              <w:rPr>
                <w:rFonts w:hint="eastAsia"/>
                <w:color w:val="auto"/>
                <w:sz w:val="21"/>
                <w:szCs w:val="21"/>
                <w:highlight w:val="none"/>
                <w:lang w:val="en-US" w:eastAsia="zh-CN"/>
              </w:rPr>
              <w:t>2.1317</w:t>
            </w:r>
          </w:p>
        </w:tc>
        <w:tc>
          <w:tcPr>
            <w:tcW w:w="1081" w:type="dxa"/>
            <w:vAlign w:val="center"/>
          </w:tcPr>
          <w:p w14:paraId="45D2CED8">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735" w:type="dxa"/>
            <w:vAlign w:val="center"/>
          </w:tcPr>
          <w:p w14:paraId="43561461">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shd w:val="clear" w:color="auto" w:fill="auto"/>
            <w:vAlign w:val="center"/>
          </w:tcPr>
          <w:p w14:paraId="585893E5">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2.006</w:t>
            </w:r>
          </w:p>
        </w:tc>
        <w:tc>
          <w:tcPr>
            <w:tcW w:w="1796" w:type="dxa"/>
            <w:shd w:val="clear" w:color="auto" w:fill="auto"/>
            <w:vAlign w:val="center"/>
          </w:tcPr>
          <w:p w14:paraId="592E9D0B">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szCs w:val="21"/>
                <w:highlight w:val="none"/>
                <w:lang w:val="en-US" w:eastAsia="zh-CN"/>
              </w:rPr>
              <w:t>1.5577</w:t>
            </w:r>
          </w:p>
        </w:tc>
        <w:tc>
          <w:tcPr>
            <w:tcW w:w="1730" w:type="dxa"/>
            <w:shd w:val="clear" w:color="auto" w:fill="auto"/>
            <w:vAlign w:val="center"/>
          </w:tcPr>
          <w:p w14:paraId="6C4B9B9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2.58</w:t>
            </w:r>
          </w:p>
        </w:tc>
        <w:tc>
          <w:tcPr>
            <w:tcW w:w="1242" w:type="dxa"/>
            <w:shd w:val="clear" w:color="auto" w:fill="auto"/>
            <w:vAlign w:val="center"/>
          </w:tcPr>
          <w:p w14:paraId="2B9BEB1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+0.4483</w:t>
            </w:r>
          </w:p>
        </w:tc>
      </w:tr>
      <w:tr w14:paraId="4596BD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7F766A78">
            <w:pPr>
              <w:keepNext w:val="0"/>
              <w:keepLines w:val="0"/>
              <w:pageBreakBefore w:val="0"/>
              <w:kinsoku/>
              <w:wordWrap/>
              <w:overflowPunct/>
              <w:topLinePunct w:val="0"/>
              <w:autoSpaceDE/>
              <w:autoSpaceDN/>
              <w:bidi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vAlign w:val="center"/>
          </w:tcPr>
          <w:p w14:paraId="7CDF71A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油烟kg/a</w:t>
            </w:r>
          </w:p>
        </w:tc>
        <w:tc>
          <w:tcPr>
            <w:tcW w:w="1636" w:type="dxa"/>
            <w:vAlign w:val="center"/>
          </w:tcPr>
          <w:p w14:paraId="231821C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1.7982</w:t>
            </w:r>
          </w:p>
        </w:tc>
        <w:tc>
          <w:tcPr>
            <w:tcW w:w="1081" w:type="dxa"/>
            <w:vAlign w:val="center"/>
          </w:tcPr>
          <w:p w14:paraId="6FD5CBB4">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1735" w:type="dxa"/>
            <w:vAlign w:val="center"/>
          </w:tcPr>
          <w:p w14:paraId="77F4997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vAlign w:val="center"/>
          </w:tcPr>
          <w:p w14:paraId="7DB1868F">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0</w:t>
            </w:r>
          </w:p>
        </w:tc>
        <w:tc>
          <w:tcPr>
            <w:tcW w:w="1796" w:type="dxa"/>
            <w:vAlign w:val="center"/>
          </w:tcPr>
          <w:p w14:paraId="1E840BAB">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0</w:t>
            </w:r>
          </w:p>
        </w:tc>
        <w:tc>
          <w:tcPr>
            <w:tcW w:w="1730" w:type="dxa"/>
            <w:vAlign w:val="center"/>
          </w:tcPr>
          <w:p w14:paraId="4AC0725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1.7982</w:t>
            </w:r>
          </w:p>
        </w:tc>
        <w:tc>
          <w:tcPr>
            <w:tcW w:w="1242" w:type="dxa"/>
            <w:vAlign w:val="center"/>
          </w:tcPr>
          <w:p w14:paraId="53F0526B">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0</w:t>
            </w:r>
          </w:p>
        </w:tc>
      </w:tr>
      <w:tr w14:paraId="357CF6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restart"/>
            <w:vAlign w:val="center"/>
          </w:tcPr>
          <w:p w14:paraId="42F63690">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snapToGrid w:val="0"/>
                <w:color w:val="auto"/>
                <w:kern w:val="21"/>
                <w:sz w:val="21"/>
                <w:szCs w:val="21"/>
                <w:highlight w:val="none"/>
              </w:rPr>
              <w:t>废水</w:t>
            </w:r>
          </w:p>
        </w:tc>
        <w:tc>
          <w:tcPr>
            <w:tcW w:w="1929" w:type="dxa"/>
            <w:vAlign w:val="center"/>
          </w:tcPr>
          <w:p w14:paraId="7A98010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废水量</w:t>
            </w:r>
          </w:p>
        </w:tc>
        <w:tc>
          <w:tcPr>
            <w:tcW w:w="1636" w:type="dxa"/>
            <w:vAlign w:val="center"/>
          </w:tcPr>
          <w:p w14:paraId="346D98F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snapToGrid w:val="0"/>
                <w:color w:val="auto"/>
                <w:kern w:val="21"/>
                <w:sz w:val="21"/>
                <w:szCs w:val="21"/>
                <w:highlight w:val="none"/>
              </w:rPr>
              <w:t>237486.276</w:t>
            </w:r>
          </w:p>
        </w:tc>
        <w:tc>
          <w:tcPr>
            <w:tcW w:w="1081" w:type="dxa"/>
            <w:vAlign w:val="center"/>
          </w:tcPr>
          <w:p w14:paraId="6B92AAD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1735" w:type="dxa"/>
            <w:vAlign w:val="center"/>
          </w:tcPr>
          <w:p w14:paraId="74B0521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vAlign w:val="center"/>
          </w:tcPr>
          <w:p w14:paraId="2B4A3CD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6492.83</w:t>
            </w:r>
          </w:p>
        </w:tc>
        <w:tc>
          <w:tcPr>
            <w:tcW w:w="1796" w:type="dxa"/>
            <w:vAlign w:val="center"/>
          </w:tcPr>
          <w:p w14:paraId="5A0D8B2D">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14285.7</w:t>
            </w:r>
          </w:p>
        </w:tc>
        <w:tc>
          <w:tcPr>
            <w:tcW w:w="1730" w:type="dxa"/>
            <w:vAlign w:val="center"/>
          </w:tcPr>
          <w:p w14:paraId="54A13395">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rPr>
            </w:pPr>
            <w:r>
              <w:rPr>
                <w:rFonts w:hint="eastAsia" w:ascii="Times New Roman" w:hAnsi="Times New Roman" w:cs="Times New Roman" w:eastAsiaTheme="minorEastAsia"/>
                <w:snapToGrid w:val="0"/>
                <w:color w:val="auto"/>
                <w:kern w:val="21"/>
                <w:sz w:val="21"/>
                <w:szCs w:val="21"/>
                <w:highlight w:val="none"/>
                <w:lang w:val="en-US" w:eastAsia="zh-CN"/>
              </w:rPr>
              <w:t>229693.41</w:t>
            </w:r>
          </w:p>
        </w:tc>
        <w:tc>
          <w:tcPr>
            <w:tcW w:w="1242" w:type="dxa"/>
            <w:vAlign w:val="center"/>
          </w:tcPr>
          <w:p w14:paraId="4744CD18">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eastAsia" w:cs="Times New Roman" w:eastAsiaTheme="minorEastAsia"/>
                <w:snapToGrid w:val="0"/>
                <w:color w:val="auto"/>
                <w:kern w:val="21"/>
                <w:sz w:val="21"/>
                <w:szCs w:val="21"/>
                <w:highlight w:val="none"/>
                <w:lang w:val="en-US" w:eastAsia="zh-CN"/>
              </w:rPr>
              <w:t>-</w:t>
            </w:r>
            <w:r>
              <w:rPr>
                <w:rFonts w:hint="eastAsia" w:ascii="Times New Roman" w:hAnsi="Times New Roman" w:cs="Times New Roman" w:eastAsiaTheme="minorEastAsia"/>
                <w:snapToGrid w:val="0"/>
                <w:color w:val="auto"/>
                <w:kern w:val="21"/>
                <w:sz w:val="21"/>
                <w:szCs w:val="21"/>
                <w:highlight w:val="none"/>
                <w:lang w:val="en-US" w:eastAsia="zh-CN"/>
              </w:rPr>
              <w:t>14285.7</w:t>
            </w:r>
          </w:p>
        </w:tc>
      </w:tr>
      <w:tr w14:paraId="0DA8AB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15FAEC64">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shd w:val="clear" w:color="auto" w:fill="auto"/>
            <w:vAlign w:val="center"/>
          </w:tcPr>
          <w:p w14:paraId="564B65B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COD</w:t>
            </w:r>
          </w:p>
        </w:tc>
        <w:tc>
          <w:tcPr>
            <w:tcW w:w="1636" w:type="dxa"/>
            <w:shd w:val="clear" w:color="auto" w:fill="auto"/>
            <w:vAlign w:val="center"/>
          </w:tcPr>
          <w:p w14:paraId="258AB9F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40.14</w:t>
            </w:r>
          </w:p>
        </w:tc>
        <w:tc>
          <w:tcPr>
            <w:tcW w:w="1081" w:type="dxa"/>
            <w:shd w:val="clear" w:color="auto" w:fill="auto"/>
            <w:vAlign w:val="center"/>
          </w:tcPr>
          <w:p w14:paraId="560DC679">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w:t>
            </w:r>
          </w:p>
        </w:tc>
        <w:tc>
          <w:tcPr>
            <w:tcW w:w="1735" w:type="dxa"/>
            <w:shd w:val="clear" w:color="auto" w:fill="auto"/>
            <w:vAlign w:val="center"/>
          </w:tcPr>
          <w:p w14:paraId="6983E63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shd w:val="clear" w:color="auto" w:fill="auto"/>
            <w:vAlign w:val="center"/>
          </w:tcPr>
          <w:p w14:paraId="04230EF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0.818</w:t>
            </w:r>
          </w:p>
        </w:tc>
        <w:tc>
          <w:tcPr>
            <w:tcW w:w="1796" w:type="dxa"/>
            <w:shd w:val="clear" w:color="auto" w:fill="auto"/>
            <w:vAlign w:val="center"/>
          </w:tcPr>
          <w:p w14:paraId="5002DF4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2.414</w:t>
            </w:r>
          </w:p>
        </w:tc>
        <w:tc>
          <w:tcPr>
            <w:tcW w:w="1730" w:type="dxa"/>
            <w:shd w:val="clear" w:color="auto" w:fill="auto"/>
            <w:vAlign w:val="center"/>
          </w:tcPr>
          <w:p w14:paraId="193D22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38.544</w:t>
            </w:r>
          </w:p>
        </w:tc>
        <w:tc>
          <w:tcPr>
            <w:tcW w:w="1242" w:type="dxa"/>
            <w:shd w:val="clear" w:color="auto" w:fill="auto"/>
            <w:vAlign w:val="center"/>
          </w:tcPr>
          <w:p w14:paraId="596EE088">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-1.596</w:t>
            </w:r>
          </w:p>
        </w:tc>
      </w:tr>
      <w:tr w14:paraId="1791CB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1AC295C2">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shd w:val="clear" w:color="auto" w:fill="auto"/>
            <w:vAlign w:val="center"/>
          </w:tcPr>
          <w:p w14:paraId="35F7E2D5">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BOD</w:t>
            </w:r>
            <w:r>
              <w:rPr>
                <w:rFonts w:hint="default" w:ascii="Times New Roman" w:hAnsi="Times New Roman" w:cs="Times New Roman" w:eastAsiaTheme="minorEastAsia"/>
                <w:color w:val="auto"/>
                <w:kern w:val="0"/>
                <w:sz w:val="21"/>
                <w:szCs w:val="21"/>
                <w:highlight w:val="none"/>
                <w:vertAlign w:val="subscript"/>
                <w:lang w:bidi="ar"/>
              </w:rPr>
              <w:t>5</w:t>
            </w:r>
          </w:p>
        </w:tc>
        <w:tc>
          <w:tcPr>
            <w:tcW w:w="1636" w:type="dxa"/>
            <w:shd w:val="clear" w:color="auto" w:fill="auto"/>
            <w:vAlign w:val="center"/>
          </w:tcPr>
          <w:p w14:paraId="01C5D76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14.843</w:t>
            </w:r>
          </w:p>
        </w:tc>
        <w:tc>
          <w:tcPr>
            <w:tcW w:w="1081" w:type="dxa"/>
            <w:shd w:val="clear" w:color="auto" w:fill="auto"/>
            <w:vAlign w:val="center"/>
          </w:tcPr>
          <w:p w14:paraId="1DE64678">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w:t>
            </w:r>
          </w:p>
        </w:tc>
        <w:tc>
          <w:tcPr>
            <w:tcW w:w="1735" w:type="dxa"/>
            <w:shd w:val="clear" w:color="auto" w:fill="auto"/>
            <w:vAlign w:val="center"/>
          </w:tcPr>
          <w:p w14:paraId="262A2338">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shd w:val="clear" w:color="auto" w:fill="auto"/>
            <w:vAlign w:val="center"/>
          </w:tcPr>
          <w:p w14:paraId="3995D99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0.390</w:t>
            </w:r>
          </w:p>
        </w:tc>
        <w:tc>
          <w:tcPr>
            <w:tcW w:w="1796" w:type="dxa"/>
            <w:shd w:val="clear" w:color="auto" w:fill="auto"/>
            <w:vAlign w:val="center"/>
          </w:tcPr>
          <w:p w14:paraId="44CA0D5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0.893</w:t>
            </w:r>
          </w:p>
        </w:tc>
        <w:tc>
          <w:tcPr>
            <w:tcW w:w="1730" w:type="dxa"/>
            <w:shd w:val="clear" w:color="auto" w:fill="auto"/>
            <w:vAlign w:val="center"/>
          </w:tcPr>
          <w:p w14:paraId="166E8A0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14.34</w:t>
            </w:r>
          </w:p>
        </w:tc>
        <w:tc>
          <w:tcPr>
            <w:tcW w:w="1242" w:type="dxa"/>
            <w:shd w:val="clear" w:color="auto" w:fill="auto"/>
            <w:vAlign w:val="center"/>
          </w:tcPr>
          <w:p w14:paraId="29B172E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-0.503</w:t>
            </w:r>
          </w:p>
        </w:tc>
      </w:tr>
      <w:tr w14:paraId="49C7BB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4F3047F2">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shd w:val="clear" w:color="auto" w:fill="auto"/>
            <w:vAlign w:val="center"/>
          </w:tcPr>
          <w:p w14:paraId="0A44F100">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SS</w:t>
            </w:r>
          </w:p>
        </w:tc>
        <w:tc>
          <w:tcPr>
            <w:tcW w:w="1636" w:type="dxa"/>
            <w:shd w:val="clear" w:color="auto" w:fill="auto"/>
            <w:vAlign w:val="center"/>
          </w:tcPr>
          <w:p w14:paraId="11DE3790">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8.787</w:t>
            </w:r>
          </w:p>
        </w:tc>
        <w:tc>
          <w:tcPr>
            <w:tcW w:w="1081" w:type="dxa"/>
            <w:shd w:val="clear" w:color="auto" w:fill="auto"/>
            <w:vAlign w:val="center"/>
          </w:tcPr>
          <w:p w14:paraId="15064963">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w:t>
            </w:r>
          </w:p>
        </w:tc>
        <w:tc>
          <w:tcPr>
            <w:tcW w:w="1735" w:type="dxa"/>
            <w:shd w:val="clear" w:color="auto" w:fill="auto"/>
            <w:vAlign w:val="center"/>
          </w:tcPr>
          <w:p w14:paraId="2D3A05AD">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shd w:val="clear" w:color="auto" w:fill="auto"/>
            <w:vAlign w:val="center"/>
          </w:tcPr>
          <w:p w14:paraId="25F885D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0.208</w:t>
            </w:r>
          </w:p>
        </w:tc>
        <w:tc>
          <w:tcPr>
            <w:tcW w:w="1796" w:type="dxa"/>
            <w:shd w:val="clear" w:color="auto" w:fill="auto"/>
            <w:vAlign w:val="center"/>
          </w:tcPr>
          <w:p w14:paraId="4A33EB6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0.529</w:t>
            </w:r>
          </w:p>
        </w:tc>
        <w:tc>
          <w:tcPr>
            <w:tcW w:w="1730" w:type="dxa"/>
            <w:shd w:val="clear" w:color="auto" w:fill="auto"/>
            <w:vAlign w:val="center"/>
          </w:tcPr>
          <w:p w14:paraId="44DA241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8.466</w:t>
            </w:r>
          </w:p>
        </w:tc>
        <w:tc>
          <w:tcPr>
            <w:tcW w:w="1242" w:type="dxa"/>
            <w:shd w:val="clear" w:color="auto" w:fill="auto"/>
            <w:vAlign w:val="center"/>
          </w:tcPr>
          <w:p w14:paraId="7FA721C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-0.321</w:t>
            </w:r>
          </w:p>
        </w:tc>
      </w:tr>
      <w:tr w14:paraId="3A1902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0E736F4A">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shd w:val="clear" w:color="auto" w:fill="auto"/>
            <w:vAlign w:val="center"/>
          </w:tcPr>
          <w:p w14:paraId="7D81138A">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NH</w:t>
            </w:r>
            <w:r>
              <w:rPr>
                <w:rFonts w:hint="default" w:ascii="Times New Roman" w:hAnsi="Times New Roman" w:cs="Times New Roman" w:eastAsiaTheme="minorEastAsia"/>
                <w:color w:val="auto"/>
                <w:kern w:val="0"/>
                <w:sz w:val="21"/>
                <w:szCs w:val="21"/>
                <w:highlight w:val="none"/>
                <w:vertAlign w:val="subscript"/>
                <w:lang w:bidi="ar"/>
              </w:rPr>
              <w:t>3</w:t>
            </w:r>
            <w:r>
              <w:rPr>
                <w:rFonts w:hint="default" w:ascii="Times New Roman" w:hAnsi="Times New Roman" w:cs="Times New Roman" w:eastAsiaTheme="minorEastAsia"/>
                <w:color w:val="auto"/>
                <w:kern w:val="0"/>
                <w:sz w:val="21"/>
                <w:szCs w:val="21"/>
                <w:highlight w:val="none"/>
                <w:lang w:bidi="ar"/>
              </w:rPr>
              <w:t>-N</w:t>
            </w:r>
          </w:p>
        </w:tc>
        <w:tc>
          <w:tcPr>
            <w:tcW w:w="1636" w:type="dxa"/>
            <w:shd w:val="clear" w:color="auto" w:fill="auto"/>
            <w:vAlign w:val="center"/>
          </w:tcPr>
          <w:p w14:paraId="5BD79509">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2.921</w:t>
            </w:r>
          </w:p>
        </w:tc>
        <w:tc>
          <w:tcPr>
            <w:tcW w:w="1081" w:type="dxa"/>
            <w:shd w:val="clear" w:color="auto" w:fill="auto"/>
            <w:vAlign w:val="center"/>
          </w:tcPr>
          <w:p w14:paraId="787D5681">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w:t>
            </w:r>
          </w:p>
        </w:tc>
        <w:tc>
          <w:tcPr>
            <w:tcW w:w="1735" w:type="dxa"/>
            <w:shd w:val="clear" w:color="auto" w:fill="auto"/>
            <w:vAlign w:val="center"/>
          </w:tcPr>
          <w:p w14:paraId="7B6C83B4">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shd w:val="clear" w:color="auto" w:fill="auto"/>
            <w:vAlign w:val="center"/>
          </w:tcPr>
          <w:p w14:paraId="0D057F8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0.169</w:t>
            </w:r>
          </w:p>
        </w:tc>
        <w:tc>
          <w:tcPr>
            <w:tcW w:w="1796" w:type="dxa"/>
            <w:shd w:val="clear" w:color="auto" w:fill="auto"/>
            <w:vAlign w:val="center"/>
          </w:tcPr>
          <w:p w14:paraId="26F98674">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0.176</w:t>
            </w:r>
          </w:p>
        </w:tc>
        <w:tc>
          <w:tcPr>
            <w:tcW w:w="1730" w:type="dxa"/>
            <w:shd w:val="clear" w:color="auto" w:fill="auto"/>
            <w:vAlign w:val="center"/>
          </w:tcPr>
          <w:p w14:paraId="4DA7DD0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2.914</w:t>
            </w:r>
          </w:p>
        </w:tc>
        <w:tc>
          <w:tcPr>
            <w:tcW w:w="1242" w:type="dxa"/>
            <w:shd w:val="clear" w:color="auto" w:fill="auto"/>
            <w:vAlign w:val="center"/>
          </w:tcPr>
          <w:p w14:paraId="3BD6CA3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-0.007</w:t>
            </w:r>
          </w:p>
        </w:tc>
      </w:tr>
      <w:tr w14:paraId="06F9DA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6C8FB26C">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shd w:val="clear" w:color="auto" w:fill="auto"/>
            <w:vAlign w:val="center"/>
          </w:tcPr>
          <w:p w14:paraId="5FBCC6C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bidi="ar"/>
              </w:rPr>
              <w:t>TP</w:t>
            </w:r>
          </w:p>
        </w:tc>
        <w:tc>
          <w:tcPr>
            <w:tcW w:w="1636" w:type="dxa"/>
            <w:shd w:val="clear" w:color="auto" w:fill="auto"/>
            <w:vAlign w:val="center"/>
          </w:tcPr>
          <w:p w14:paraId="6822AFB6">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1.696</w:t>
            </w:r>
          </w:p>
        </w:tc>
        <w:tc>
          <w:tcPr>
            <w:tcW w:w="1081" w:type="dxa"/>
            <w:shd w:val="clear" w:color="auto" w:fill="auto"/>
            <w:vAlign w:val="center"/>
          </w:tcPr>
          <w:p w14:paraId="15BBB6C8">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bidi="ar"/>
              </w:rPr>
              <w:t>/</w:t>
            </w:r>
          </w:p>
        </w:tc>
        <w:tc>
          <w:tcPr>
            <w:tcW w:w="1735" w:type="dxa"/>
            <w:shd w:val="clear" w:color="auto" w:fill="auto"/>
            <w:vAlign w:val="center"/>
          </w:tcPr>
          <w:p w14:paraId="5D5FCC14">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shd w:val="clear" w:color="auto" w:fill="auto"/>
            <w:vAlign w:val="center"/>
          </w:tcPr>
          <w:p w14:paraId="3F2508A9">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0.066</w:t>
            </w:r>
          </w:p>
        </w:tc>
        <w:tc>
          <w:tcPr>
            <w:tcW w:w="1796" w:type="dxa"/>
            <w:shd w:val="clear" w:color="auto" w:fill="auto"/>
            <w:vAlign w:val="center"/>
          </w:tcPr>
          <w:p w14:paraId="0ACA1CB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0.102</w:t>
            </w:r>
          </w:p>
        </w:tc>
        <w:tc>
          <w:tcPr>
            <w:tcW w:w="1730" w:type="dxa"/>
            <w:shd w:val="clear" w:color="auto" w:fill="auto"/>
            <w:vAlign w:val="center"/>
          </w:tcPr>
          <w:p w14:paraId="06BCE38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1.66</w:t>
            </w:r>
          </w:p>
        </w:tc>
        <w:tc>
          <w:tcPr>
            <w:tcW w:w="1242" w:type="dxa"/>
            <w:shd w:val="clear" w:color="auto" w:fill="auto"/>
            <w:vAlign w:val="center"/>
          </w:tcPr>
          <w:p w14:paraId="1771E20D">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-0.036</w:t>
            </w:r>
          </w:p>
        </w:tc>
      </w:tr>
      <w:tr w14:paraId="31FE7B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3A2EE995">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shd w:val="clear" w:color="auto" w:fill="auto"/>
            <w:vAlign w:val="center"/>
          </w:tcPr>
          <w:p w14:paraId="34C3D032">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bidi="ar"/>
              </w:rPr>
              <w:t>TN</w:t>
            </w:r>
          </w:p>
        </w:tc>
        <w:tc>
          <w:tcPr>
            <w:tcW w:w="1636" w:type="dxa"/>
            <w:shd w:val="clear" w:color="auto" w:fill="auto"/>
            <w:vAlign w:val="center"/>
          </w:tcPr>
          <w:p w14:paraId="5716EA8D">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5.842</w:t>
            </w:r>
          </w:p>
        </w:tc>
        <w:tc>
          <w:tcPr>
            <w:tcW w:w="1081" w:type="dxa"/>
            <w:shd w:val="clear" w:color="auto" w:fill="auto"/>
            <w:vAlign w:val="center"/>
          </w:tcPr>
          <w:p w14:paraId="2530FBA4">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bidi="ar"/>
              </w:rPr>
              <w:t>/</w:t>
            </w:r>
          </w:p>
        </w:tc>
        <w:tc>
          <w:tcPr>
            <w:tcW w:w="1735" w:type="dxa"/>
            <w:shd w:val="clear" w:color="auto" w:fill="auto"/>
            <w:vAlign w:val="center"/>
          </w:tcPr>
          <w:p w14:paraId="633282F1">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shd w:val="clear" w:color="auto" w:fill="auto"/>
            <w:vAlign w:val="center"/>
          </w:tcPr>
          <w:p w14:paraId="23D63284">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0.234</w:t>
            </w:r>
          </w:p>
        </w:tc>
        <w:tc>
          <w:tcPr>
            <w:tcW w:w="1796" w:type="dxa"/>
            <w:shd w:val="clear" w:color="auto" w:fill="auto"/>
            <w:vAlign w:val="center"/>
          </w:tcPr>
          <w:p w14:paraId="6B5CB90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color w:val="auto"/>
                <w:kern w:val="0"/>
                <w:sz w:val="21"/>
                <w:szCs w:val="21"/>
                <w:highlight w:val="none"/>
                <w:lang w:val="en-US" w:eastAsia="zh-CN" w:bidi="ar"/>
              </w:rPr>
              <w:t>0.351</w:t>
            </w:r>
          </w:p>
        </w:tc>
        <w:tc>
          <w:tcPr>
            <w:tcW w:w="1730" w:type="dxa"/>
            <w:shd w:val="clear" w:color="auto" w:fill="auto"/>
            <w:vAlign w:val="center"/>
          </w:tcPr>
          <w:p w14:paraId="5F345CB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5.725</w:t>
            </w:r>
          </w:p>
        </w:tc>
        <w:tc>
          <w:tcPr>
            <w:tcW w:w="1242" w:type="dxa"/>
            <w:shd w:val="clear" w:color="auto" w:fill="auto"/>
            <w:vAlign w:val="center"/>
          </w:tcPr>
          <w:p w14:paraId="76D7059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-0.117</w:t>
            </w:r>
          </w:p>
        </w:tc>
      </w:tr>
      <w:tr w14:paraId="7ABBDE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restart"/>
            <w:vAlign w:val="center"/>
          </w:tcPr>
          <w:p w14:paraId="1FD4A55F">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snapToGrid w:val="0"/>
                <w:color w:val="auto"/>
                <w:kern w:val="21"/>
                <w:sz w:val="21"/>
                <w:szCs w:val="21"/>
                <w:highlight w:val="none"/>
              </w:rPr>
              <w:t>一般工业</w:t>
            </w:r>
          </w:p>
          <w:p w14:paraId="3BD8EE1A">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snapToGrid w:val="0"/>
                <w:color w:val="auto"/>
                <w:kern w:val="21"/>
                <w:sz w:val="21"/>
                <w:szCs w:val="21"/>
                <w:highlight w:val="none"/>
              </w:rPr>
              <w:t>固体废物</w:t>
            </w:r>
          </w:p>
        </w:tc>
        <w:tc>
          <w:tcPr>
            <w:tcW w:w="1929" w:type="dxa"/>
            <w:vAlign w:val="center"/>
          </w:tcPr>
          <w:p w14:paraId="0C3324F4">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1"/>
                <w:sz w:val="21"/>
                <w:szCs w:val="21"/>
                <w:highlight w:val="none"/>
              </w:rPr>
            </w:pPr>
            <w:r>
              <w:rPr>
                <w:rFonts w:hint="default" w:ascii="Times New Roman" w:hAnsi="Times New Roman" w:cs="Times New Roman" w:eastAsiaTheme="minorEastAsia"/>
                <w:color w:val="auto"/>
                <w:kern w:val="0"/>
                <w:sz w:val="21"/>
                <w:szCs w:val="21"/>
                <w:highlight w:val="none"/>
                <w:lang w:bidi="ar"/>
              </w:rPr>
              <w:t>生活垃圾</w:t>
            </w:r>
          </w:p>
        </w:tc>
        <w:tc>
          <w:tcPr>
            <w:tcW w:w="1636" w:type="dxa"/>
            <w:vAlign w:val="center"/>
          </w:tcPr>
          <w:p w14:paraId="211D5F63">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eastAsia="zh-CN"/>
              </w:rPr>
            </w:pPr>
            <w:r>
              <w:rPr>
                <w:rFonts w:hint="default" w:ascii="Times New Roman" w:hAnsi="Times New Roman" w:cs="Times New Roman" w:eastAsiaTheme="minorEastAsia"/>
                <w:color w:val="auto"/>
                <w:kern w:val="0"/>
                <w:sz w:val="21"/>
                <w:szCs w:val="21"/>
                <w:highlight w:val="none"/>
                <w:lang w:bidi="ar"/>
              </w:rPr>
              <w:t>6.67</w:t>
            </w:r>
          </w:p>
        </w:tc>
        <w:tc>
          <w:tcPr>
            <w:tcW w:w="1081" w:type="dxa"/>
            <w:vAlign w:val="center"/>
          </w:tcPr>
          <w:p w14:paraId="7EE11C06">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1735" w:type="dxa"/>
            <w:vAlign w:val="center"/>
          </w:tcPr>
          <w:p w14:paraId="1CFD01D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vAlign w:val="center"/>
          </w:tcPr>
          <w:p w14:paraId="313BC801">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1"/>
                <w:sz w:val="21"/>
                <w:szCs w:val="21"/>
                <w:highlight w:val="none"/>
                <w:lang w:val="en-US" w:eastAsia="zh-CN"/>
              </w:rPr>
            </w:pPr>
            <w:r>
              <w:rPr>
                <w:rFonts w:hint="eastAsia" w:cs="Times New Roman" w:eastAsiaTheme="minorEastAsia"/>
                <w:color w:val="auto"/>
                <w:kern w:val="1"/>
                <w:sz w:val="21"/>
                <w:szCs w:val="21"/>
                <w:highlight w:val="none"/>
                <w:lang w:val="en-US" w:eastAsia="zh-CN"/>
              </w:rPr>
              <w:t>0</w:t>
            </w:r>
          </w:p>
        </w:tc>
        <w:tc>
          <w:tcPr>
            <w:tcW w:w="1796" w:type="dxa"/>
            <w:vAlign w:val="center"/>
          </w:tcPr>
          <w:p w14:paraId="5D74ABB9">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0</w:t>
            </w:r>
          </w:p>
        </w:tc>
        <w:tc>
          <w:tcPr>
            <w:tcW w:w="1730" w:type="dxa"/>
            <w:vAlign w:val="center"/>
          </w:tcPr>
          <w:p w14:paraId="5FECBE7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1"/>
                <w:sz w:val="21"/>
                <w:szCs w:val="21"/>
                <w:highlight w:val="none"/>
                <w:lang w:val="en-US" w:eastAsia="zh-CN"/>
              </w:rPr>
            </w:pPr>
            <w:r>
              <w:rPr>
                <w:rFonts w:hint="eastAsia" w:cs="Times New Roman" w:eastAsiaTheme="minorEastAsia"/>
                <w:color w:val="auto"/>
                <w:kern w:val="1"/>
                <w:sz w:val="21"/>
                <w:szCs w:val="21"/>
                <w:highlight w:val="none"/>
                <w:lang w:val="en-US" w:eastAsia="zh-CN"/>
              </w:rPr>
              <w:t>6.67</w:t>
            </w:r>
          </w:p>
        </w:tc>
        <w:tc>
          <w:tcPr>
            <w:tcW w:w="1242" w:type="dxa"/>
            <w:vAlign w:val="center"/>
          </w:tcPr>
          <w:p w14:paraId="18547291">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1"/>
                <w:sz w:val="21"/>
                <w:szCs w:val="21"/>
                <w:highlight w:val="none"/>
                <w:lang w:val="en-US" w:eastAsia="zh-CN"/>
              </w:rPr>
            </w:pPr>
            <w:r>
              <w:rPr>
                <w:rFonts w:hint="eastAsia" w:cs="Times New Roman" w:eastAsiaTheme="minorEastAsia"/>
                <w:color w:val="auto"/>
                <w:kern w:val="1"/>
                <w:sz w:val="21"/>
                <w:szCs w:val="21"/>
                <w:highlight w:val="none"/>
                <w:lang w:val="en-US" w:eastAsia="zh-CN"/>
              </w:rPr>
              <w:t>0</w:t>
            </w:r>
          </w:p>
        </w:tc>
      </w:tr>
      <w:tr w14:paraId="65E0DF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1446177F">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vAlign w:val="center"/>
          </w:tcPr>
          <w:p w14:paraId="37FDC346">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default" w:ascii="Times New Roman" w:hAnsi="Times New Roman" w:cs="Times New Roman" w:eastAsiaTheme="minorEastAsia"/>
                <w:color w:val="auto"/>
                <w:kern w:val="0"/>
                <w:sz w:val="21"/>
                <w:szCs w:val="21"/>
                <w:highlight w:val="none"/>
                <w:lang w:bidi="ar"/>
              </w:rPr>
              <w:t>厨房废水</w:t>
            </w:r>
          </w:p>
          <w:p w14:paraId="600025E5">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0"/>
                <w:sz w:val="21"/>
                <w:szCs w:val="21"/>
                <w:highlight w:val="none"/>
              </w:rPr>
            </w:pPr>
            <w:r>
              <w:rPr>
                <w:rFonts w:hint="default" w:ascii="Times New Roman" w:hAnsi="Times New Roman" w:cs="Times New Roman" w:eastAsiaTheme="minorEastAsia"/>
                <w:color w:val="auto"/>
                <w:kern w:val="0"/>
                <w:sz w:val="21"/>
                <w:szCs w:val="21"/>
                <w:highlight w:val="none"/>
                <w:lang w:bidi="ar"/>
              </w:rPr>
              <w:t>隔油器废油</w:t>
            </w:r>
          </w:p>
        </w:tc>
        <w:tc>
          <w:tcPr>
            <w:tcW w:w="1636" w:type="dxa"/>
            <w:vAlign w:val="center"/>
          </w:tcPr>
          <w:p w14:paraId="00BABC54">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eastAsia="zh-CN"/>
              </w:rPr>
            </w:pPr>
            <w:r>
              <w:rPr>
                <w:rFonts w:hint="default" w:ascii="Times New Roman" w:hAnsi="Times New Roman" w:cs="Times New Roman" w:eastAsiaTheme="minorEastAsia"/>
                <w:color w:val="auto"/>
                <w:kern w:val="0"/>
                <w:sz w:val="21"/>
                <w:szCs w:val="21"/>
                <w:highlight w:val="none"/>
                <w:lang w:bidi="ar"/>
              </w:rPr>
              <w:t>0.03</w:t>
            </w:r>
          </w:p>
        </w:tc>
        <w:tc>
          <w:tcPr>
            <w:tcW w:w="1081" w:type="dxa"/>
            <w:vAlign w:val="center"/>
          </w:tcPr>
          <w:p w14:paraId="16D798D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1735" w:type="dxa"/>
            <w:vAlign w:val="center"/>
          </w:tcPr>
          <w:p w14:paraId="680F3E08">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vAlign w:val="center"/>
          </w:tcPr>
          <w:p w14:paraId="2BCB9AA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0"/>
                <w:sz w:val="21"/>
                <w:szCs w:val="21"/>
                <w:highlight w:val="none"/>
                <w:lang w:val="en-US" w:eastAsia="zh-CN"/>
              </w:rPr>
            </w:pPr>
            <w:r>
              <w:rPr>
                <w:rFonts w:hint="eastAsia" w:cs="Times New Roman" w:eastAsiaTheme="minorEastAsia"/>
                <w:snapToGrid w:val="0"/>
                <w:color w:val="auto"/>
                <w:kern w:val="0"/>
                <w:sz w:val="21"/>
                <w:szCs w:val="21"/>
                <w:highlight w:val="none"/>
                <w:lang w:val="en-US" w:eastAsia="zh-CN"/>
              </w:rPr>
              <w:t>0</w:t>
            </w:r>
          </w:p>
        </w:tc>
        <w:tc>
          <w:tcPr>
            <w:tcW w:w="1796" w:type="dxa"/>
            <w:vAlign w:val="center"/>
          </w:tcPr>
          <w:p w14:paraId="3CF8BD74">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0</w:t>
            </w:r>
          </w:p>
        </w:tc>
        <w:tc>
          <w:tcPr>
            <w:tcW w:w="1730" w:type="dxa"/>
            <w:vAlign w:val="center"/>
          </w:tcPr>
          <w:p w14:paraId="2D88DB3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sz w:val="21"/>
                <w:szCs w:val="21"/>
                <w:highlight w:val="none"/>
                <w:lang w:val="en-US" w:eastAsia="zh-CN"/>
              </w:rPr>
            </w:pPr>
            <w:r>
              <w:rPr>
                <w:rFonts w:hint="eastAsia" w:cs="Times New Roman" w:eastAsiaTheme="minorEastAsia"/>
                <w:snapToGrid w:val="0"/>
                <w:color w:val="auto"/>
                <w:sz w:val="21"/>
                <w:szCs w:val="21"/>
                <w:highlight w:val="none"/>
                <w:lang w:val="en-US" w:eastAsia="zh-CN"/>
              </w:rPr>
              <w:t>0.03</w:t>
            </w:r>
          </w:p>
        </w:tc>
        <w:tc>
          <w:tcPr>
            <w:tcW w:w="1242" w:type="dxa"/>
            <w:vAlign w:val="center"/>
          </w:tcPr>
          <w:p w14:paraId="764F93AA">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sz w:val="21"/>
                <w:szCs w:val="21"/>
                <w:highlight w:val="none"/>
                <w:lang w:val="en-US" w:eastAsia="zh-CN"/>
              </w:rPr>
            </w:pPr>
            <w:r>
              <w:rPr>
                <w:rFonts w:hint="eastAsia" w:cs="Times New Roman" w:eastAsiaTheme="minorEastAsia"/>
                <w:snapToGrid w:val="0"/>
                <w:color w:val="auto"/>
                <w:sz w:val="21"/>
                <w:szCs w:val="21"/>
                <w:highlight w:val="none"/>
                <w:lang w:val="en-US" w:eastAsia="zh-CN"/>
              </w:rPr>
              <w:t>0</w:t>
            </w:r>
          </w:p>
        </w:tc>
      </w:tr>
      <w:tr w14:paraId="181938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7EDE1237">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vAlign w:val="center"/>
          </w:tcPr>
          <w:p w14:paraId="286DBE85">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lang w:bidi="ar"/>
              </w:rPr>
              <w:t>厨余垃圾</w:t>
            </w:r>
          </w:p>
        </w:tc>
        <w:tc>
          <w:tcPr>
            <w:tcW w:w="1636" w:type="dxa"/>
            <w:vAlign w:val="center"/>
          </w:tcPr>
          <w:p w14:paraId="1532B595">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eastAsia="zh-CN"/>
              </w:rPr>
            </w:pPr>
            <w:r>
              <w:rPr>
                <w:rFonts w:hint="default" w:ascii="Times New Roman" w:hAnsi="Times New Roman" w:cs="Times New Roman" w:eastAsiaTheme="minorEastAsia"/>
                <w:color w:val="auto"/>
                <w:kern w:val="0"/>
                <w:sz w:val="21"/>
                <w:szCs w:val="21"/>
                <w:highlight w:val="none"/>
                <w:lang w:bidi="ar"/>
              </w:rPr>
              <w:t>1.67</w:t>
            </w:r>
          </w:p>
        </w:tc>
        <w:tc>
          <w:tcPr>
            <w:tcW w:w="1081" w:type="dxa"/>
            <w:vAlign w:val="center"/>
          </w:tcPr>
          <w:p w14:paraId="556CD09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1735" w:type="dxa"/>
            <w:vAlign w:val="center"/>
          </w:tcPr>
          <w:p w14:paraId="4A8C4624">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vAlign w:val="center"/>
          </w:tcPr>
          <w:p w14:paraId="026BBFE1">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0</w:t>
            </w:r>
          </w:p>
        </w:tc>
        <w:tc>
          <w:tcPr>
            <w:tcW w:w="1796" w:type="dxa"/>
            <w:vAlign w:val="center"/>
          </w:tcPr>
          <w:p w14:paraId="7AACC452">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0</w:t>
            </w:r>
          </w:p>
        </w:tc>
        <w:tc>
          <w:tcPr>
            <w:tcW w:w="1730" w:type="dxa"/>
            <w:vAlign w:val="center"/>
          </w:tcPr>
          <w:p w14:paraId="50F476BA">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1.67</w:t>
            </w:r>
          </w:p>
        </w:tc>
        <w:tc>
          <w:tcPr>
            <w:tcW w:w="1242" w:type="dxa"/>
            <w:vAlign w:val="center"/>
          </w:tcPr>
          <w:p w14:paraId="4D7B8E91">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0</w:t>
            </w:r>
          </w:p>
        </w:tc>
      </w:tr>
      <w:tr w14:paraId="73FEF5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1A892438">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vAlign w:val="center"/>
          </w:tcPr>
          <w:p w14:paraId="1A3F40BA">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化粪池污泥</w:t>
            </w:r>
          </w:p>
        </w:tc>
        <w:tc>
          <w:tcPr>
            <w:tcW w:w="1636" w:type="dxa"/>
            <w:vAlign w:val="center"/>
          </w:tcPr>
          <w:p w14:paraId="07A2E4E2">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eastAsia="zh-CN"/>
              </w:rPr>
            </w:pPr>
            <w:r>
              <w:rPr>
                <w:rFonts w:hint="default" w:ascii="Times New Roman" w:hAnsi="Times New Roman" w:cs="Times New Roman" w:eastAsiaTheme="minorEastAsia"/>
                <w:color w:val="auto"/>
                <w:kern w:val="0"/>
                <w:sz w:val="21"/>
                <w:szCs w:val="21"/>
                <w:highlight w:val="none"/>
                <w:lang w:bidi="ar"/>
              </w:rPr>
              <w:t>0.906</w:t>
            </w:r>
          </w:p>
        </w:tc>
        <w:tc>
          <w:tcPr>
            <w:tcW w:w="1081" w:type="dxa"/>
            <w:vAlign w:val="center"/>
          </w:tcPr>
          <w:p w14:paraId="0F336641">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1735" w:type="dxa"/>
            <w:vAlign w:val="center"/>
          </w:tcPr>
          <w:p w14:paraId="41E68F46">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vAlign w:val="center"/>
          </w:tcPr>
          <w:p w14:paraId="45134B18">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0</w:t>
            </w:r>
          </w:p>
        </w:tc>
        <w:tc>
          <w:tcPr>
            <w:tcW w:w="1796" w:type="dxa"/>
            <w:vAlign w:val="center"/>
          </w:tcPr>
          <w:p w14:paraId="1034A952">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0</w:t>
            </w:r>
          </w:p>
        </w:tc>
        <w:tc>
          <w:tcPr>
            <w:tcW w:w="1730" w:type="dxa"/>
            <w:vAlign w:val="center"/>
          </w:tcPr>
          <w:p w14:paraId="4F505AD9">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0.906</w:t>
            </w:r>
          </w:p>
        </w:tc>
        <w:tc>
          <w:tcPr>
            <w:tcW w:w="1242" w:type="dxa"/>
            <w:vAlign w:val="center"/>
          </w:tcPr>
          <w:p w14:paraId="58BA092D">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0</w:t>
            </w:r>
          </w:p>
        </w:tc>
      </w:tr>
      <w:tr w14:paraId="71F962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170D42DB">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bookmarkStart w:id="78" w:name="_Toc31070"/>
          </w:p>
        </w:tc>
        <w:tc>
          <w:tcPr>
            <w:tcW w:w="1929" w:type="dxa"/>
            <w:vAlign w:val="center"/>
          </w:tcPr>
          <w:p w14:paraId="72CA9AC1">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生产废水处理系统污泥</w:t>
            </w:r>
          </w:p>
        </w:tc>
        <w:tc>
          <w:tcPr>
            <w:tcW w:w="1636" w:type="dxa"/>
            <w:vAlign w:val="center"/>
          </w:tcPr>
          <w:p w14:paraId="619FDE17">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eastAsia="zh-CN"/>
              </w:rPr>
            </w:pPr>
            <w:r>
              <w:rPr>
                <w:rFonts w:hint="default" w:ascii="Times New Roman" w:hAnsi="Times New Roman" w:cs="Times New Roman" w:eastAsiaTheme="minorEastAsia"/>
                <w:color w:val="auto"/>
                <w:kern w:val="0"/>
                <w:sz w:val="21"/>
                <w:szCs w:val="21"/>
                <w:highlight w:val="none"/>
                <w:lang w:bidi="ar"/>
              </w:rPr>
              <w:t>2.000</w:t>
            </w:r>
          </w:p>
        </w:tc>
        <w:tc>
          <w:tcPr>
            <w:tcW w:w="1081" w:type="dxa"/>
            <w:vAlign w:val="center"/>
          </w:tcPr>
          <w:p w14:paraId="4D17FB7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1735" w:type="dxa"/>
            <w:vAlign w:val="center"/>
          </w:tcPr>
          <w:p w14:paraId="2C17A9CD">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vAlign w:val="center"/>
          </w:tcPr>
          <w:p w14:paraId="22D9EA93">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0</w:t>
            </w:r>
          </w:p>
        </w:tc>
        <w:tc>
          <w:tcPr>
            <w:tcW w:w="1796" w:type="dxa"/>
            <w:vAlign w:val="center"/>
          </w:tcPr>
          <w:p w14:paraId="1D08DFB9">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-0.07</w:t>
            </w:r>
          </w:p>
        </w:tc>
        <w:tc>
          <w:tcPr>
            <w:tcW w:w="1730" w:type="dxa"/>
            <w:vAlign w:val="center"/>
          </w:tcPr>
          <w:p w14:paraId="787B7945">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1.93</w:t>
            </w:r>
          </w:p>
        </w:tc>
        <w:tc>
          <w:tcPr>
            <w:tcW w:w="1242" w:type="dxa"/>
            <w:vAlign w:val="center"/>
          </w:tcPr>
          <w:p w14:paraId="33E84DB2">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-0.07</w:t>
            </w:r>
          </w:p>
        </w:tc>
      </w:tr>
      <w:tr w14:paraId="227EEE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0741FBB8">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vAlign w:val="center"/>
          </w:tcPr>
          <w:p w14:paraId="096268B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生物质燃烧灰渣</w:t>
            </w:r>
          </w:p>
        </w:tc>
        <w:tc>
          <w:tcPr>
            <w:tcW w:w="1636" w:type="dxa"/>
            <w:vAlign w:val="center"/>
          </w:tcPr>
          <w:p w14:paraId="1F58B231">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eastAsia="zh-CN"/>
              </w:rPr>
            </w:pPr>
            <w:r>
              <w:rPr>
                <w:rFonts w:hint="default" w:ascii="Times New Roman" w:hAnsi="Times New Roman" w:cs="Times New Roman" w:eastAsiaTheme="minorEastAsia"/>
                <w:color w:val="auto"/>
                <w:kern w:val="0"/>
                <w:sz w:val="21"/>
                <w:szCs w:val="21"/>
                <w:highlight w:val="none"/>
                <w:lang w:bidi="ar"/>
              </w:rPr>
              <w:t>180.000</w:t>
            </w:r>
          </w:p>
        </w:tc>
        <w:tc>
          <w:tcPr>
            <w:tcW w:w="1081" w:type="dxa"/>
            <w:vAlign w:val="center"/>
          </w:tcPr>
          <w:p w14:paraId="28B8B6A1">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1735" w:type="dxa"/>
            <w:vAlign w:val="center"/>
          </w:tcPr>
          <w:p w14:paraId="5142F42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vAlign w:val="center"/>
          </w:tcPr>
          <w:p w14:paraId="109CBEA8">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0</w:t>
            </w:r>
          </w:p>
        </w:tc>
        <w:tc>
          <w:tcPr>
            <w:tcW w:w="1796" w:type="dxa"/>
            <w:vAlign w:val="center"/>
          </w:tcPr>
          <w:p w14:paraId="684AE1A2">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159.13</w:t>
            </w:r>
          </w:p>
        </w:tc>
        <w:tc>
          <w:tcPr>
            <w:tcW w:w="1730" w:type="dxa"/>
            <w:vAlign w:val="center"/>
          </w:tcPr>
          <w:p w14:paraId="1BBF034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20.87</w:t>
            </w:r>
          </w:p>
        </w:tc>
        <w:tc>
          <w:tcPr>
            <w:tcW w:w="1242" w:type="dxa"/>
            <w:vAlign w:val="center"/>
          </w:tcPr>
          <w:p w14:paraId="09EEA00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-159.13</w:t>
            </w:r>
          </w:p>
        </w:tc>
      </w:tr>
      <w:tr w14:paraId="1439CF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7AA21DD8">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vAlign w:val="center"/>
          </w:tcPr>
          <w:p w14:paraId="385FD670">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收尘渣</w:t>
            </w:r>
          </w:p>
        </w:tc>
        <w:tc>
          <w:tcPr>
            <w:tcW w:w="1636" w:type="dxa"/>
            <w:vAlign w:val="center"/>
          </w:tcPr>
          <w:p w14:paraId="4FB260FA">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eastAsia="zh-CN"/>
              </w:rPr>
            </w:pPr>
            <w:r>
              <w:rPr>
                <w:rFonts w:hint="default" w:ascii="Times New Roman" w:hAnsi="Times New Roman" w:cs="Times New Roman" w:eastAsiaTheme="minorEastAsia"/>
                <w:color w:val="auto"/>
                <w:kern w:val="0"/>
                <w:sz w:val="21"/>
                <w:szCs w:val="21"/>
                <w:highlight w:val="none"/>
                <w:lang w:bidi="ar"/>
              </w:rPr>
              <w:t>7.000</w:t>
            </w:r>
          </w:p>
        </w:tc>
        <w:tc>
          <w:tcPr>
            <w:tcW w:w="1081" w:type="dxa"/>
            <w:vAlign w:val="center"/>
          </w:tcPr>
          <w:p w14:paraId="093F2BF1">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1735" w:type="dxa"/>
            <w:vAlign w:val="center"/>
          </w:tcPr>
          <w:p w14:paraId="57857D36">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vAlign w:val="center"/>
          </w:tcPr>
          <w:p w14:paraId="37217774">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35.734</w:t>
            </w:r>
          </w:p>
        </w:tc>
        <w:tc>
          <w:tcPr>
            <w:tcW w:w="1796" w:type="dxa"/>
            <w:vAlign w:val="center"/>
          </w:tcPr>
          <w:p w14:paraId="19F07A21">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6.184</w:t>
            </w:r>
          </w:p>
        </w:tc>
        <w:tc>
          <w:tcPr>
            <w:tcW w:w="1730" w:type="dxa"/>
            <w:vAlign w:val="center"/>
          </w:tcPr>
          <w:p w14:paraId="398A076D">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36.55</w:t>
            </w:r>
          </w:p>
        </w:tc>
        <w:tc>
          <w:tcPr>
            <w:tcW w:w="1242" w:type="dxa"/>
            <w:vAlign w:val="center"/>
          </w:tcPr>
          <w:p w14:paraId="7F4BA65A">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-6.184</w:t>
            </w:r>
          </w:p>
        </w:tc>
      </w:tr>
      <w:tr w14:paraId="5DBA90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08C7C444">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vAlign w:val="center"/>
          </w:tcPr>
          <w:p w14:paraId="72C1292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废活性炭</w:t>
            </w:r>
          </w:p>
        </w:tc>
        <w:tc>
          <w:tcPr>
            <w:tcW w:w="1636" w:type="dxa"/>
            <w:vAlign w:val="center"/>
          </w:tcPr>
          <w:p w14:paraId="7755F106">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eastAsia="zh-CN"/>
              </w:rPr>
            </w:pPr>
            <w:r>
              <w:rPr>
                <w:rFonts w:hint="default" w:ascii="Times New Roman" w:hAnsi="Times New Roman" w:cs="Times New Roman" w:eastAsiaTheme="minorEastAsia"/>
                <w:color w:val="auto"/>
                <w:kern w:val="0"/>
                <w:sz w:val="21"/>
                <w:szCs w:val="21"/>
                <w:highlight w:val="none"/>
                <w:lang w:bidi="ar"/>
              </w:rPr>
              <w:t>12.000</w:t>
            </w:r>
          </w:p>
        </w:tc>
        <w:tc>
          <w:tcPr>
            <w:tcW w:w="1081" w:type="dxa"/>
            <w:vAlign w:val="center"/>
          </w:tcPr>
          <w:p w14:paraId="370C643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1735" w:type="dxa"/>
            <w:vAlign w:val="center"/>
          </w:tcPr>
          <w:p w14:paraId="716EA278">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vAlign w:val="center"/>
          </w:tcPr>
          <w:p w14:paraId="3C5BD0C7">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0</w:t>
            </w:r>
          </w:p>
        </w:tc>
        <w:tc>
          <w:tcPr>
            <w:tcW w:w="1796" w:type="dxa"/>
            <w:vAlign w:val="center"/>
          </w:tcPr>
          <w:p w14:paraId="29652D73">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0</w:t>
            </w:r>
          </w:p>
        </w:tc>
        <w:tc>
          <w:tcPr>
            <w:tcW w:w="1730" w:type="dxa"/>
            <w:vAlign w:val="center"/>
          </w:tcPr>
          <w:p w14:paraId="298D4F5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12</w:t>
            </w:r>
          </w:p>
        </w:tc>
        <w:tc>
          <w:tcPr>
            <w:tcW w:w="1242" w:type="dxa"/>
            <w:vAlign w:val="center"/>
          </w:tcPr>
          <w:p w14:paraId="2D2ACB00">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0</w:t>
            </w:r>
          </w:p>
        </w:tc>
      </w:tr>
      <w:tr w14:paraId="5EA478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59473022">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vAlign w:val="center"/>
          </w:tcPr>
          <w:p w14:paraId="1B0E5ED2">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不合格产品</w:t>
            </w:r>
          </w:p>
        </w:tc>
        <w:tc>
          <w:tcPr>
            <w:tcW w:w="1636" w:type="dxa"/>
            <w:vAlign w:val="center"/>
          </w:tcPr>
          <w:p w14:paraId="1158694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w:t>
            </w:r>
          </w:p>
        </w:tc>
        <w:tc>
          <w:tcPr>
            <w:tcW w:w="1081" w:type="dxa"/>
            <w:vAlign w:val="center"/>
          </w:tcPr>
          <w:p w14:paraId="07CC3545">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1735" w:type="dxa"/>
            <w:vAlign w:val="center"/>
          </w:tcPr>
          <w:p w14:paraId="4024556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vAlign w:val="center"/>
          </w:tcPr>
          <w:p w14:paraId="4CEE5419">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440.998</w:t>
            </w:r>
          </w:p>
        </w:tc>
        <w:tc>
          <w:tcPr>
            <w:tcW w:w="1796" w:type="dxa"/>
            <w:vAlign w:val="center"/>
          </w:tcPr>
          <w:p w14:paraId="6E1D1593">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0</w:t>
            </w:r>
          </w:p>
        </w:tc>
        <w:tc>
          <w:tcPr>
            <w:tcW w:w="1730" w:type="dxa"/>
            <w:vAlign w:val="center"/>
          </w:tcPr>
          <w:p w14:paraId="6CD1A814">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440.998</w:t>
            </w:r>
          </w:p>
        </w:tc>
        <w:tc>
          <w:tcPr>
            <w:tcW w:w="1242" w:type="dxa"/>
            <w:vAlign w:val="center"/>
          </w:tcPr>
          <w:p w14:paraId="4229F4E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+440.998</w:t>
            </w:r>
          </w:p>
        </w:tc>
      </w:tr>
      <w:tr w14:paraId="5072DA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04B54F08">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vAlign w:val="center"/>
          </w:tcPr>
          <w:p w14:paraId="408685F9">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废纳米膜</w:t>
            </w:r>
          </w:p>
        </w:tc>
        <w:tc>
          <w:tcPr>
            <w:tcW w:w="1636" w:type="dxa"/>
            <w:vAlign w:val="center"/>
          </w:tcPr>
          <w:p w14:paraId="16C69483">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w:t>
            </w:r>
          </w:p>
        </w:tc>
        <w:tc>
          <w:tcPr>
            <w:tcW w:w="1081" w:type="dxa"/>
            <w:vAlign w:val="center"/>
          </w:tcPr>
          <w:p w14:paraId="7CD0EA44">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w:t>
            </w:r>
          </w:p>
        </w:tc>
        <w:tc>
          <w:tcPr>
            <w:tcW w:w="1735" w:type="dxa"/>
            <w:vAlign w:val="center"/>
          </w:tcPr>
          <w:p w14:paraId="19506F2D">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bidi="ar"/>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vAlign w:val="center"/>
          </w:tcPr>
          <w:p w14:paraId="58155C51">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1.5</w:t>
            </w:r>
          </w:p>
        </w:tc>
        <w:tc>
          <w:tcPr>
            <w:tcW w:w="1796" w:type="dxa"/>
            <w:vAlign w:val="center"/>
          </w:tcPr>
          <w:p w14:paraId="0E29F16B">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0</w:t>
            </w:r>
          </w:p>
        </w:tc>
        <w:tc>
          <w:tcPr>
            <w:tcW w:w="1730" w:type="dxa"/>
            <w:vAlign w:val="center"/>
          </w:tcPr>
          <w:p w14:paraId="10DBAC6D">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1.5</w:t>
            </w:r>
          </w:p>
        </w:tc>
        <w:tc>
          <w:tcPr>
            <w:tcW w:w="1242" w:type="dxa"/>
            <w:vAlign w:val="center"/>
          </w:tcPr>
          <w:p w14:paraId="64F77D16">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+1.5</w:t>
            </w:r>
          </w:p>
        </w:tc>
      </w:tr>
      <w:tr w14:paraId="14C093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0AD15E30">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vAlign w:val="center"/>
          </w:tcPr>
          <w:p w14:paraId="1A94F9FE">
            <w:pPr>
              <w:keepNext w:val="0"/>
              <w:keepLines w:val="0"/>
              <w:pageBreakBefore w:val="0"/>
              <w:widowControl/>
              <w:kinsoku/>
              <w:wordWrap/>
              <w:overflowPunct/>
              <w:topLinePunct w:val="0"/>
              <w:autoSpaceDE/>
              <w:autoSpaceDN/>
              <w:bidi w:val="0"/>
              <w:spacing w:line="320" w:lineRule="exact"/>
              <w:jc w:val="center"/>
              <w:textAlignment w:val="center"/>
              <w:rPr>
                <w:rFonts w:hint="default"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废布袋</w:t>
            </w:r>
          </w:p>
        </w:tc>
        <w:tc>
          <w:tcPr>
            <w:tcW w:w="1636" w:type="dxa"/>
            <w:vAlign w:val="center"/>
          </w:tcPr>
          <w:p w14:paraId="5D538158">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w:t>
            </w:r>
          </w:p>
        </w:tc>
        <w:tc>
          <w:tcPr>
            <w:tcW w:w="1081" w:type="dxa"/>
            <w:vAlign w:val="center"/>
          </w:tcPr>
          <w:p w14:paraId="5904F291">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color w:val="auto"/>
                <w:kern w:val="0"/>
                <w:sz w:val="21"/>
                <w:szCs w:val="21"/>
                <w:highlight w:val="none"/>
                <w:lang w:val="en-US" w:eastAsia="zh-CN" w:bidi="ar"/>
              </w:rPr>
            </w:pPr>
            <w:r>
              <w:rPr>
                <w:rFonts w:hint="eastAsia" w:cs="Times New Roman" w:eastAsiaTheme="minorEastAsia"/>
                <w:color w:val="auto"/>
                <w:kern w:val="0"/>
                <w:sz w:val="21"/>
                <w:szCs w:val="21"/>
                <w:highlight w:val="none"/>
                <w:lang w:val="en-US" w:eastAsia="zh-CN" w:bidi="ar"/>
              </w:rPr>
              <w:t>/</w:t>
            </w:r>
          </w:p>
        </w:tc>
        <w:tc>
          <w:tcPr>
            <w:tcW w:w="1735" w:type="dxa"/>
            <w:vAlign w:val="center"/>
          </w:tcPr>
          <w:p w14:paraId="09826EC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bidi="ar"/>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vAlign w:val="center"/>
          </w:tcPr>
          <w:p w14:paraId="55D98871">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color w:val="auto"/>
                <w:kern w:val="0"/>
                <w:sz w:val="21"/>
                <w:szCs w:val="21"/>
                <w:highlight w:val="none"/>
                <w:lang w:eastAsia="zh-CN"/>
              </w:rPr>
            </w:pPr>
            <w:r>
              <w:rPr>
                <w:rFonts w:hint="eastAsia" w:cs="Times New Roman" w:eastAsiaTheme="minorEastAsia"/>
                <w:color w:val="auto"/>
                <w:kern w:val="0"/>
                <w:sz w:val="21"/>
                <w:szCs w:val="21"/>
                <w:highlight w:val="none"/>
                <w:lang w:val="en-US" w:eastAsia="zh-CN" w:bidi="ar"/>
              </w:rPr>
              <w:t>0.002</w:t>
            </w:r>
          </w:p>
        </w:tc>
        <w:tc>
          <w:tcPr>
            <w:tcW w:w="1796" w:type="dxa"/>
            <w:vAlign w:val="center"/>
          </w:tcPr>
          <w:p w14:paraId="559DA52F">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0</w:t>
            </w:r>
          </w:p>
        </w:tc>
        <w:tc>
          <w:tcPr>
            <w:tcW w:w="1730" w:type="dxa"/>
            <w:vAlign w:val="center"/>
          </w:tcPr>
          <w:p w14:paraId="0683ED45">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0.002</w:t>
            </w:r>
          </w:p>
        </w:tc>
        <w:tc>
          <w:tcPr>
            <w:tcW w:w="1242" w:type="dxa"/>
            <w:vAlign w:val="center"/>
          </w:tcPr>
          <w:p w14:paraId="6149D8E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+0.002</w:t>
            </w:r>
          </w:p>
        </w:tc>
      </w:tr>
      <w:tr w14:paraId="1A43F2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Merge w:val="continue"/>
            <w:vAlign w:val="center"/>
          </w:tcPr>
          <w:p w14:paraId="7E2ACAF6">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p>
        </w:tc>
        <w:tc>
          <w:tcPr>
            <w:tcW w:w="1929" w:type="dxa"/>
            <w:vAlign w:val="center"/>
          </w:tcPr>
          <w:p w14:paraId="4AB92E7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废包装物</w:t>
            </w:r>
          </w:p>
        </w:tc>
        <w:tc>
          <w:tcPr>
            <w:tcW w:w="1636" w:type="dxa"/>
            <w:vAlign w:val="center"/>
          </w:tcPr>
          <w:p w14:paraId="3D393346">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w:t>
            </w:r>
          </w:p>
        </w:tc>
        <w:tc>
          <w:tcPr>
            <w:tcW w:w="1081" w:type="dxa"/>
            <w:vAlign w:val="center"/>
          </w:tcPr>
          <w:p w14:paraId="5670D14E">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1735" w:type="dxa"/>
            <w:vAlign w:val="center"/>
          </w:tcPr>
          <w:p w14:paraId="411A851D">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vAlign w:val="center"/>
          </w:tcPr>
          <w:p w14:paraId="317172F7">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kern w:val="0"/>
                <w:sz w:val="21"/>
                <w:szCs w:val="21"/>
                <w:highlight w:val="none"/>
                <w:lang w:val="en-US" w:eastAsia="zh-CN"/>
              </w:rPr>
            </w:pPr>
            <w:r>
              <w:rPr>
                <w:rFonts w:hint="eastAsia" w:cs="Times New Roman" w:eastAsiaTheme="minorEastAsia"/>
                <w:color w:val="auto"/>
                <w:kern w:val="0"/>
                <w:sz w:val="21"/>
                <w:szCs w:val="21"/>
                <w:highlight w:val="none"/>
                <w:lang w:val="en-US" w:eastAsia="zh-CN"/>
              </w:rPr>
              <w:t>2.36</w:t>
            </w:r>
          </w:p>
        </w:tc>
        <w:tc>
          <w:tcPr>
            <w:tcW w:w="1796" w:type="dxa"/>
            <w:vAlign w:val="center"/>
          </w:tcPr>
          <w:p w14:paraId="685447DE">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0</w:t>
            </w:r>
          </w:p>
        </w:tc>
        <w:tc>
          <w:tcPr>
            <w:tcW w:w="1730" w:type="dxa"/>
            <w:vAlign w:val="center"/>
          </w:tcPr>
          <w:p w14:paraId="0455FD3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2.36</w:t>
            </w:r>
          </w:p>
        </w:tc>
        <w:tc>
          <w:tcPr>
            <w:tcW w:w="1242" w:type="dxa"/>
            <w:vAlign w:val="center"/>
          </w:tcPr>
          <w:p w14:paraId="71DF3011">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+2.36</w:t>
            </w:r>
          </w:p>
        </w:tc>
      </w:tr>
      <w:tr w14:paraId="1DE05B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vAlign w:val="center"/>
          </w:tcPr>
          <w:p w14:paraId="3BB1D85F">
            <w:pPr>
              <w:keepNext w:val="0"/>
              <w:keepLines w:val="0"/>
              <w:pageBreakBefore w:val="0"/>
              <w:kinsoku/>
              <w:wordWrap/>
              <w:overflowPunct/>
              <w:topLinePunct w:val="0"/>
              <w:autoSpaceDE/>
              <w:autoSpaceDN/>
              <w:bidi w:val="0"/>
              <w:adjustRightInd w:val="0"/>
              <w:snapToGrid w:val="0"/>
              <w:spacing w:line="320" w:lineRule="exact"/>
              <w:jc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snapToGrid w:val="0"/>
                <w:color w:val="auto"/>
                <w:kern w:val="21"/>
                <w:sz w:val="21"/>
                <w:szCs w:val="21"/>
                <w:highlight w:val="none"/>
              </w:rPr>
              <w:t>危险废物</w:t>
            </w:r>
          </w:p>
        </w:tc>
        <w:tc>
          <w:tcPr>
            <w:tcW w:w="1929" w:type="dxa"/>
            <w:vAlign w:val="center"/>
          </w:tcPr>
          <w:p w14:paraId="30C67ACC">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废机油</w:t>
            </w:r>
          </w:p>
        </w:tc>
        <w:tc>
          <w:tcPr>
            <w:tcW w:w="1636" w:type="dxa"/>
            <w:vAlign w:val="center"/>
          </w:tcPr>
          <w:p w14:paraId="4961A61F">
            <w:pPr>
              <w:keepNext w:val="0"/>
              <w:keepLines w:val="0"/>
              <w:pageBreakBefore w:val="0"/>
              <w:widowControl/>
              <w:kinsoku/>
              <w:wordWrap/>
              <w:overflowPunct/>
              <w:topLinePunct w:val="0"/>
              <w:autoSpaceDE/>
              <w:autoSpaceDN/>
              <w:bidi w:val="0"/>
              <w:spacing w:line="320" w:lineRule="exact"/>
              <w:jc w:val="center"/>
              <w:textAlignment w:val="center"/>
              <w:rPr>
                <w:rFonts w:hint="eastAsia" w:ascii="Times New Roman" w:hAnsi="Times New Roman" w:cs="Times New Roman" w:eastAsiaTheme="minorEastAsia"/>
                <w:snapToGrid w:val="0"/>
                <w:color w:val="auto"/>
                <w:kern w:val="21"/>
                <w:sz w:val="21"/>
                <w:szCs w:val="21"/>
                <w:highlight w:val="none"/>
                <w:lang w:eastAsia="zh-CN"/>
              </w:rPr>
            </w:pPr>
            <w:r>
              <w:rPr>
                <w:rFonts w:hint="default" w:ascii="Times New Roman" w:hAnsi="Times New Roman" w:cs="Times New Roman" w:eastAsiaTheme="minorEastAsia"/>
                <w:color w:val="auto"/>
                <w:kern w:val="0"/>
                <w:sz w:val="21"/>
                <w:szCs w:val="21"/>
                <w:highlight w:val="none"/>
                <w:lang w:bidi="ar"/>
              </w:rPr>
              <w:t>0.05</w:t>
            </w:r>
          </w:p>
        </w:tc>
        <w:tc>
          <w:tcPr>
            <w:tcW w:w="1081" w:type="dxa"/>
            <w:vAlign w:val="center"/>
          </w:tcPr>
          <w:p w14:paraId="422ECE13">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default" w:ascii="Times New Roman" w:hAnsi="Times New Roman" w:cs="Times New Roman" w:eastAsiaTheme="minorEastAsia"/>
                <w:color w:val="auto"/>
                <w:kern w:val="0"/>
                <w:sz w:val="21"/>
                <w:szCs w:val="21"/>
                <w:highlight w:val="none"/>
                <w:lang w:bidi="ar"/>
              </w:rPr>
              <w:t>/</w:t>
            </w:r>
          </w:p>
        </w:tc>
        <w:tc>
          <w:tcPr>
            <w:tcW w:w="1735" w:type="dxa"/>
            <w:vAlign w:val="center"/>
          </w:tcPr>
          <w:p w14:paraId="18A48E70">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rPr>
            </w:pPr>
            <w:r>
              <w:rPr>
                <w:rFonts w:hint="eastAsia" w:ascii="Times New Roman" w:hAnsi="Times New Roman" w:cs="Times New Roman" w:eastAsiaTheme="minorEastAsia"/>
                <w:snapToGrid w:val="0"/>
                <w:color w:val="auto"/>
                <w:kern w:val="21"/>
                <w:sz w:val="21"/>
                <w:szCs w:val="21"/>
                <w:highlight w:val="none"/>
                <w:lang w:val="en-US" w:eastAsia="zh-CN"/>
              </w:rPr>
              <w:t>/</w:t>
            </w:r>
          </w:p>
        </w:tc>
        <w:tc>
          <w:tcPr>
            <w:tcW w:w="1590" w:type="dxa"/>
            <w:vAlign w:val="center"/>
          </w:tcPr>
          <w:p w14:paraId="7BF928DD">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0.01</w:t>
            </w:r>
          </w:p>
        </w:tc>
        <w:tc>
          <w:tcPr>
            <w:tcW w:w="1796" w:type="dxa"/>
            <w:vAlign w:val="center"/>
          </w:tcPr>
          <w:p w14:paraId="20A19FBF">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0</w:t>
            </w:r>
          </w:p>
        </w:tc>
        <w:tc>
          <w:tcPr>
            <w:tcW w:w="1730" w:type="dxa"/>
            <w:vAlign w:val="center"/>
          </w:tcPr>
          <w:p w14:paraId="737A26C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0.06</w:t>
            </w:r>
          </w:p>
        </w:tc>
        <w:tc>
          <w:tcPr>
            <w:tcW w:w="1242" w:type="dxa"/>
            <w:vAlign w:val="center"/>
          </w:tcPr>
          <w:p w14:paraId="302F33BB">
            <w:pPr>
              <w:keepNext w:val="0"/>
              <w:keepLines w:val="0"/>
              <w:pageBreakBefore w:val="0"/>
              <w:widowControl/>
              <w:kinsoku/>
              <w:wordWrap/>
              <w:overflowPunct/>
              <w:topLinePunct w:val="0"/>
              <w:autoSpaceDE/>
              <w:autoSpaceDN/>
              <w:bidi w:val="0"/>
              <w:spacing w:line="320" w:lineRule="exact"/>
              <w:jc w:val="center"/>
              <w:textAlignment w:val="center"/>
              <w:rPr>
                <w:rFonts w:hint="default" w:ascii="Times New Roman" w:hAnsi="Times New Roman" w:cs="Times New Roman" w:eastAsiaTheme="minorEastAsia"/>
                <w:snapToGrid w:val="0"/>
                <w:color w:val="auto"/>
                <w:kern w:val="21"/>
                <w:sz w:val="21"/>
                <w:szCs w:val="21"/>
                <w:highlight w:val="none"/>
                <w:lang w:val="en-US" w:eastAsia="zh-CN"/>
              </w:rPr>
            </w:pPr>
            <w:r>
              <w:rPr>
                <w:rFonts w:hint="eastAsia" w:cs="Times New Roman" w:eastAsiaTheme="minorEastAsia"/>
                <w:snapToGrid w:val="0"/>
                <w:color w:val="auto"/>
                <w:kern w:val="21"/>
                <w:sz w:val="21"/>
                <w:szCs w:val="21"/>
                <w:highlight w:val="none"/>
                <w:lang w:val="en-US" w:eastAsia="zh-CN"/>
              </w:rPr>
              <w:t>+0.01</w:t>
            </w:r>
          </w:p>
        </w:tc>
      </w:tr>
    </w:tbl>
    <w:p w14:paraId="56956A68">
      <w:pPr>
        <w:adjustRightInd w:val="0"/>
        <w:snapToGrid w:val="0"/>
        <w:spacing w:before="192" w:beforeLines="80" w:after="24" w:afterLines="10" w:line="260" w:lineRule="auto"/>
        <w:jc w:val="left"/>
        <w:rPr>
          <w:rFonts w:hint="eastAsia" w:hAnsi="宋体"/>
          <w:snapToGrid w:val="0"/>
          <w:color w:val="auto"/>
          <w:spacing w:val="-6"/>
          <w:kern w:val="21"/>
          <w:szCs w:val="21"/>
          <w:highlight w:val="none"/>
        </w:rPr>
      </w:pPr>
      <w:r>
        <w:rPr>
          <w:rFonts w:ascii="宋体" w:hAnsi="宋体"/>
          <w:snapToGrid w:val="0"/>
          <w:color w:val="auto"/>
          <w:kern w:val="21"/>
          <w:szCs w:val="21"/>
          <w:highlight w:val="none"/>
        </w:rPr>
        <w:t>注：</w:t>
      </w:r>
      <w:r>
        <w:rPr>
          <w:rFonts w:ascii="宋体" w:hAnsi="宋体"/>
          <w:snapToGrid w:val="0"/>
          <w:color w:val="auto"/>
          <w:spacing w:val="-16"/>
          <w:kern w:val="21"/>
          <w:szCs w:val="21"/>
          <w:highlight w:val="none"/>
        </w:rPr>
        <w:fldChar w:fldCharType="begin"/>
      </w:r>
      <w:r>
        <w:rPr>
          <w:rFonts w:ascii="宋体" w:hAnsi="宋体"/>
          <w:snapToGrid w:val="0"/>
          <w:color w:val="auto"/>
          <w:spacing w:val="-16"/>
          <w:kern w:val="21"/>
          <w:szCs w:val="21"/>
          <w:highlight w:val="none"/>
        </w:rPr>
        <w:instrText xml:space="preserve"> = 6 \* GB3 \* MERGEFORMAT </w:instrText>
      </w:r>
      <w:r>
        <w:rPr>
          <w:rFonts w:ascii="宋体" w:hAnsi="宋体"/>
          <w:snapToGrid w:val="0"/>
          <w:color w:val="auto"/>
          <w:spacing w:val="-16"/>
          <w:kern w:val="21"/>
          <w:szCs w:val="21"/>
          <w:highlight w:val="none"/>
        </w:rPr>
        <w:fldChar w:fldCharType="separate"/>
      </w:r>
      <w:r>
        <w:rPr>
          <w:rFonts w:hint="eastAsia" w:ascii="宋体" w:hAnsi="宋体"/>
          <w:color w:val="auto"/>
          <w:kern w:val="0"/>
          <w:szCs w:val="21"/>
          <w:highlight w:val="none"/>
        </w:rPr>
        <w:t>⑥</w:t>
      </w:r>
      <w:r>
        <w:rPr>
          <w:rFonts w:ascii="宋体" w:hAnsi="宋体"/>
          <w:snapToGrid w:val="0"/>
          <w:color w:val="auto"/>
          <w:spacing w:val="-16"/>
          <w:kern w:val="21"/>
          <w:szCs w:val="21"/>
          <w:highlight w:val="none"/>
        </w:rPr>
        <w:fldChar w:fldCharType="end"/>
      </w:r>
      <w:r>
        <w:rPr>
          <w:rFonts w:ascii="宋体" w:hAnsi="宋体"/>
          <w:snapToGrid w:val="0"/>
          <w:color w:val="auto"/>
          <w:spacing w:val="-16"/>
          <w:kern w:val="21"/>
          <w:szCs w:val="21"/>
          <w:highlight w:val="none"/>
        </w:rPr>
        <w:t>=</w:t>
      </w:r>
      <w:r>
        <w:rPr>
          <w:rFonts w:ascii="宋体" w:hAnsi="宋体"/>
          <w:snapToGrid w:val="0"/>
          <w:color w:val="auto"/>
          <w:spacing w:val="-6"/>
          <w:kern w:val="21"/>
          <w:szCs w:val="21"/>
          <w:highlight w:val="none"/>
        </w:rPr>
        <w:fldChar w:fldCharType="begin"/>
      </w:r>
      <w:r>
        <w:rPr>
          <w:rFonts w:ascii="宋体" w:hAnsi="宋体"/>
          <w:snapToGrid w:val="0"/>
          <w:color w:val="auto"/>
          <w:spacing w:val="-6"/>
          <w:kern w:val="21"/>
          <w:szCs w:val="21"/>
          <w:highlight w:val="none"/>
        </w:rPr>
        <w:instrText xml:space="preserve"> = 1 \* GB3 \* MERGEFORMAT </w:instrText>
      </w:r>
      <w:r>
        <w:rPr>
          <w:rFonts w:ascii="宋体" w:hAnsi="宋体"/>
          <w:snapToGrid w:val="0"/>
          <w:color w:val="auto"/>
          <w:spacing w:val="-6"/>
          <w:kern w:val="21"/>
          <w:szCs w:val="21"/>
          <w:highlight w:val="none"/>
        </w:rPr>
        <w:fldChar w:fldCharType="separate"/>
      </w:r>
      <w:r>
        <w:rPr>
          <w:rFonts w:hint="eastAsia" w:ascii="宋体" w:hAnsi="宋体"/>
          <w:color w:val="auto"/>
          <w:kern w:val="0"/>
          <w:szCs w:val="21"/>
          <w:highlight w:val="none"/>
        </w:rPr>
        <w:t>①</w:t>
      </w:r>
      <w:r>
        <w:rPr>
          <w:rFonts w:ascii="宋体" w:hAnsi="宋体"/>
          <w:snapToGrid w:val="0"/>
          <w:color w:val="auto"/>
          <w:spacing w:val="-6"/>
          <w:kern w:val="21"/>
          <w:szCs w:val="21"/>
          <w:highlight w:val="none"/>
        </w:rPr>
        <w:fldChar w:fldCharType="end"/>
      </w:r>
      <w:r>
        <w:rPr>
          <w:rFonts w:ascii="宋体" w:hAnsi="宋体"/>
          <w:snapToGrid w:val="0"/>
          <w:color w:val="auto"/>
          <w:spacing w:val="-6"/>
          <w:kern w:val="21"/>
          <w:szCs w:val="21"/>
          <w:highlight w:val="none"/>
        </w:rPr>
        <w:t>+</w:t>
      </w:r>
      <w:r>
        <w:rPr>
          <w:rFonts w:ascii="宋体" w:hAnsi="宋体"/>
          <w:snapToGrid w:val="0"/>
          <w:color w:val="auto"/>
          <w:spacing w:val="-6"/>
          <w:kern w:val="21"/>
          <w:szCs w:val="21"/>
          <w:highlight w:val="none"/>
        </w:rPr>
        <w:fldChar w:fldCharType="begin"/>
      </w:r>
      <w:r>
        <w:rPr>
          <w:rFonts w:ascii="宋体" w:hAnsi="宋体"/>
          <w:snapToGrid w:val="0"/>
          <w:color w:val="auto"/>
          <w:spacing w:val="-6"/>
          <w:kern w:val="21"/>
          <w:szCs w:val="21"/>
          <w:highlight w:val="none"/>
        </w:rPr>
        <w:instrText xml:space="preserve"> = 3 \* GB3 \* MERGEFORMAT </w:instrText>
      </w:r>
      <w:r>
        <w:rPr>
          <w:rFonts w:ascii="宋体" w:hAnsi="宋体"/>
          <w:snapToGrid w:val="0"/>
          <w:color w:val="auto"/>
          <w:spacing w:val="-6"/>
          <w:kern w:val="21"/>
          <w:szCs w:val="21"/>
          <w:highlight w:val="none"/>
        </w:rPr>
        <w:fldChar w:fldCharType="separate"/>
      </w:r>
      <w:r>
        <w:rPr>
          <w:rFonts w:hint="eastAsia" w:ascii="宋体" w:hAnsi="宋体"/>
          <w:color w:val="auto"/>
          <w:kern w:val="0"/>
          <w:szCs w:val="21"/>
          <w:highlight w:val="none"/>
        </w:rPr>
        <w:t>③</w:t>
      </w:r>
      <w:r>
        <w:rPr>
          <w:rFonts w:ascii="宋体" w:hAnsi="宋体"/>
          <w:snapToGrid w:val="0"/>
          <w:color w:val="auto"/>
          <w:spacing w:val="-6"/>
          <w:kern w:val="21"/>
          <w:szCs w:val="21"/>
          <w:highlight w:val="none"/>
        </w:rPr>
        <w:fldChar w:fldCharType="end"/>
      </w:r>
      <w:r>
        <w:rPr>
          <w:rFonts w:ascii="宋体" w:hAnsi="宋体"/>
          <w:snapToGrid w:val="0"/>
          <w:color w:val="auto"/>
          <w:spacing w:val="-6"/>
          <w:kern w:val="21"/>
          <w:szCs w:val="21"/>
          <w:highlight w:val="none"/>
        </w:rPr>
        <w:t>+</w:t>
      </w:r>
      <w:r>
        <w:rPr>
          <w:rFonts w:ascii="宋体" w:hAnsi="宋体"/>
          <w:snapToGrid w:val="0"/>
          <w:color w:val="auto"/>
          <w:spacing w:val="-6"/>
          <w:kern w:val="21"/>
          <w:szCs w:val="21"/>
          <w:highlight w:val="none"/>
        </w:rPr>
        <w:fldChar w:fldCharType="begin"/>
      </w:r>
      <w:r>
        <w:rPr>
          <w:rFonts w:ascii="宋体" w:hAnsi="宋体"/>
          <w:snapToGrid w:val="0"/>
          <w:color w:val="auto"/>
          <w:spacing w:val="-6"/>
          <w:kern w:val="21"/>
          <w:szCs w:val="21"/>
          <w:highlight w:val="none"/>
        </w:rPr>
        <w:instrText xml:space="preserve"> = 4 \* GB3 \* MERGEFORMAT </w:instrText>
      </w:r>
      <w:r>
        <w:rPr>
          <w:rFonts w:ascii="宋体" w:hAnsi="宋体"/>
          <w:snapToGrid w:val="0"/>
          <w:color w:val="auto"/>
          <w:spacing w:val="-6"/>
          <w:kern w:val="21"/>
          <w:szCs w:val="21"/>
          <w:highlight w:val="none"/>
        </w:rPr>
        <w:fldChar w:fldCharType="separate"/>
      </w:r>
      <w:r>
        <w:rPr>
          <w:rFonts w:hint="eastAsia" w:ascii="宋体" w:hAnsi="宋体"/>
          <w:color w:val="auto"/>
          <w:kern w:val="0"/>
          <w:szCs w:val="21"/>
          <w:highlight w:val="none"/>
        </w:rPr>
        <w:t>④</w:t>
      </w:r>
      <w:r>
        <w:rPr>
          <w:rFonts w:ascii="宋体" w:hAnsi="宋体"/>
          <w:snapToGrid w:val="0"/>
          <w:color w:val="auto"/>
          <w:spacing w:val="-6"/>
          <w:kern w:val="21"/>
          <w:szCs w:val="21"/>
          <w:highlight w:val="none"/>
        </w:rPr>
        <w:fldChar w:fldCharType="end"/>
      </w:r>
      <w:r>
        <w:rPr>
          <w:rFonts w:ascii="宋体" w:hAnsi="宋体"/>
          <w:snapToGrid w:val="0"/>
          <w:color w:val="auto"/>
          <w:spacing w:val="-6"/>
          <w:kern w:val="21"/>
          <w:szCs w:val="21"/>
          <w:highlight w:val="none"/>
        </w:rPr>
        <w:t>-</w:t>
      </w:r>
      <w:r>
        <w:rPr>
          <w:rFonts w:ascii="宋体" w:hAnsi="宋体"/>
          <w:snapToGrid w:val="0"/>
          <w:color w:val="auto"/>
          <w:spacing w:val="-16"/>
          <w:kern w:val="21"/>
          <w:szCs w:val="21"/>
          <w:highlight w:val="none"/>
        </w:rPr>
        <w:fldChar w:fldCharType="begin"/>
      </w:r>
      <w:r>
        <w:rPr>
          <w:rFonts w:ascii="宋体" w:hAnsi="宋体"/>
          <w:snapToGrid w:val="0"/>
          <w:color w:val="auto"/>
          <w:spacing w:val="-16"/>
          <w:kern w:val="21"/>
          <w:szCs w:val="21"/>
          <w:highlight w:val="none"/>
        </w:rPr>
        <w:instrText xml:space="preserve"> = 5 \* GB3 \* MERGEFORMAT </w:instrText>
      </w:r>
      <w:r>
        <w:rPr>
          <w:rFonts w:ascii="宋体" w:hAnsi="宋体"/>
          <w:snapToGrid w:val="0"/>
          <w:color w:val="auto"/>
          <w:spacing w:val="-16"/>
          <w:kern w:val="21"/>
          <w:szCs w:val="21"/>
          <w:highlight w:val="none"/>
        </w:rPr>
        <w:fldChar w:fldCharType="separate"/>
      </w:r>
      <w:r>
        <w:rPr>
          <w:rFonts w:hint="eastAsia" w:ascii="宋体" w:hAnsi="宋体"/>
          <w:color w:val="auto"/>
          <w:kern w:val="0"/>
          <w:szCs w:val="21"/>
          <w:highlight w:val="none"/>
        </w:rPr>
        <w:t>⑤</w:t>
      </w:r>
      <w:r>
        <w:rPr>
          <w:rFonts w:ascii="宋体" w:hAnsi="宋体"/>
          <w:snapToGrid w:val="0"/>
          <w:color w:val="auto"/>
          <w:spacing w:val="-16"/>
          <w:kern w:val="21"/>
          <w:szCs w:val="21"/>
          <w:highlight w:val="none"/>
        </w:rPr>
        <w:fldChar w:fldCharType="end"/>
      </w:r>
      <w:r>
        <w:rPr>
          <w:rFonts w:ascii="宋体" w:hAnsi="宋体"/>
          <w:snapToGrid w:val="0"/>
          <w:color w:val="auto"/>
          <w:spacing w:val="-16"/>
          <w:kern w:val="21"/>
          <w:szCs w:val="21"/>
          <w:highlight w:val="none"/>
        </w:rPr>
        <w:t>；</w:t>
      </w:r>
      <w:r>
        <w:rPr>
          <w:rFonts w:ascii="宋体" w:hAnsi="宋体"/>
          <w:snapToGrid w:val="0"/>
          <w:color w:val="auto"/>
          <w:spacing w:val="-6"/>
          <w:kern w:val="21"/>
          <w:szCs w:val="21"/>
          <w:highlight w:val="none"/>
        </w:rPr>
        <w:fldChar w:fldCharType="begin"/>
      </w:r>
      <w:r>
        <w:rPr>
          <w:rFonts w:ascii="宋体" w:hAnsi="宋体"/>
          <w:snapToGrid w:val="0"/>
          <w:color w:val="auto"/>
          <w:spacing w:val="-6"/>
          <w:kern w:val="21"/>
          <w:szCs w:val="21"/>
          <w:highlight w:val="none"/>
        </w:rPr>
        <w:instrText xml:space="preserve"> = 7 \* GB3 \* MERGEFORMAT </w:instrText>
      </w:r>
      <w:r>
        <w:rPr>
          <w:rFonts w:ascii="宋体" w:hAnsi="宋体"/>
          <w:snapToGrid w:val="0"/>
          <w:color w:val="auto"/>
          <w:spacing w:val="-6"/>
          <w:kern w:val="21"/>
          <w:szCs w:val="21"/>
          <w:highlight w:val="none"/>
        </w:rPr>
        <w:fldChar w:fldCharType="separate"/>
      </w:r>
      <w:r>
        <w:rPr>
          <w:rFonts w:hint="eastAsia" w:ascii="宋体" w:hAnsi="宋体"/>
          <w:color w:val="auto"/>
          <w:kern w:val="0"/>
          <w:szCs w:val="21"/>
          <w:highlight w:val="none"/>
        </w:rPr>
        <w:t>⑦</w:t>
      </w:r>
      <w:r>
        <w:rPr>
          <w:rFonts w:ascii="宋体" w:hAnsi="宋体"/>
          <w:snapToGrid w:val="0"/>
          <w:color w:val="auto"/>
          <w:spacing w:val="-6"/>
          <w:kern w:val="21"/>
          <w:szCs w:val="21"/>
          <w:highlight w:val="none"/>
        </w:rPr>
        <w:fldChar w:fldCharType="end"/>
      </w:r>
      <w:r>
        <w:rPr>
          <w:rFonts w:ascii="宋体" w:hAnsi="宋体"/>
          <w:snapToGrid w:val="0"/>
          <w:color w:val="auto"/>
          <w:spacing w:val="-6"/>
          <w:kern w:val="21"/>
          <w:szCs w:val="21"/>
          <w:highlight w:val="none"/>
        </w:rPr>
        <w:t>=</w:t>
      </w:r>
      <w:r>
        <w:rPr>
          <w:rFonts w:ascii="宋体" w:hAnsi="宋体"/>
          <w:snapToGrid w:val="0"/>
          <w:color w:val="auto"/>
          <w:spacing w:val="-16"/>
          <w:kern w:val="21"/>
          <w:szCs w:val="21"/>
          <w:highlight w:val="none"/>
        </w:rPr>
        <w:fldChar w:fldCharType="begin"/>
      </w:r>
      <w:r>
        <w:rPr>
          <w:rFonts w:ascii="宋体" w:hAnsi="宋体"/>
          <w:snapToGrid w:val="0"/>
          <w:color w:val="auto"/>
          <w:spacing w:val="-16"/>
          <w:kern w:val="21"/>
          <w:szCs w:val="21"/>
          <w:highlight w:val="none"/>
        </w:rPr>
        <w:instrText xml:space="preserve"> = 6 \* GB3 \* MERGEFORMAT </w:instrText>
      </w:r>
      <w:r>
        <w:rPr>
          <w:rFonts w:ascii="宋体" w:hAnsi="宋体"/>
          <w:snapToGrid w:val="0"/>
          <w:color w:val="auto"/>
          <w:spacing w:val="-16"/>
          <w:kern w:val="21"/>
          <w:szCs w:val="21"/>
          <w:highlight w:val="none"/>
        </w:rPr>
        <w:fldChar w:fldCharType="separate"/>
      </w:r>
      <w:r>
        <w:rPr>
          <w:rFonts w:hint="eastAsia" w:ascii="宋体" w:hAnsi="宋体"/>
          <w:color w:val="auto"/>
          <w:kern w:val="0"/>
          <w:szCs w:val="21"/>
          <w:highlight w:val="none"/>
        </w:rPr>
        <w:t>⑥</w:t>
      </w:r>
      <w:r>
        <w:rPr>
          <w:rFonts w:ascii="宋体" w:hAnsi="宋体"/>
          <w:snapToGrid w:val="0"/>
          <w:color w:val="auto"/>
          <w:spacing w:val="-16"/>
          <w:kern w:val="21"/>
          <w:szCs w:val="21"/>
          <w:highlight w:val="none"/>
        </w:rPr>
        <w:fldChar w:fldCharType="end"/>
      </w:r>
      <w:r>
        <w:rPr>
          <w:rFonts w:ascii="宋体" w:hAnsi="宋体"/>
          <w:snapToGrid w:val="0"/>
          <w:color w:val="auto"/>
          <w:spacing w:val="-16"/>
          <w:kern w:val="21"/>
          <w:szCs w:val="21"/>
          <w:highlight w:val="none"/>
        </w:rPr>
        <w:t>-</w:t>
      </w:r>
      <w:r>
        <w:rPr>
          <w:rFonts w:ascii="宋体" w:hAnsi="宋体"/>
          <w:snapToGrid w:val="0"/>
          <w:color w:val="auto"/>
          <w:spacing w:val="-6"/>
          <w:kern w:val="21"/>
          <w:szCs w:val="21"/>
          <w:highlight w:val="none"/>
        </w:rPr>
        <w:fldChar w:fldCharType="begin"/>
      </w:r>
      <w:r>
        <w:rPr>
          <w:rFonts w:ascii="宋体" w:hAnsi="宋体"/>
          <w:snapToGrid w:val="0"/>
          <w:color w:val="auto"/>
          <w:spacing w:val="-6"/>
          <w:kern w:val="21"/>
          <w:szCs w:val="21"/>
          <w:highlight w:val="none"/>
        </w:rPr>
        <w:instrText xml:space="preserve"> = 1 \* GB3 \* MERGEFORMAT </w:instrText>
      </w:r>
      <w:r>
        <w:rPr>
          <w:rFonts w:ascii="宋体" w:hAnsi="宋体"/>
          <w:snapToGrid w:val="0"/>
          <w:color w:val="auto"/>
          <w:spacing w:val="-6"/>
          <w:kern w:val="21"/>
          <w:szCs w:val="21"/>
          <w:highlight w:val="none"/>
        </w:rPr>
        <w:fldChar w:fldCharType="separate"/>
      </w:r>
      <w:r>
        <w:rPr>
          <w:rFonts w:hint="eastAsia" w:ascii="宋体" w:hAnsi="宋体"/>
          <w:color w:val="auto"/>
          <w:kern w:val="0"/>
          <w:szCs w:val="21"/>
          <w:highlight w:val="none"/>
        </w:rPr>
        <w:t>①</w:t>
      </w:r>
      <w:r>
        <w:rPr>
          <w:rFonts w:ascii="宋体" w:hAnsi="宋体"/>
          <w:snapToGrid w:val="0"/>
          <w:color w:val="auto"/>
          <w:spacing w:val="-6"/>
          <w:kern w:val="21"/>
          <w:szCs w:val="21"/>
          <w:highlight w:val="none"/>
        </w:rPr>
        <w:fldChar w:fldCharType="end"/>
      </w:r>
      <w:bookmarkEnd w:id="78"/>
    </w:p>
    <w:sectPr>
      <w:footerReference r:id="rId8" w:type="default"/>
      <w:pgSz w:w="16838" w:h="11906" w:orient="landscape"/>
      <w:pgMar w:top="720" w:right="720" w:bottom="720" w:left="720"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BF8BB2B-6D78-4DC6-B865-4199BF20BA97}"/>
  </w:font>
  <w:font w:name="黑体">
    <w:panose1 w:val="02010609060101010101"/>
    <w:charset w:val="86"/>
    <w:family w:val="auto"/>
    <w:pitch w:val="default"/>
    <w:sig w:usb0="800002BF" w:usb1="38CF7CFA" w:usb2="00000016" w:usb3="00000000" w:csb0="00040001" w:csb1="00000000"/>
    <w:embedRegular r:id="rId2" w:fontKey="{698689EF-A8FC-45DA-8839-E8DFD1C6BA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B9F6E6F-EA16-4ADB-9A7B-5D10666D2500}"/>
  </w:font>
  <w:font w:name="方正仿宋_GB2312">
    <w:panose1 w:val="02000000000000000000"/>
    <w:charset w:val="86"/>
    <w:family w:val="auto"/>
    <w:pitch w:val="default"/>
    <w:sig w:usb0="A00002BF" w:usb1="184F6CFA" w:usb2="00000012" w:usb3="00000000" w:csb0="00040001" w:csb1="00000000"/>
    <w:embedRegular r:id="rId4" w:fontKey="{922243B9-3EC6-4F88-98DC-A2ED20291A27}"/>
  </w:font>
  <w:font w:name="仿宋_GB2312">
    <w:panose1 w:val="02010609030101010101"/>
    <w:charset w:val="86"/>
    <w:family w:val="modern"/>
    <w:pitch w:val="default"/>
    <w:sig w:usb0="00000001" w:usb1="080E0000" w:usb2="00000000" w:usb3="00000000" w:csb0="00040000" w:csb1="00000000"/>
    <w:embedRegular r:id="rId5" w:fontKey="{55E6DEAF-98B4-4CF5-B864-C67BA912BC34}"/>
  </w:font>
  <w:font w:name="楷体_GB2312">
    <w:panose1 w:val="02010609030101010101"/>
    <w:charset w:val="86"/>
    <w:family w:val="modern"/>
    <w:pitch w:val="default"/>
    <w:sig w:usb0="00000001" w:usb1="080E0000" w:usb2="00000000" w:usb3="00000000" w:csb0="00040000" w:csb1="00000000"/>
    <w:embedRegular r:id="rId6" w:fontKey="{B5B21959-FB9A-42E6-9F12-A8A95C8FFF1E}"/>
  </w:font>
  <w:font w:name="方正小标宋_GBK">
    <w:panose1 w:val="02000000000000000000"/>
    <w:charset w:val="86"/>
    <w:family w:val="script"/>
    <w:pitch w:val="default"/>
    <w:sig w:usb0="A00002BF" w:usb1="38CF7CFA" w:usb2="00082016" w:usb3="00000000" w:csb0="00040001" w:csb1="00000000"/>
    <w:embedRegular r:id="rId7" w:fontKey="{EC69E8E3-8530-4695-8CA0-7069A3FFEA35}"/>
  </w:font>
  <w:font w:name="仿宋">
    <w:panose1 w:val="02010609060101010101"/>
    <w:charset w:val="86"/>
    <w:family w:val="modern"/>
    <w:pitch w:val="default"/>
    <w:sig w:usb0="800002BF" w:usb1="38CF7CFA" w:usb2="00000016" w:usb3="00000000" w:csb0="00040001" w:csb1="00000000"/>
    <w:embedRegular r:id="rId8" w:fontKey="{CD061DF0-7271-4BDF-80B0-E203C4EA0D83}"/>
  </w:font>
  <w:font w:name="Wingdings 2">
    <w:panose1 w:val="05020102010507070707"/>
    <w:charset w:val="02"/>
    <w:family w:val="roman"/>
    <w:pitch w:val="default"/>
    <w:sig w:usb0="00000000" w:usb1="00000000" w:usb2="00000000" w:usb3="00000000" w:csb0="80000000" w:csb1="00000000"/>
    <w:embedRegular r:id="rId9" w:fontKey="{2C1FD766-C807-4ED5-BA13-BF0E0597FDD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544AF">
    <w:pPr>
      <w:pStyle w:val="1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09AE3">
    <w:pPr>
      <w:pStyle w:val="1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15"/>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22D20492">
                          <w:pPr>
                            <w:pStyle w:val="19"/>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wps:txbx>
                    <wps:bodyPr vert="horz" wrap="none" lIns="0" tIns="0" rIns="0" bIns="0" upright="1">
                      <a:spAutoFit/>
                    </wps:bodyPr>
                  </wps:wsp>
                </a:graphicData>
              </a:graphic>
            </wp:anchor>
          </w:drawing>
        </mc:Choice>
        <mc:Fallback>
          <w:pict>
            <v:rect id="文本框 15"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uXW5UtAAAAAFAQAADwAAAAAAAAABACAAAAAiAAAAZHJzL2Rvd25y&#10;ZXYueG1sUEsBAhQAFAAAAAgAh07iQILbdjbNAQAAnQMAAA4AAAAAAAAAAQAgAAAAHwEAAGRycy9l&#10;Mm9Eb2MueG1sUEsFBgAAAAAGAAYAWQEAAF4FAAAAAA==&#10;">
              <v:fill on="f" focussize="0,0"/>
              <v:stroke on="f"/>
              <v:imagedata o:title=""/>
              <o:lock v:ext="edit" aspectratio="f"/>
              <v:textbox inset="0mm,0mm,0mm,0mm" style="mso-fit-shape-to-text:t;">
                <w:txbxContent>
                  <w:p w14:paraId="22D20492">
                    <w:pPr>
                      <w:pStyle w:val="19"/>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525C7">
    <w:pPr>
      <w:pStyle w:val="19"/>
      <w:ind w:right="360"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16"/>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ACEC71C">
                          <w:pPr>
                            <w:pStyle w:val="19"/>
                            <w:rPr>
                              <w:sz w:val="24"/>
                              <w:szCs w:val="28"/>
                            </w:rPr>
                          </w:pPr>
                          <w:r>
                            <w:rPr>
                              <w:sz w:val="24"/>
                              <w:szCs w:val="28"/>
                            </w:rPr>
                            <w:t xml:space="preserve">— </w:t>
                          </w:r>
                          <w:r>
                            <w:rPr>
                              <w:sz w:val="24"/>
                              <w:szCs w:val="28"/>
                            </w:rPr>
                            <w:fldChar w:fldCharType="begin"/>
                          </w:r>
                          <w:r>
                            <w:rPr>
                              <w:sz w:val="24"/>
                              <w:szCs w:val="28"/>
                            </w:rPr>
                            <w:instrText xml:space="preserve"> PAGE  \* MERGEFORMAT </w:instrText>
                          </w:r>
                          <w:r>
                            <w:rPr>
                              <w:sz w:val="24"/>
                              <w:szCs w:val="28"/>
                            </w:rPr>
                            <w:fldChar w:fldCharType="separate"/>
                          </w:r>
                          <w:r>
                            <w:rPr>
                              <w:sz w:val="24"/>
                              <w:szCs w:val="28"/>
                            </w:rPr>
                            <w:t>42</w:t>
                          </w:r>
                          <w:r>
                            <w:rPr>
                              <w:sz w:val="24"/>
                              <w:szCs w:val="28"/>
                            </w:rPr>
                            <w:fldChar w:fldCharType="end"/>
                          </w:r>
                          <w:r>
                            <w:rPr>
                              <w:sz w:val="24"/>
                              <w:szCs w:val="28"/>
                            </w:rPr>
                            <w:t xml:space="preserve"> —</w:t>
                          </w:r>
                        </w:p>
                      </w:txbxContent>
                    </wps:txbx>
                    <wps:bodyPr vert="horz" wrap="none" lIns="0" tIns="0" rIns="0" bIns="0" upright="1">
                      <a:spAutoFit/>
                    </wps:bodyPr>
                  </wps:wsp>
                </a:graphicData>
              </a:graphic>
            </wp:anchor>
          </w:drawing>
        </mc:Choice>
        <mc:Fallback>
          <w:pict>
            <v:rect id="文本框 16"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l1uVLQAAAABQEAAA8AAAAAAAAAAQAgAAAAIgAAAGRycy9kb3du&#10;cmV2LnhtbFBLAQIUABQAAAAIAIdO4kBeMki7zgEAAJ0DAAAOAAAAAAAAAAEAIAAAAB8BAABkcnMv&#10;ZTJvRG9jLnhtbFBLBQYAAAAABgAGAFkBAABfBQAAAAA=&#10;">
              <v:fill on="f" focussize="0,0"/>
              <v:stroke on="f"/>
              <v:imagedata o:title=""/>
              <o:lock v:ext="edit" aspectratio="f"/>
              <v:textbox inset="0mm,0mm,0mm,0mm" style="mso-fit-shape-to-text:t;">
                <w:txbxContent>
                  <w:p w14:paraId="7ACEC71C">
                    <w:pPr>
                      <w:pStyle w:val="19"/>
                      <w:rPr>
                        <w:sz w:val="24"/>
                        <w:szCs w:val="28"/>
                      </w:rPr>
                    </w:pPr>
                    <w:r>
                      <w:rPr>
                        <w:sz w:val="24"/>
                        <w:szCs w:val="28"/>
                      </w:rPr>
                      <w:t xml:space="preserve">— </w:t>
                    </w:r>
                    <w:r>
                      <w:rPr>
                        <w:sz w:val="24"/>
                        <w:szCs w:val="28"/>
                      </w:rPr>
                      <w:fldChar w:fldCharType="begin"/>
                    </w:r>
                    <w:r>
                      <w:rPr>
                        <w:sz w:val="24"/>
                        <w:szCs w:val="28"/>
                      </w:rPr>
                      <w:instrText xml:space="preserve"> PAGE  \* MERGEFORMAT </w:instrText>
                    </w:r>
                    <w:r>
                      <w:rPr>
                        <w:sz w:val="24"/>
                        <w:szCs w:val="28"/>
                      </w:rPr>
                      <w:fldChar w:fldCharType="separate"/>
                    </w:r>
                    <w:r>
                      <w:rPr>
                        <w:sz w:val="24"/>
                        <w:szCs w:val="28"/>
                      </w:rPr>
                      <w:t>42</w:t>
                    </w:r>
                    <w:r>
                      <w:rPr>
                        <w:sz w:val="24"/>
                        <w:szCs w:val="28"/>
                      </w:rPr>
                      <w:fldChar w:fldCharType="end"/>
                    </w:r>
                    <w:r>
                      <w:rPr>
                        <w:sz w:val="24"/>
                        <w:szCs w:val="28"/>
                      </w:rPr>
                      <w:t xml:space="preserve"> —</w:t>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56279">
    <w:pPr>
      <w:pStyle w:val="19"/>
      <w:ind w:right="360" w:firstLine="36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17"/>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0BDD9FB2">
                          <w:pPr>
                            <w:pStyle w:val="19"/>
                            <w:rPr>
                              <w:sz w:val="24"/>
                              <w:szCs w:val="28"/>
                            </w:rPr>
                          </w:pPr>
                          <w:r>
                            <w:rPr>
                              <w:sz w:val="24"/>
                              <w:szCs w:val="28"/>
                            </w:rPr>
                            <w:t xml:space="preserve">— </w:t>
                          </w:r>
                          <w:r>
                            <w:rPr>
                              <w:sz w:val="24"/>
                              <w:szCs w:val="28"/>
                            </w:rPr>
                            <w:fldChar w:fldCharType="begin"/>
                          </w:r>
                          <w:r>
                            <w:rPr>
                              <w:sz w:val="24"/>
                              <w:szCs w:val="28"/>
                            </w:rPr>
                            <w:instrText xml:space="preserve"> PAGE  \* MERGEFORMAT </w:instrText>
                          </w:r>
                          <w:r>
                            <w:rPr>
                              <w:sz w:val="24"/>
                              <w:szCs w:val="28"/>
                            </w:rPr>
                            <w:fldChar w:fldCharType="separate"/>
                          </w:r>
                          <w:r>
                            <w:rPr>
                              <w:sz w:val="24"/>
                              <w:szCs w:val="28"/>
                            </w:rPr>
                            <w:t>71</w:t>
                          </w:r>
                          <w:r>
                            <w:rPr>
                              <w:sz w:val="24"/>
                              <w:szCs w:val="28"/>
                            </w:rPr>
                            <w:fldChar w:fldCharType="end"/>
                          </w:r>
                          <w:r>
                            <w:rPr>
                              <w:sz w:val="24"/>
                              <w:szCs w:val="28"/>
                            </w:rPr>
                            <w:t xml:space="preserve"> —</w:t>
                          </w:r>
                        </w:p>
                      </w:txbxContent>
                    </wps:txbx>
                    <wps:bodyPr vert="horz" wrap="none" lIns="0" tIns="0" rIns="0" bIns="0" upright="1">
                      <a:spAutoFit/>
                    </wps:bodyPr>
                  </wps:wsp>
                </a:graphicData>
              </a:graphic>
            </wp:anchor>
          </w:drawing>
        </mc:Choice>
        <mc:Fallback>
          <w:pict>
            <v:rect id="文本框 17"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l1uVLQAAAABQEAAA8AAAAAAAAAAQAgAAAAIgAAAGRycy9kb3du&#10;cmV2LnhtbFBLAQIUABQAAAAIAIdO4kBPcsyJzgEAAJ0DAAAOAAAAAAAAAAEAIAAAAB8BAABkcnMv&#10;ZTJvRG9jLnhtbFBLBQYAAAAABgAGAFkBAABfBQAAAAA=&#10;">
              <v:fill on="f" focussize="0,0"/>
              <v:stroke on="f"/>
              <v:imagedata o:title=""/>
              <o:lock v:ext="edit" aspectratio="f"/>
              <v:textbox inset="0mm,0mm,0mm,0mm" style="mso-fit-shape-to-text:t;">
                <w:txbxContent>
                  <w:p w14:paraId="0BDD9FB2">
                    <w:pPr>
                      <w:pStyle w:val="19"/>
                      <w:rPr>
                        <w:sz w:val="24"/>
                        <w:szCs w:val="28"/>
                      </w:rPr>
                    </w:pPr>
                    <w:r>
                      <w:rPr>
                        <w:sz w:val="24"/>
                        <w:szCs w:val="28"/>
                      </w:rPr>
                      <w:t xml:space="preserve">— </w:t>
                    </w:r>
                    <w:r>
                      <w:rPr>
                        <w:sz w:val="24"/>
                        <w:szCs w:val="28"/>
                      </w:rPr>
                      <w:fldChar w:fldCharType="begin"/>
                    </w:r>
                    <w:r>
                      <w:rPr>
                        <w:sz w:val="24"/>
                        <w:szCs w:val="28"/>
                      </w:rPr>
                      <w:instrText xml:space="preserve"> PAGE  \* MERGEFORMAT </w:instrText>
                    </w:r>
                    <w:r>
                      <w:rPr>
                        <w:sz w:val="24"/>
                        <w:szCs w:val="28"/>
                      </w:rPr>
                      <w:fldChar w:fldCharType="separate"/>
                    </w:r>
                    <w:r>
                      <w:rPr>
                        <w:sz w:val="24"/>
                        <w:szCs w:val="28"/>
                      </w:rPr>
                      <w:t>71</w:t>
                    </w:r>
                    <w:r>
                      <w:rPr>
                        <w:sz w:val="24"/>
                        <w:szCs w:val="28"/>
                      </w:rPr>
                      <w:fldChar w:fldCharType="end"/>
                    </w:r>
                    <w:r>
                      <w:rPr>
                        <w:sz w:val="24"/>
                        <w:szCs w:val="28"/>
                      </w:rPr>
                      <w:t xml:space="preserve"> —</w:t>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4028E">
    <w:pPr>
      <w:ind w:firstLine="480"/>
    </w:pPr>
  </w:p>
  <w:p w14:paraId="0DCD36D5">
    <w:pPr>
      <w:pStyle w:val="14"/>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105F7">
    <w:pPr>
      <w:pStyle w:val="20"/>
      <w:pBdr>
        <w:top w:val="none" w:color="auto" w:sz="0" w:space="0"/>
        <w:left w:val="none" w:color="auto" w:sz="0" w:space="0"/>
        <w:bottom w:val="none" w:color="auto" w:sz="0" w:space="1"/>
        <w:right w:val="none" w:color="auto" w:sz="0" w:space="0"/>
        <w:between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415368"/>
    <w:multiLevelType w:val="multilevel"/>
    <w:tmpl w:val="9A415368"/>
    <w:lvl w:ilvl="0" w:tentative="0">
      <w:start w:val="1"/>
      <w:numFmt w:val="decimal"/>
      <w:suff w:val="space"/>
      <w:lvlText w:val="%1."/>
      <w:lvlJc w:val="left"/>
      <w:pPr>
        <w:tabs>
          <w:tab w:val="left" w:pos="0"/>
        </w:tabs>
        <w:ind w:left="0" w:firstLine="0"/>
      </w:pPr>
      <w:rPr>
        <w:rFonts w:hint="default" w:ascii="宋体" w:hAnsi="宋体" w:eastAsia="宋体" w:cs="宋体"/>
      </w:rPr>
    </w:lvl>
    <w:lvl w:ilvl="1" w:tentative="0">
      <w:start w:val="1"/>
      <w:numFmt w:val="decimal"/>
      <w:suff w:val="space"/>
      <w:lvlText w:val="%1.%2"/>
      <w:lvlJc w:val="left"/>
      <w:pPr>
        <w:tabs>
          <w:tab w:val="left" w:pos="0"/>
        </w:tabs>
        <w:ind w:left="0" w:firstLine="0"/>
      </w:pPr>
      <w:rPr>
        <w:rFonts w:hint="default" w:ascii="宋体" w:hAnsi="宋体" w:eastAsia="宋体" w:cs="宋体"/>
      </w:rPr>
    </w:lvl>
    <w:lvl w:ilvl="2" w:tentative="0">
      <w:start w:val="1"/>
      <w:numFmt w:val="decimal"/>
      <w:suff w:val="space"/>
      <w:lvlText w:val="%1.%2.%3"/>
      <w:lvlJc w:val="left"/>
      <w:pPr>
        <w:tabs>
          <w:tab w:val="left" w:pos="0"/>
        </w:tabs>
        <w:ind w:left="0" w:firstLine="0"/>
      </w:pPr>
      <w:rPr>
        <w:rFonts w:hint="default" w:ascii="宋体" w:hAnsi="宋体" w:eastAsia="宋体" w:cs="宋体"/>
      </w:rPr>
    </w:lvl>
    <w:lvl w:ilvl="3" w:tentative="0">
      <w:start w:val="1"/>
      <w:numFmt w:val="decimal"/>
      <w:lvlRestart w:val="2"/>
      <w:pStyle w:val="126"/>
      <w:suff w:val="space"/>
      <w:lvlText w:val="表%1.%2-%4 "/>
      <w:lvlJc w:val="left"/>
      <w:pPr>
        <w:tabs>
          <w:tab w:val="left" w:pos="0"/>
        </w:tabs>
        <w:ind w:left="0" w:firstLine="0"/>
      </w:pPr>
      <w:rPr>
        <w:rFonts w:hint="default" w:ascii="宋体" w:hAnsi="宋体" w:eastAsia="宋体" w:cs="宋体"/>
        <w:b/>
        <w:bCs/>
        <w:color w:val="auto"/>
        <w:sz w:val="24"/>
        <w:szCs w:val="24"/>
      </w:rPr>
    </w:lvl>
    <w:lvl w:ilvl="4" w:tentative="0">
      <w:start w:val="1"/>
      <w:numFmt w:val="decimal"/>
      <w:lvlRestart w:val="3"/>
      <w:suff w:val="space"/>
      <w:lvlText w:val="%1.%2.%3.%5"/>
      <w:lvlJc w:val="left"/>
      <w:pPr>
        <w:tabs>
          <w:tab w:val="left" w:pos="0"/>
        </w:tabs>
        <w:ind w:left="0" w:firstLine="0"/>
      </w:pPr>
      <w:rPr>
        <w:rFonts w:hint="default" w:ascii="宋体" w:hAnsi="宋体" w:eastAsia="宋体" w:cs="宋体"/>
      </w:rPr>
    </w:lvl>
    <w:lvl w:ilvl="5" w:tentative="0">
      <w:start w:val="1"/>
      <w:numFmt w:val="decimal"/>
      <w:lvlRestart w:val="2"/>
      <w:suff w:val="space"/>
      <w:lvlText w:val="图%1.%2-%6 "/>
      <w:lvlJc w:val="left"/>
      <w:pPr>
        <w:tabs>
          <w:tab w:val="left" w:pos="0"/>
        </w:tabs>
        <w:ind w:left="0" w:firstLine="0"/>
      </w:pPr>
      <w:rPr>
        <w:rFonts w:hint="default" w:ascii="Times New Roman" w:hAnsi="Times New Roman" w:eastAsia="宋体" w:cs="Times New Roman"/>
        <w:b/>
        <w:bCs/>
        <w:sz w:val="24"/>
        <w:szCs w:val="24"/>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A49E1803"/>
    <w:multiLevelType w:val="singleLevel"/>
    <w:tmpl w:val="A49E1803"/>
    <w:lvl w:ilvl="0" w:tentative="0">
      <w:start w:val="2"/>
      <w:numFmt w:val="upperLetter"/>
      <w:suff w:val="nothing"/>
      <w:lvlText w:val="%1、"/>
      <w:lvlJc w:val="left"/>
    </w:lvl>
  </w:abstractNum>
  <w:abstractNum w:abstractNumId="2">
    <w:nsid w:val="C83AC729"/>
    <w:multiLevelType w:val="singleLevel"/>
    <w:tmpl w:val="C83AC729"/>
    <w:lvl w:ilvl="0" w:tentative="0">
      <w:start w:val="1"/>
      <w:numFmt w:val="upperLetter"/>
      <w:suff w:val="nothing"/>
      <w:lvlText w:val="%1、"/>
      <w:lvlJc w:val="left"/>
    </w:lvl>
  </w:abstractNum>
  <w:abstractNum w:abstractNumId="3">
    <w:nsid w:val="EB5025CE"/>
    <w:multiLevelType w:val="singleLevel"/>
    <w:tmpl w:val="EB5025CE"/>
    <w:lvl w:ilvl="0" w:tentative="0">
      <w:start w:val="1"/>
      <w:numFmt w:val="decimal"/>
      <w:suff w:val="nothing"/>
      <w:lvlText w:val="%1、"/>
      <w:lvlJc w:val="left"/>
    </w:lvl>
  </w:abstractNum>
  <w:abstractNum w:abstractNumId="4">
    <w:nsid w:val="00000007"/>
    <w:multiLevelType w:val="singleLevel"/>
    <w:tmpl w:val="00000007"/>
    <w:lvl w:ilvl="0" w:tentative="0">
      <w:start w:val="1"/>
      <w:numFmt w:val="decimal"/>
      <w:pStyle w:val="95"/>
      <w:lvlText w:val="%1."/>
      <w:lvlJc w:val="left"/>
      <w:pPr>
        <w:tabs>
          <w:tab w:val="left" w:pos="2040"/>
        </w:tabs>
        <w:ind w:left="2040" w:hanging="360"/>
      </w:pPr>
    </w:lvl>
  </w:abstractNum>
  <w:abstractNum w:abstractNumId="5">
    <w:nsid w:val="0000000A"/>
    <w:multiLevelType w:val="multilevel"/>
    <w:tmpl w:val="0000000A"/>
    <w:lvl w:ilvl="0" w:tentative="0">
      <w:start w:val="1"/>
      <w:numFmt w:val="decimal"/>
      <w:pStyle w:val="83"/>
      <w:lvlText w:val="表1-%1   "/>
      <w:lvlJc w:val="center"/>
      <w:pPr>
        <w:tabs>
          <w:tab w:val="left" w:pos="420"/>
        </w:tabs>
        <w:ind w:left="420" w:hanging="420"/>
      </w:pPr>
      <w:rPr>
        <w:rFonts w:hint="default" w:ascii="Times New Roman" w:hAnsi="Times New Roman" w:eastAsia="宋体"/>
        <w:b/>
        <w:i w:val="0"/>
        <w:color w:val="auto"/>
        <w:spacing w:val="0"/>
        <w:w w:val="100"/>
        <w:position w:val="0"/>
        <w:sz w:val="24"/>
        <w:u w:val="no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
  </w:num>
  <w:num w:numId="2">
    <w:abstractNumId w:val="4"/>
  </w:num>
  <w:num w:numId="3">
    <w:abstractNumId w:val="0"/>
  </w:num>
  <w:num w:numId="4">
    <w:abstractNumId w:val="3"/>
  </w:num>
  <w:num w:numId="5">
    <w:abstractNumId w:val="1"/>
  </w:num>
  <w:num w:numId="6">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GLY楊">
    <w15:presenceInfo w15:providerId="None" w15:userId="UGLY楊"/>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13C"/>
    <w:rsid w:val="00037876"/>
    <w:rsid w:val="00051EA7"/>
    <w:rsid w:val="000F3A3F"/>
    <w:rsid w:val="00116B88"/>
    <w:rsid w:val="00124671"/>
    <w:rsid w:val="00172A27"/>
    <w:rsid w:val="0017710E"/>
    <w:rsid w:val="0018700E"/>
    <w:rsid w:val="001B46F2"/>
    <w:rsid w:val="001C6CAF"/>
    <w:rsid w:val="00282AD5"/>
    <w:rsid w:val="00287C8D"/>
    <w:rsid w:val="0029544A"/>
    <w:rsid w:val="002C12A0"/>
    <w:rsid w:val="002C3270"/>
    <w:rsid w:val="002D1F00"/>
    <w:rsid w:val="002D23D2"/>
    <w:rsid w:val="002D269B"/>
    <w:rsid w:val="002D621C"/>
    <w:rsid w:val="002E306B"/>
    <w:rsid w:val="002F7D0E"/>
    <w:rsid w:val="00331EFC"/>
    <w:rsid w:val="00357707"/>
    <w:rsid w:val="003837BB"/>
    <w:rsid w:val="00385F6D"/>
    <w:rsid w:val="00412C5F"/>
    <w:rsid w:val="00460512"/>
    <w:rsid w:val="00486ACD"/>
    <w:rsid w:val="0048743F"/>
    <w:rsid w:val="004A6602"/>
    <w:rsid w:val="004B39F4"/>
    <w:rsid w:val="004C2594"/>
    <w:rsid w:val="004C6B20"/>
    <w:rsid w:val="004F148B"/>
    <w:rsid w:val="0051345C"/>
    <w:rsid w:val="00534A4F"/>
    <w:rsid w:val="005609BB"/>
    <w:rsid w:val="005867BA"/>
    <w:rsid w:val="005948F2"/>
    <w:rsid w:val="0064653C"/>
    <w:rsid w:val="00663093"/>
    <w:rsid w:val="006875D4"/>
    <w:rsid w:val="006F4C50"/>
    <w:rsid w:val="006F5B77"/>
    <w:rsid w:val="00721C59"/>
    <w:rsid w:val="00735E4F"/>
    <w:rsid w:val="00743C78"/>
    <w:rsid w:val="007717E8"/>
    <w:rsid w:val="007931C9"/>
    <w:rsid w:val="007A338F"/>
    <w:rsid w:val="007B058B"/>
    <w:rsid w:val="007C2838"/>
    <w:rsid w:val="007C37A9"/>
    <w:rsid w:val="008402D2"/>
    <w:rsid w:val="00846C47"/>
    <w:rsid w:val="0085119D"/>
    <w:rsid w:val="008A0A9B"/>
    <w:rsid w:val="008A0FC9"/>
    <w:rsid w:val="008A7200"/>
    <w:rsid w:val="008C1910"/>
    <w:rsid w:val="008D24BB"/>
    <w:rsid w:val="009402C0"/>
    <w:rsid w:val="0094427F"/>
    <w:rsid w:val="0094462F"/>
    <w:rsid w:val="009C0CBC"/>
    <w:rsid w:val="009F3526"/>
    <w:rsid w:val="00A07195"/>
    <w:rsid w:val="00A160FA"/>
    <w:rsid w:val="00A1695D"/>
    <w:rsid w:val="00A3094F"/>
    <w:rsid w:val="00A512F2"/>
    <w:rsid w:val="00A66428"/>
    <w:rsid w:val="00A87AA0"/>
    <w:rsid w:val="00AB435E"/>
    <w:rsid w:val="00AC2E64"/>
    <w:rsid w:val="00AE7496"/>
    <w:rsid w:val="00B157BE"/>
    <w:rsid w:val="00B34D18"/>
    <w:rsid w:val="00B368D3"/>
    <w:rsid w:val="00B431DE"/>
    <w:rsid w:val="00B62BB5"/>
    <w:rsid w:val="00B662BD"/>
    <w:rsid w:val="00BA1358"/>
    <w:rsid w:val="00BB0581"/>
    <w:rsid w:val="00BB6F91"/>
    <w:rsid w:val="00C01BF2"/>
    <w:rsid w:val="00C31294"/>
    <w:rsid w:val="00C3146C"/>
    <w:rsid w:val="00C61CDA"/>
    <w:rsid w:val="00D425FC"/>
    <w:rsid w:val="00D70D3A"/>
    <w:rsid w:val="00D76F8F"/>
    <w:rsid w:val="00D81D12"/>
    <w:rsid w:val="00D96E44"/>
    <w:rsid w:val="00DA31C8"/>
    <w:rsid w:val="00DA3986"/>
    <w:rsid w:val="00E32209"/>
    <w:rsid w:val="00E45204"/>
    <w:rsid w:val="00E664A0"/>
    <w:rsid w:val="00E82184"/>
    <w:rsid w:val="00EC7FC8"/>
    <w:rsid w:val="00ED1A7B"/>
    <w:rsid w:val="00ED4D0F"/>
    <w:rsid w:val="00F035A2"/>
    <w:rsid w:val="00F202C7"/>
    <w:rsid w:val="00F32B06"/>
    <w:rsid w:val="00F97174"/>
    <w:rsid w:val="00FD21B0"/>
    <w:rsid w:val="00FD3653"/>
    <w:rsid w:val="00FD6E13"/>
    <w:rsid w:val="011C7345"/>
    <w:rsid w:val="01301C55"/>
    <w:rsid w:val="020E6922"/>
    <w:rsid w:val="02300221"/>
    <w:rsid w:val="02BC4E78"/>
    <w:rsid w:val="03E67D83"/>
    <w:rsid w:val="0429473C"/>
    <w:rsid w:val="042F3950"/>
    <w:rsid w:val="049327EB"/>
    <w:rsid w:val="06646745"/>
    <w:rsid w:val="08E62812"/>
    <w:rsid w:val="08EA18C3"/>
    <w:rsid w:val="090D05E0"/>
    <w:rsid w:val="09F62D9A"/>
    <w:rsid w:val="0A521317"/>
    <w:rsid w:val="0A677FE4"/>
    <w:rsid w:val="0A6C2012"/>
    <w:rsid w:val="0A8B26E5"/>
    <w:rsid w:val="0A902E09"/>
    <w:rsid w:val="0B144D6C"/>
    <w:rsid w:val="0B44489D"/>
    <w:rsid w:val="0B6B22C9"/>
    <w:rsid w:val="0BAB2AA6"/>
    <w:rsid w:val="0BB65DBB"/>
    <w:rsid w:val="0C8F45CB"/>
    <w:rsid w:val="0C993234"/>
    <w:rsid w:val="0CBE28CD"/>
    <w:rsid w:val="0CF240D5"/>
    <w:rsid w:val="0D0414C3"/>
    <w:rsid w:val="0D5D1006"/>
    <w:rsid w:val="0D9A5FD7"/>
    <w:rsid w:val="0DEB5944"/>
    <w:rsid w:val="0E386E38"/>
    <w:rsid w:val="0E417312"/>
    <w:rsid w:val="0E632EA2"/>
    <w:rsid w:val="0E9B4C74"/>
    <w:rsid w:val="0EF07BD2"/>
    <w:rsid w:val="0EF83E74"/>
    <w:rsid w:val="0F3D186A"/>
    <w:rsid w:val="0F64082D"/>
    <w:rsid w:val="0FD30D81"/>
    <w:rsid w:val="108E3427"/>
    <w:rsid w:val="10A75C36"/>
    <w:rsid w:val="10AD0C8E"/>
    <w:rsid w:val="10ED3781"/>
    <w:rsid w:val="11DC5CCF"/>
    <w:rsid w:val="120B0305"/>
    <w:rsid w:val="122F74DD"/>
    <w:rsid w:val="124E6D7F"/>
    <w:rsid w:val="12877022"/>
    <w:rsid w:val="12AF0CEE"/>
    <w:rsid w:val="12E46D79"/>
    <w:rsid w:val="12ED7A68"/>
    <w:rsid w:val="130D010A"/>
    <w:rsid w:val="13622204"/>
    <w:rsid w:val="136D221A"/>
    <w:rsid w:val="145C3ADA"/>
    <w:rsid w:val="145E0C1D"/>
    <w:rsid w:val="14DD6BBD"/>
    <w:rsid w:val="14EB7FD7"/>
    <w:rsid w:val="159643E7"/>
    <w:rsid w:val="15C90318"/>
    <w:rsid w:val="15EB2A76"/>
    <w:rsid w:val="162B467B"/>
    <w:rsid w:val="16B5089D"/>
    <w:rsid w:val="16E34270"/>
    <w:rsid w:val="175E7186"/>
    <w:rsid w:val="176F4EEF"/>
    <w:rsid w:val="17776E51"/>
    <w:rsid w:val="17E05DED"/>
    <w:rsid w:val="18921BB6"/>
    <w:rsid w:val="18E45469"/>
    <w:rsid w:val="193E4A18"/>
    <w:rsid w:val="194D300E"/>
    <w:rsid w:val="195167E2"/>
    <w:rsid w:val="19E87AD2"/>
    <w:rsid w:val="1A4107FE"/>
    <w:rsid w:val="1A555B49"/>
    <w:rsid w:val="1A7D49DD"/>
    <w:rsid w:val="1B617245"/>
    <w:rsid w:val="1BC72CB0"/>
    <w:rsid w:val="1C1C0814"/>
    <w:rsid w:val="1C200EAE"/>
    <w:rsid w:val="1C44694B"/>
    <w:rsid w:val="1DAB6D83"/>
    <w:rsid w:val="1EFB33BF"/>
    <w:rsid w:val="1F3D388A"/>
    <w:rsid w:val="201C5A29"/>
    <w:rsid w:val="20B71E49"/>
    <w:rsid w:val="20F546B7"/>
    <w:rsid w:val="216B7D9C"/>
    <w:rsid w:val="218872DA"/>
    <w:rsid w:val="218912A4"/>
    <w:rsid w:val="218E2416"/>
    <w:rsid w:val="22252D7A"/>
    <w:rsid w:val="225F1E54"/>
    <w:rsid w:val="22745AB0"/>
    <w:rsid w:val="22B61C24"/>
    <w:rsid w:val="239F090A"/>
    <w:rsid w:val="239F4DAE"/>
    <w:rsid w:val="23BA3996"/>
    <w:rsid w:val="23DC492F"/>
    <w:rsid w:val="241C6A54"/>
    <w:rsid w:val="24FD1D8D"/>
    <w:rsid w:val="25C33AAC"/>
    <w:rsid w:val="25EE5B79"/>
    <w:rsid w:val="26C91EA4"/>
    <w:rsid w:val="27181100"/>
    <w:rsid w:val="27D806A5"/>
    <w:rsid w:val="27DD5EA5"/>
    <w:rsid w:val="27F21AE8"/>
    <w:rsid w:val="28074CD0"/>
    <w:rsid w:val="282633A8"/>
    <w:rsid w:val="2865288D"/>
    <w:rsid w:val="296D30C1"/>
    <w:rsid w:val="29EE7EF6"/>
    <w:rsid w:val="29FF6BE5"/>
    <w:rsid w:val="2A570191"/>
    <w:rsid w:val="2A930A9D"/>
    <w:rsid w:val="2AFA5B67"/>
    <w:rsid w:val="2B1265D3"/>
    <w:rsid w:val="2B195446"/>
    <w:rsid w:val="2B406750"/>
    <w:rsid w:val="2B7679E1"/>
    <w:rsid w:val="2BD0215F"/>
    <w:rsid w:val="2BD1187D"/>
    <w:rsid w:val="2CBA0395"/>
    <w:rsid w:val="2CD77367"/>
    <w:rsid w:val="2CF241A1"/>
    <w:rsid w:val="2D411C4E"/>
    <w:rsid w:val="2DC01BA9"/>
    <w:rsid w:val="2DF8044C"/>
    <w:rsid w:val="2E1D0F0E"/>
    <w:rsid w:val="2E65167C"/>
    <w:rsid w:val="2EA63495"/>
    <w:rsid w:val="2EFF3095"/>
    <w:rsid w:val="2F0B46E6"/>
    <w:rsid w:val="2F0C286A"/>
    <w:rsid w:val="2F7F0633"/>
    <w:rsid w:val="2FCF4325"/>
    <w:rsid w:val="2FE73E15"/>
    <w:rsid w:val="30336FAA"/>
    <w:rsid w:val="30391114"/>
    <w:rsid w:val="311C17EC"/>
    <w:rsid w:val="313326C8"/>
    <w:rsid w:val="314D2F38"/>
    <w:rsid w:val="31903F88"/>
    <w:rsid w:val="31C00DA6"/>
    <w:rsid w:val="31CC3212"/>
    <w:rsid w:val="31DB16A7"/>
    <w:rsid w:val="31ED10FB"/>
    <w:rsid w:val="3200110E"/>
    <w:rsid w:val="324F174E"/>
    <w:rsid w:val="32933D30"/>
    <w:rsid w:val="32A95302"/>
    <w:rsid w:val="33522495"/>
    <w:rsid w:val="33743B62"/>
    <w:rsid w:val="34362BC5"/>
    <w:rsid w:val="34E55713"/>
    <w:rsid w:val="34EB6263"/>
    <w:rsid w:val="353F5AA9"/>
    <w:rsid w:val="354B0080"/>
    <w:rsid w:val="356B5681"/>
    <w:rsid w:val="367407E3"/>
    <w:rsid w:val="367E6394"/>
    <w:rsid w:val="374643BF"/>
    <w:rsid w:val="3790083E"/>
    <w:rsid w:val="37CA3313"/>
    <w:rsid w:val="3805122C"/>
    <w:rsid w:val="38461530"/>
    <w:rsid w:val="38623F02"/>
    <w:rsid w:val="38D330D8"/>
    <w:rsid w:val="391C048E"/>
    <w:rsid w:val="3974645A"/>
    <w:rsid w:val="397C551E"/>
    <w:rsid w:val="3A2F2590"/>
    <w:rsid w:val="3A430ACB"/>
    <w:rsid w:val="3AFC50E0"/>
    <w:rsid w:val="3B36780D"/>
    <w:rsid w:val="3B621402"/>
    <w:rsid w:val="3B7D0526"/>
    <w:rsid w:val="3BB865B6"/>
    <w:rsid w:val="3C1934F8"/>
    <w:rsid w:val="3CDF116D"/>
    <w:rsid w:val="3D3462AF"/>
    <w:rsid w:val="3DA45043"/>
    <w:rsid w:val="3DDA6CB7"/>
    <w:rsid w:val="3DFA2EB5"/>
    <w:rsid w:val="3E815CDE"/>
    <w:rsid w:val="3F081602"/>
    <w:rsid w:val="3F43088C"/>
    <w:rsid w:val="3F61102C"/>
    <w:rsid w:val="3F7B7E3A"/>
    <w:rsid w:val="3FBA4AEC"/>
    <w:rsid w:val="3FCE7DED"/>
    <w:rsid w:val="40154B29"/>
    <w:rsid w:val="40694322"/>
    <w:rsid w:val="409137D4"/>
    <w:rsid w:val="40EE20C5"/>
    <w:rsid w:val="413D3910"/>
    <w:rsid w:val="416E2A21"/>
    <w:rsid w:val="41A3382D"/>
    <w:rsid w:val="41B15F81"/>
    <w:rsid w:val="41E37962"/>
    <w:rsid w:val="42092C46"/>
    <w:rsid w:val="42927B60"/>
    <w:rsid w:val="42AB15F5"/>
    <w:rsid w:val="42C635BE"/>
    <w:rsid w:val="43994F1E"/>
    <w:rsid w:val="441A037D"/>
    <w:rsid w:val="445C6678"/>
    <w:rsid w:val="44754869"/>
    <w:rsid w:val="45103709"/>
    <w:rsid w:val="45126D36"/>
    <w:rsid w:val="451A208F"/>
    <w:rsid w:val="457667CA"/>
    <w:rsid w:val="45775975"/>
    <w:rsid w:val="45921C25"/>
    <w:rsid w:val="45C74FBF"/>
    <w:rsid w:val="45E00128"/>
    <w:rsid w:val="461F4288"/>
    <w:rsid w:val="46301E82"/>
    <w:rsid w:val="464C07A8"/>
    <w:rsid w:val="4671257C"/>
    <w:rsid w:val="46C71DC4"/>
    <w:rsid w:val="46DD1A9B"/>
    <w:rsid w:val="47081961"/>
    <w:rsid w:val="47804277"/>
    <w:rsid w:val="48926515"/>
    <w:rsid w:val="48C27A5F"/>
    <w:rsid w:val="49441611"/>
    <w:rsid w:val="49596D94"/>
    <w:rsid w:val="49995C78"/>
    <w:rsid w:val="4A0327C1"/>
    <w:rsid w:val="4A054B02"/>
    <w:rsid w:val="4A445DB6"/>
    <w:rsid w:val="4AD71C6D"/>
    <w:rsid w:val="4B766681"/>
    <w:rsid w:val="4BBC5EB2"/>
    <w:rsid w:val="4C080E93"/>
    <w:rsid w:val="4C110BF4"/>
    <w:rsid w:val="4C426DCB"/>
    <w:rsid w:val="4C545E87"/>
    <w:rsid w:val="4C9B7178"/>
    <w:rsid w:val="4CB678D6"/>
    <w:rsid w:val="4CF919F3"/>
    <w:rsid w:val="4D9431AD"/>
    <w:rsid w:val="4DD23507"/>
    <w:rsid w:val="4DD66164"/>
    <w:rsid w:val="4DE615CB"/>
    <w:rsid w:val="4E4424BF"/>
    <w:rsid w:val="4F6267DE"/>
    <w:rsid w:val="4F6E7478"/>
    <w:rsid w:val="4F950C90"/>
    <w:rsid w:val="50655046"/>
    <w:rsid w:val="506F6CD6"/>
    <w:rsid w:val="50D8564A"/>
    <w:rsid w:val="50E27F05"/>
    <w:rsid w:val="510C7ACF"/>
    <w:rsid w:val="51624BA2"/>
    <w:rsid w:val="51735001"/>
    <w:rsid w:val="51D174B1"/>
    <w:rsid w:val="51D419CD"/>
    <w:rsid w:val="51F53C68"/>
    <w:rsid w:val="51FB2273"/>
    <w:rsid w:val="521833B2"/>
    <w:rsid w:val="524A5A1C"/>
    <w:rsid w:val="528D20F2"/>
    <w:rsid w:val="5307129A"/>
    <w:rsid w:val="53195734"/>
    <w:rsid w:val="53264E31"/>
    <w:rsid w:val="53332C9A"/>
    <w:rsid w:val="53364538"/>
    <w:rsid w:val="538017A0"/>
    <w:rsid w:val="53825C26"/>
    <w:rsid w:val="54C16083"/>
    <w:rsid w:val="54F5082C"/>
    <w:rsid w:val="553C5CE7"/>
    <w:rsid w:val="55915A56"/>
    <w:rsid w:val="55D423D7"/>
    <w:rsid w:val="560C332E"/>
    <w:rsid w:val="563E5B18"/>
    <w:rsid w:val="566D64C3"/>
    <w:rsid w:val="56CE2FCA"/>
    <w:rsid w:val="571A00EB"/>
    <w:rsid w:val="5751072C"/>
    <w:rsid w:val="58365C18"/>
    <w:rsid w:val="58DF1EA0"/>
    <w:rsid w:val="595E7097"/>
    <w:rsid w:val="59934AF3"/>
    <w:rsid w:val="59A84388"/>
    <w:rsid w:val="59AA2C98"/>
    <w:rsid w:val="59FF1B0B"/>
    <w:rsid w:val="59FF38D6"/>
    <w:rsid w:val="5AA91A93"/>
    <w:rsid w:val="5BCD355F"/>
    <w:rsid w:val="5C7802D9"/>
    <w:rsid w:val="5CC03DE6"/>
    <w:rsid w:val="5CD857D1"/>
    <w:rsid w:val="5D535CE6"/>
    <w:rsid w:val="5D5B2280"/>
    <w:rsid w:val="5DB16383"/>
    <w:rsid w:val="5DFA1FB3"/>
    <w:rsid w:val="5E4E6BDA"/>
    <w:rsid w:val="5E706136"/>
    <w:rsid w:val="5E736001"/>
    <w:rsid w:val="5E98330D"/>
    <w:rsid w:val="5EFF39EF"/>
    <w:rsid w:val="5FBB029F"/>
    <w:rsid w:val="5FE315A4"/>
    <w:rsid w:val="603E6E98"/>
    <w:rsid w:val="60803296"/>
    <w:rsid w:val="60A9110D"/>
    <w:rsid w:val="61552D86"/>
    <w:rsid w:val="615958DA"/>
    <w:rsid w:val="61720E31"/>
    <w:rsid w:val="61A44D62"/>
    <w:rsid w:val="61D513C0"/>
    <w:rsid w:val="61DE2D0B"/>
    <w:rsid w:val="6284207D"/>
    <w:rsid w:val="62CB7D1E"/>
    <w:rsid w:val="63260125"/>
    <w:rsid w:val="632B4F06"/>
    <w:rsid w:val="63715118"/>
    <w:rsid w:val="639E2CC4"/>
    <w:rsid w:val="63A26B33"/>
    <w:rsid w:val="641D3FEC"/>
    <w:rsid w:val="646C600B"/>
    <w:rsid w:val="647336A5"/>
    <w:rsid w:val="64FF6124"/>
    <w:rsid w:val="652A1A23"/>
    <w:rsid w:val="653754E0"/>
    <w:rsid w:val="657D4C36"/>
    <w:rsid w:val="661A3EC1"/>
    <w:rsid w:val="66707909"/>
    <w:rsid w:val="66787717"/>
    <w:rsid w:val="66F83B86"/>
    <w:rsid w:val="670562A3"/>
    <w:rsid w:val="67AD6FA5"/>
    <w:rsid w:val="683B3D55"/>
    <w:rsid w:val="684B23DC"/>
    <w:rsid w:val="68701AA4"/>
    <w:rsid w:val="68873CFE"/>
    <w:rsid w:val="69456E2B"/>
    <w:rsid w:val="69625FE3"/>
    <w:rsid w:val="69AF24F6"/>
    <w:rsid w:val="69CB5582"/>
    <w:rsid w:val="6A820078"/>
    <w:rsid w:val="6B35798D"/>
    <w:rsid w:val="6BBB58D5"/>
    <w:rsid w:val="6BC56B4F"/>
    <w:rsid w:val="6C0A61A9"/>
    <w:rsid w:val="6C316996"/>
    <w:rsid w:val="6C543962"/>
    <w:rsid w:val="6C823EF2"/>
    <w:rsid w:val="6C830727"/>
    <w:rsid w:val="6C9F26B1"/>
    <w:rsid w:val="6CC17839"/>
    <w:rsid w:val="6CDF1345"/>
    <w:rsid w:val="6D811100"/>
    <w:rsid w:val="6DFD77B9"/>
    <w:rsid w:val="6E3B3B2D"/>
    <w:rsid w:val="6EA553AB"/>
    <w:rsid w:val="6EE342A1"/>
    <w:rsid w:val="6EFA0FA7"/>
    <w:rsid w:val="6F1D465B"/>
    <w:rsid w:val="6F435DDD"/>
    <w:rsid w:val="6F5B59A0"/>
    <w:rsid w:val="6FBC771B"/>
    <w:rsid w:val="6FF55A28"/>
    <w:rsid w:val="700D7F77"/>
    <w:rsid w:val="7013229E"/>
    <w:rsid w:val="703B0F88"/>
    <w:rsid w:val="710A284E"/>
    <w:rsid w:val="714B637E"/>
    <w:rsid w:val="715636AD"/>
    <w:rsid w:val="71FB259A"/>
    <w:rsid w:val="720A0BE2"/>
    <w:rsid w:val="72435ED2"/>
    <w:rsid w:val="72DF209E"/>
    <w:rsid w:val="737E1108"/>
    <w:rsid w:val="738507A7"/>
    <w:rsid w:val="741E1223"/>
    <w:rsid w:val="74232316"/>
    <w:rsid w:val="744150F5"/>
    <w:rsid w:val="74985A20"/>
    <w:rsid w:val="74D6127F"/>
    <w:rsid w:val="750C2DB4"/>
    <w:rsid w:val="75271A80"/>
    <w:rsid w:val="75907316"/>
    <w:rsid w:val="75A82C1C"/>
    <w:rsid w:val="76106754"/>
    <w:rsid w:val="76147BCB"/>
    <w:rsid w:val="7638237D"/>
    <w:rsid w:val="771F0CBB"/>
    <w:rsid w:val="77361421"/>
    <w:rsid w:val="777D6013"/>
    <w:rsid w:val="78016613"/>
    <w:rsid w:val="7814294B"/>
    <w:rsid w:val="785A48F6"/>
    <w:rsid w:val="785C1CE5"/>
    <w:rsid w:val="78727511"/>
    <w:rsid w:val="794919A2"/>
    <w:rsid w:val="798412AA"/>
    <w:rsid w:val="79AD1671"/>
    <w:rsid w:val="79CB512B"/>
    <w:rsid w:val="7AD95CFB"/>
    <w:rsid w:val="7AED10D1"/>
    <w:rsid w:val="7B116B6D"/>
    <w:rsid w:val="7B500C43"/>
    <w:rsid w:val="7B811F45"/>
    <w:rsid w:val="7B933A26"/>
    <w:rsid w:val="7B982F0A"/>
    <w:rsid w:val="7C06069C"/>
    <w:rsid w:val="7C09018C"/>
    <w:rsid w:val="7C2D3E7B"/>
    <w:rsid w:val="7C991510"/>
    <w:rsid w:val="7D5F7984"/>
    <w:rsid w:val="7D7660FA"/>
    <w:rsid w:val="7DC2073A"/>
    <w:rsid w:val="7DC266CD"/>
    <w:rsid w:val="7DC30681"/>
    <w:rsid w:val="7DE94FAB"/>
    <w:rsid w:val="7E257626"/>
    <w:rsid w:val="7E6159D7"/>
    <w:rsid w:val="7E910172"/>
    <w:rsid w:val="7EBA5581"/>
    <w:rsid w:val="7EF1021C"/>
    <w:rsid w:val="7F5022C2"/>
    <w:rsid w:val="7F8246B3"/>
    <w:rsid w:val="7FC359E6"/>
    <w:rsid w:val="7FC37564"/>
    <w:rsid w:val="7FDE10ED"/>
    <w:rsid w:val="7FF60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2"/>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5">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6">
    <w:name w:val="heading 3"/>
    <w:basedOn w:val="1"/>
    <w:next w:val="1"/>
    <w:qFormat/>
    <w:uiPriority w:val="0"/>
    <w:pPr>
      <w:ind w:left="1132"/>
      <w:outlineLvl w:val="2"/>
    </w:pPr>
    <w:rPr>
      <w:rFonts w:ascii="宋体" w:hAnsi="宋体" w:cs="宋体"/>
      <w:b/>
      <w:bCs/>
      <w:sz w:val="24"/>
    </w:rPr>
  </w:style>
  <w:style w:type="paragraph" w:styleId="7">
    <w:name w:val="heading 4"/>
    <w:basedOn w:val="1"/>
    <w:next w:val="1"/>
    <w:qFormat/>
    <w:uiPriority w:val="0"/>
    <w:pPr>
      <w:spacing w:line="360" w:lineRule="auto"/>
      <w:outlineLvl w:val="3"/>
    </w:pPr>
    <w:rPr>
      <w:rFonts w:cs="宋体"/>
      <w:b/>
      <w:bCs/>
      <w:sz w:val="24"/>
      <w:lang w:eastAsia="en-US"/>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36"/>
    <w:qFormat/>
    <w:uiPriority w:val="0"/>
    <w:pPr>
      <w:widowControl/>
      <w:snapToGrid w:val="0"/>
      <w:spacing w:before="60" w:after="160" w:line="259" w:lineRule="auto"/>
      <w:ind w:right="113"/>
    </w:pPr>
    <w:rPr>
      <w:sz w:val="18"/>
    </w:rPr>
  </w:style>
  <w:style w:type="paragraph" w:customStyle="1" w:styleId="3">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styleId="8">
    <w:name w:val="Normal Indent"/>
    <w:basedOn w:val="1"/>
    <w:next w:val="1"/>
    <w:qFormat/>
    <w:uiPriority w:val="0"/>
    <w:pPr>
      <w:ind w:firstLine="420"/>
    </w:pPr>
    <w:rPr>
      <w:sz w:val="24"/>
      <w:szCs w:val="20"/>
    </w:rPr>
  </w:style>
  <w:style w:type="paragraph" w:styleId="9">
    <w:name w:val="caption"/>
    <w:basedOn w:val="1"/>
    <w:next w:val="1"/>
    <w:qFormat/>
    <w:uiPriority w:val="0"/>
    <w:pPr>
      <w:jc w:val="center"/>
    </w:pPr>
    <w:rPr>
      <w:b/>
      <w:szCs w:val="20"/>
    </w:rPr>
  </w:style>
  <w:style w:type="paragraph" w:styleId="10">
    <w:name w:val="annotation text"/>
    <w:basedOn w:val="1"/>
    <w:link w:val="35"/>
    <w:qFormat/>
    <w:uiPriority w:val="0"/>
    <w:pPr>
      <w:jc w:val="left"/>
    </w:pPr>
    <w:rPr>
      <w:sz w:val="24"/>
    </w:rPr>
  </w:style>
  <w:style w:type="paragraph" w:styleId="11">
    <w:name w:val="Salutation"/>
    <w:basedOn w:val="1"/>
    <w:next w:val="1"/>
    <w:unhideWhenUsed/>
    <w:qFormat/>
    <w:uiPriority w:val="99"/>
  </w:style>
  <w:style w:type="paragraph" w:styleId="12">
    <w:name w:val="Body Text Indent"/>
    <w:basedOn w:val="1"/>
    <w:next w:val="13"/>
    <w:qFormat/>
    <w:uiPriority w:val="0"/>
    <w:pPr>
      <w:spacing w:after="120"/>
      <w:ind w:left="420" w:leftChars="200"/>
    </w:pPr>
  </w:style>
  <w:style w:type="paragraph" w:styleId="13">
    <w:name w:val="List"/>
    <w:basedOn w:val="1"/>
    <w:qFormat/>
    <w:uiPriority w:val="0"/>
    <w:pPr>
      <w:ind w:left="200" w:hanging="200" w:hangingChars="200"/>
    </w:pPr>
    <w:rPr>
      <w:outline/>
      <w:szCs w:val="20"/>
      <w14:textOutline w14:w="9525" w14:cap="flat" w14:cmpd="sng" w14:algn="ctr">
        <w14:solidFill>
          <w14:srgbClr w14:val="000000"/>
        </w14:solidFill>
        <w14:prstDash w14:val="solid"/>
        <w14:round/>
      </w14:textOutline>
      <w14:textFill>
        <w14:noFill/>
      </w14:textFill>
    </w:rPr>
  </w:style>
  <w:style w:type="paragraph" w:styleId="14">
    <w:name w:val="Plain Text"/>
    <w:basedOn w:val="1"/>
    <w:next w:val="15"/>
    <w:qFormat/>
    <w:uiPriority w:val="0"/>
    <w:pPr>
      <w:spacing w:line="240" w:lineRule="atLeast"/>
    </w:pPr>
    <w:rPr>
      <w:rFonts w:ascii="宋体" w:hAnsi="Courier New"/>
      <w:sz w:val="28"/>
      <w:szCs w:val="21"/>
    </w:rPr>
  </w:style>
  <w:style w:type="paragraph" w:customStyle="1" w:styleId="15">
    <w:name w:val="Default"/>
    <w:basedOn w:val="16"/>
    <w:qFormat/>
    <w:uiPriority w:val="0"/>
    <w:pPr>
      <w:autoSpaceDE w:val="0"/>
      <w:autoSpaceDN w:val="0"/>
      <w:adjustRightInd w:val="0"/>
    </w:pPr>
    <w:rPr>
      <w:rFonts w:ascii="宋体" w:cs="宋体"/>
      <w:sz w:val="24"/>
    </w:rPr>
  </w:style>
  <w:style w:type="paragraph" w:customStyle="1" w:styleId="16">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styleId="17">
    <w:name w:val="Body Text Indent 2"/>
    <w:basedOn w:val="1"/>
    <w:qFormat/>
    <w:uiPriority w:val="99"/>
    <w:pPr>
      <w:spacing w:after="120" w:line="480" w:lineRule="auto"/>
      <w:ind w:left="420" w:leftChars="200"/>
    </w:pPr>
  </w:style>
  <w:style w:type="paragraph" w:styleId="18">
    <w:name w:val="Balloon Text"/>
    <w:basedOn w:val="1"/>
    <w:link w:val="37"/>
    <w:qFormat/>
    <w:uiPriority w:val="0"/>
    <w:rPr>
      <w:sz w:val="18"/>
    </w:rPr>
  </w:style>
  <w:style w:type="paragraph" w:styleId="19">
    <w:name w:val="footer"/>
    <w:basedOn w:val="1"/>
    <w:link w:val="38"/>
    <w:qFormat/>
    <w:uiPriority w:val="0"/>
    <w:pPr>
      <w:tabs>
        <w:tab w:val="center" w:pos="4153"/>
        <w:tab w:val="right" w:pos="8306"/>
      </w:tabs>
      <w:snapToGrid w:val="0"/>
      <w:jc w:val="left"/>
    </w:pPr>
    <w:rPr>
      <w:sz w:val="18"/>
    </w:rPr>
  </w:style>
  <w:style w:type="paragraph" w:styleId="20">
    <w:name w:val="header"/>
    <w:basedOn w:val="1"/>
    <w:next w:val="1"/>
    <w:link w:val="39"/>
    <w:qFormat/>
    <w:uiPriority w:val="0"/>
    <w:pPr>
      <w:pBdr>
        <w:bottom w:val="single" w:color="auto" w:sz="6" w:space="1"/>
      </w:pBdr>
      <w:tabs>
        <w:tab w:val="center" w:pos="4153"/>
        <w:tab w:val="right" w:pos="8306"/>
      </w:tabs>
      <w:snapToGrid w:val="0"/>
      <w:jc w:val="center"/>
    </w:pPr>
    <w:rPr>
      <w:sz w:val="18"/>
    </w:rPr>
  </w:style>
  <w:style w:type="paragraph" w:styleId="21">
    <w:name w:val="toc 1"/>
    <w:basedOn w:val="1"/>
    <w:next w:val="1"/>
    <w:qFormat/>
    <w:uiPriority w:val="0"/>
  </w:style>
  <w:style w:type="paragraph" w:styleId="22">
    <w:name w:val="Normal (Web)"/>
    <w:basedOn w:val="1"/>
    <w:qFormat/>
    <w:uiPriority w:val="0"/>
    <w:pPr>
      <w:spacing w:beforeAutospacing="1" w:afterAutospacing="1"/>
      <w:jc w:val="left"/>
    </w:pPr>
    <w:rPr>
      <w:kern w:val="0"/>
      <w:sz w:val="24"/>
    </w:rPr>
  </w:style>
  <w:style w:type="paragraph" w:styleId="23">
    <w:name w:val="annotation subject"/>
    <w:basedOn w:val="10"/>
    <w:next w:val="10"/>
    <w:link w:val="128"/>
    <w:qFormat/>
    <w:uiPriority w:val="0"/>
    <w:rPr>
      <w:b/>
      <w:bCs/>
      <w:sz w:val="21"/>
    </w:rPr>
  </w:style>
  <w:style w:type="paragraph" w:styleId="24">
    <w:name w:val="Body Text First Indent"/>
    <w:basedOn w:val="2"/>
    <w:next w:val="1"/>
    <w:qFormat/>
    <w:uiPriority w:val="0"/>
    <w:pPr>
      <w:ind w:firstLine="420" w:firstLineChars="100"/>
    </w:pPr>
  </w:style>
  <w:style w:type="paragraph" w:styleId="25">
    <w:name w:val="Body Text First Indent 2"/>
    <w:basedOn w:val="12"/>
    <w:next w:val="1"/>
    <w:qFormat/>
    <w:uiPriority w:val="0"/>
    <w:pPr>
      <w:ind w:firstLine="420" w:firstLineChars="200"/>
    </w:p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0"/>
    <w:rPr>
      <w:b/>
    </w:rPr>
  </w:style>
  <w:style w:type="character" w:styleId="30">
    <w:name w:val="Hyperlink"/>
    <w:basedOn w:val="28"/>
    <w:qFormat/>
    <w:uiPriority w:val="0"/>
    <w:rPr>
      <w:color w:val="0000FF"/>
      <w:u w:val="single"/>
    </w:rPr>
  </w:style>
  <w:style w:type="character" w:styleId="31">
    <w:name w:val="annotation reference"/>
    <w:semiHidden/>
    <w:qFormat/>
    <w:uiPriority w:val="0"/>
    <w:rPr>
      <w:sz w:val="21"/>
    </w:rPr>
  </w:style>
  <w:style w:type="character" w:customStyle="1" w:styleId="32">
    <w:name w:val="标题 1 字符"/>
    <w:link w:val="4"/>
    <w:qFormat/>
    <w:uiPriority w:val="0"/>
    <w:rPr>
      <w:rFonts w:eastAsia="黑体"/>
      <w:b/>
      <w:bCs/>
      <w:color w:val="000000"/>
      <w:kern w:val="44"/>
      <w:sz w:val="30"/>
      <w:szCs w:val="30"/>
    </w:rPr>
  </w:style>
  <w:style w:type="paragraph" w:customStyle="1" w:styleId="33">
    <w:name w:val="表头"/>
    <w:basedOn w:val="34"/>
    <w:next w:val="1"/>
    <w:qFormat/>
    <w:uiPriority w:val="0"/>
    <w:pPr>
      <w:spacing w:line="240" w:lineRule="auto"/>
      <w:ind w:firstLine="0" w:firstLineChars="0"/>
      <w:jc w:val="center"/>
    </w:pPr>
    <w:rPr>
      <w:bCs/>
      <w:sz w:val="21"/>
      <w:szCs w:val="21"/>
    </w:rPr>
  </w:style>
  <w:style w:type="paragraph" w:customStyle="1" w:styleId="34">
    <w:name w:val="T正文"/>
    <w:qFormat/>
    <w:uiPriority w:val="0"/>
    <w:pPr>
      <w:widowControl w:val="0"/>
      <w:adjustRightInd w:val="0"/>
      <w:snapToGrid w:val="0"/>
      <w:spacing w:line="360" w:lineRule="auto"/>
      <w:ind w:firstLine="200" w:firstLineChars="200"/>
      <w:jc w:val="both"/>
    </w:pPr>
    <w:rPr>
      <w:rFonts w:ascii="Times New Roman" w:hAnsi="Times New Roman" w:eastAsia="宋体" w:cs="Times New Roman"/>
      <w:sz w:val="24"/>
      <w:szCs w:val="24"/>
      <w:lang w:val="en-US" w:eastAsia="zh-CN" w:bidi="ar-SA"/>
    </w:rPr>
  </w:style>
  <w:style w:type="character" w:customStyle="1" w:styleId="35">
    <w:name w:val="批注文字 字符"/>
    <w:link w:val="10"/>
    <w:qFormat/>
    <w:uiPriority w:val="0"/>
    <w:rPr>
      <w:rFonts w:ascii="Times New Roman" w:hAnsi="Times New Roman" w:eastAsia="宋体"/>
      <w:sz w:val="24"/>
    </w:rPr>
  </w:style>
  <w:style w:type="character" w:customStyle="1" w:styleId="36">
    <w:name w:val="正文文本 字符"/>
    <w:link w:val="2"/>
    <w:qFormat/>
    <w:uiPriority w:val="0"/>
    <w:rPr>
      <w:sz w:val="18"/>
    </w:rPr>
  </w:style>
  <w:style w:type="character" w:customStyle="1" w:styleId="37">
    <w:name w:val="批注框文本 字符"/>
    <w:link w:val="18"/>
    <w:qFormat/>
    <w:uiPriority w:val="0"/>
    <w:rPr>
      <w:rFonts w:ascii="Times New Roman" w:hAnsi="Times New Roman" w:eastAsia="宋体"/>
      <w:sz w:val="18"/>
    </w:rPr>
  </w:style>
  <w:style w:type="character" w:customStyle="1" w:styleId="38">
    <w:name w:val="页脚 字符1"/>
    <w:link w:val="19"/>
    <w:qFormat/>
    <w:uiPriority w:val="0"/>
    <w:rPr>
      <w:sz w:val="18"/>
    </w:rPr>
  </w:style>
  <w:style w:type="character" w:customStyle="1" w:styleId="39">
    <w:name w:val="页眉 字符"/>
    <w:link w:val="20"/>
    <w:qFormat/>
    <w:uiPriority w:val="0"/>
    <w:rPr>
      <w:sz w:val="18"/>
    </w:rPr>
  </w:style>
  <w:style w:type="character" w:customStyle="1" w:styleId="40">
    <w:name w:val="正文文本缩进 Char"/>
    <w:link w:val="41"/>
    <w:qFormat/>
    <w:uiPriority w:val="0"/>
    <w:rPr>
      <w:rFonts w:ascii="Times New Roman" w:hAnsi="Times New Roman" w:eastAsia="宋体"/>
      <w:sz w:val="24"/>
    </w:rPr>
  </w:style>
  <w:style w:type="paragraph" w:customStyle="1" w:styleId="41">
    <w:name w:val="正文文本缩进1"/>
    <w:basedOn w:val="1"/>
    <w:next w:val="42"/>
    <w:link w:val="40"/>
    <w:qFormat/>
    <w:uiPriority w:val="0"/>
    <w:pPr>
      <w:spacing w:after="120"/>
      <w:ind w:left="420" w:leftChars="200"/>
    </w:pPr>
    <w:rPr>
      <w:sz w:val="24"/>
    </w:rPr>
  </w:style>
  <w:style w:type="paragraph" w:customStyle="1" w:styleId="42">
    <w:name w:val="正文缩进1"/>
    <w:basedOn w:val="1"/>
    <w:next w:val="1"/>
    <w:qFormat/>
    <w:uiPriority w:val="0"/>
    <w:pPr>
      <w:ind w:firstLine="420"/>
    </w:pPr>
    <w:rPr>
      <w:sz w:val="24"/>
      <w:szCs w:val="20"/>
    </w:rPr>
  </w:style>
  <w:style w:type="character" w:customStyle="1" w:styleId="43">
    <w:name w:val="普通(网站) Char"/>
    <w:link w:val="44"/>
    <w:qFormat/>
    <w:uiPriority w:val="0"/>
    <w:rPr>
      <w:rFonts w:ascii="宋体" w:hAnsi="宋体" w:eastAsia="宋体"/>
      <w:sz w:val="24"/>
    </w:rPr>
  </w:style>
  <w:style w:type="paragraph" w:customStyle="1" w:styleId="44">
    <w:name w:val="普通(网站)1"/>
    <w:basedOn w:val="1"/>
    <w:link w:val="43"/>
    <w:qFormat/>
    <w:uiPriority w:val="0"/>
    <w:pPr>
      <w:widowControl/>
      <w:spacing w:before="100" w:beforeAutospacing="1" w:after="100" w:afterAutospacing="1"/>
      <w:jc w:val="left"/>
    </w:pPr>
    <w:rPr>
      <w:rFonts w:ascii="宋体" w:hAnsi="宋体"/>
      <w:sz w:val="24"/>
    </w:rPr>
  </w:style>
  <w:style w:type="character" w:customStyle="1" w:styleId="45">
    <w:name w:val="日期 Char"/>
    <w:link w:val="46"/>
    <w:qFormat/>
    <w:uiPriority w:val="0"/>
    <w:rPr>
      <w:rFonts w:ascii="Times New Roman" w:hAnsi="Times New Roman" w:eastAsia="宋体"/>
      <w:sz w:val="24"/>
    </w:rPr>
  </w:style>
  <w:style w:type="paragraph" w:customStyle="1" w:styleId="46">
    <w:name w:val="日期1"/>
    <w:basedOn w:val="1"/>
    <w:next w:val="1"/>
    <w:link w:val="45"/>
    <w:qFormat/>
    <w:uiPriority w:val="0"/>
    <w:pPr>
      <w:ind w:left="100" w:leftChars="2500"/>
    </w:pPr>
    <w:rPr>
      <w:sz w:val="24"/>
    </w:rPr>
  </w:style>
  <w:style w:type="character" w:customStyle="1" w:styleId="47">
    <w:name w:val="批注主题 Char"/>
    <w:link w:val="48"/>
    <w:qFormat/>
    <w:uiPriority w:val="0"/>
    <w:rPr>
      <w:rFonts w:ascii="Times New Roman" w:hAnsi="Times New Roman" w:eastAsia="宋体"/>
      <w:b/>
      <w:kern w:val="2"/>
      <w:sz w:val="24"/>
    </w:rPr>
  </w:style>
  <w:style w:type="paragraph" w:customStyle="1" w:styleId="48">
    <w:name w:val="批注主题1"/>
    <w:basedOn w:val="10"/>
    <w:next w:val="10"/>
    <w:link w:val="47"/>
    <w:qFormat/>
    <w:uiPriority w:val="0"/>
    <w:rPr>
      <w:b/>
    </w:rPr>
  </w:style>
  <w:style w:type="character" w:customStyle="1" w:styleId="49">
    <w:name w:val="页脚 字符"/>
    <w:basedOn w:val="28"/>
    <w:qFormat/>
    <w:uiPriority w:val="0"/>
  </w:style>
  <w:style w:type="character" w:customStyle="1" w:styleId="50">
    <w:name w:val="NormalCharacter"/>
    <w:qFormat/>
    <w:uiPriority w:val="0"/>
  </w:style>
  <w:style w:type="character" w:customStyle="1" w:styleId="51">
    <w:name w:val="表格 Char Char"/>
    <w:link w:val="52"/>
    <w:qFormat/>
    <w:uiPriority w:val="0"/>
    <w:rPr>
      <w:rFonts w:ascii="宋体"/>
      <w:sz w:val="21"/>
    </w:rPr>
  </w:style>
  <w:style w:type="paragraph" w:customStyle="1" w:styleId="52">
    <w:name w:val="表格"/>
    <w:basedOn w:val="33"/>
    <w:next w:val="1"/>
    <w:link w:val="51"/>
    <w:qFormat/>
    <w:uiPriority w:val="0"/>
    <w:pPr>
      <w:spacing w:before="31" w:beforeLines="10" w:after="31" w:afterLines="10" w:line="259" w:lineRule="auto"/>
    </w:pPr>
    <w:rPr>
      <w:rFonts w:ascii="宋体"/>
    </w:rPr>
  </w:style>
  <w:style w:type="character" w:customStyle="1" w:styleId="53">
    <w:name w:val="font61"/>
    <w:basedOn w:val="28"/>
    <w:qFormat/>
    <w:uiPriority w:val="0"/>
    <w:rPr>
      <w:rFonts w:hint="eastAsia" w:ascii="宋体" w:hAnsi="宋体" w:eastAsia="宋体" w:cs="宋体"/>
      <w:color w:val="000000"/>
      <w:sz w:val="21"/>
      <w:szCs w:val="21"/>
      <w:u w:val="none"/>
    </w:rPr>
  </w:style>
  <w:style w:type="character" w:customStyle="1" w:styleId="54">
    <w:name w:val="font31"/>
    <w:basedOn w:val="28"/>
    <w:qFormat/>
    <w:uiPriority w:val="0"/>
    <w:rPr>
      <w:rFonts w:ascii="Arial" w:hAnsi="Arial" w:cs="Arial"/>
      <w:b/>
      <w:bCs/>
      <w:color w:val="000000"/>
      <w:sz w:val="21"/>
      <w:szCs w:val="21"/>
      <w:u w:val="none"/>
    </w:rPr>
  </w:style>
  <w:style w:type="character" w:customStyle="1" w:styleId="55">
    <w:name w:val="批注引用1"/>
    <w:qFormat/>
    <w:uiPriority w:val="0"/>
    <w:rPr>
      <w:sz w:val="21"/>
    </w:rPr>
  </w:style>
  <w:style w:type="character" w:customStyle="1" w:styleId="56">
    <w:name w:val="font21"/>
    <w:basedOn w:val="28"/>
    <w:qFormat/>
    <w:uiPriority w:val="0"/>
    <w:rPr>
      <w:rFonts w:hint="eastAsia" w:ascii="宋体" w:hAnsi="宋体" w:eastAsia="宋体" w:cs="宋体"/>
      <w:b/>
      <w:bCs/>
      <w:color w:val="000000"/>
      <w:sz w:val="21"/>
      <w:szCs w:val="21"/>
      <w:u w:val="none"/>
    </w:rPr>
  </w:style>
  <w:style w:type="character" w:customStyle="1" w:styleId="57">
    <w:name w:val="正文文本 字符1"/>
    <w:qFormat/>
    <w:uiPriority w:val="0"/>
    <w:rPr>
      <w:rFonts w:ascii="Times New Roman" w:hAnsi="Times New Roman" w:eastAsia="宋体"/>
      <w:sz w:val="24"/>
    </w:rPr>
  </w:style>
  <w:style w:type="character" w:customStyle="1" w:styleId="58">
    <w:name w:val="font41"/>
    <w:basedOn w:val="28"/>
    <w:qFormat/>
    <w:uiPriority w:val="0"/>
    <w:rPr>
      <w:rFonts w:hint="default" w:ascii="Times New Roman" w:hAnsi="Times New Roman" w:cs="Times New Roman"/>
      <w:color w:val="000000"/>
      <w:sz w:val="21"/>
      <w:szCs w:val="21"/>
      <w:u w:val="none"/>
    </w:rPr>
  </w:style>
  <w:style w:type="character" w:customStyle="1" w:styleId="59">
    <w:name w:val="批注文字 字符1"/>
    <w:qFormat/>
    <w:uiPriority w:val="0"/>
    <w:rPr>
      <w:rFonts w:ascii="Times New Roman" w:hAnsi="Times New Roman" w:eastAsia="宋体"/>
      <w:sz w:val="24"/>
    </w:rPr>
  </w:style>
  <w:style w:type="character" w:customStyle="1" w:styleId="60">
    <w:name w:val="font11"/>
    <w:basedOn w:val="28"/>
    <w:qFormat/>
    <w:uiPriority w:val="0"/>
    <w:rPr>
      <w:rFonts w:hint="eastAsia" w:ascii="宋体" w:hAnsi="宋体" w:eastAsia="宋体" w:cs="宋体"/>
      <w:color w:val="000000"/>
      <w:sz w:val="21"/>
      <w:szCs w:val="21"/>
      <w:u w:val="none"/>
    </w:rPr>
  </w:style>
  <w:style w:type="character" w:customStyle="1" w:styleId="61">
    <w:name w:val="页码1"/>
    <w:basedOn w:val="28"/>
    <w:qFormat/>
    <w:uiPriority w:val="0"/>
  </w:style>
  <w:style w:type="character" w:customStyle="1" w:styleId="62">
    <w:name w:val="font01"/>
    <w:basedOn w:val="28"/>
    <w:qFormat/>
    <w:uiPriority w:val="0"/>
    <w:rPr>
      <w:rFonts w:hint="default" w:ascii="Calibri" w:hAnsi="Calibri" w:cs="Calibri"/>
      <w:b/>
      <w:bCs/>
      <w:color w:val="000000"/>
      <w:sz w:val="21"/>
      <w:szCs w:val="21"/>
      <w:u w:val="none"/>
    </w:rPr>
  </w:style>
  <w:style w:type="character" w:customStyle="1" w:styleId="63">
    <w:name w:val="日期 字符"/>
    <w:qFormat/>
    <w:uiPriority w:val="0"/>
    <w:rPr>
      <w:rFonts w:ascii="Times New Roman" w:hAnsi="Times New Roman" w:eastAsia="宋体"/>
      <w:sz w:val="24"/>
    </w:rPr>
  </w:style>
  <w:style w:type="character" w:customStyle="1" w:styleId="64">
    <w:name w:val="font51"/>
    <w:basedOn w:val="28"/>
    <w:qFormat/>
    <w:uiPriority w:val="0"/>
    <w:rPr>
      <w:rFonts w:hint="eastAsia" w:ascii="宋体" w:hAnsi="宋体" w:eastAsia="宋体" w:cs="宋体"/>
      <w:b/>
      <w:bCs/>
      <w:color w:val="000000"/>
      <w:sz w:val="20"/>
      <w:szCs w:val="20"/>
      <w:u w:val="none"/>
    </w:rPr>
  </w:style>
  <w:style w:type="paragraph" w:customStyle="1" w:styleId="65">
    <w:name w:val="报告正文"/>
    <w:basedOn w:val="1"/>
    <w:qFormat/>
    <w:uiPriority w:val="0"/>
    <w:pPr>
      <w:spacing w:line="360" w:lineRule="auto"/>
      <w:ind w:firstLine="536" w:firstLineChars="200"/>
    </w:pPr>
    <w:rPr>
      <w:spacing w:val="14"/>
      <w:sz w:val="24"/>
    </w:rPr>
  </w:style>
  <w:style w:type="paragraph" w:customStyle="1" w:styleId="66">
    <w:name w:val="无间隔1"/>
    <w:next w:val="1"/>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67">
    <w:name w:val="页眉1"/>
    <w:basedOn w:val="1"/>
    <w:qFormat/>
    <w:uiPriority w:val="0"/>
    <w:pPr>
      <w:pBdr>
        <w:bottom w:val="single" w:color="auto" w:sz="6" w:space="1"/>
      </w:pBdr>
      <w:tabs>
        <w:tab w:val="center" w:pos="4153"/>
        <w:tab w:val="right" w:pos="8306"/>
      </w:tabs>
      <w:snapToGrid w:val="0"/>
      <w:jc w:val="center"/>
    </w:pPr>
    <w:rPr>
      <w:kern w:val="0"/>
      <w:sz w:val="18"/>
      <w:szCs w:val="18"/>
    </w:rPr>
  </w:style>
  <w:style w:type="paragraph" w:customStyle="1" w:styleId="68">
    <w:name w:val="大表格内容"/>
    <w:basedOn w:val="1"/>
    <w:next w:val="1"/>
    <w:qFormat/>
    <w:uiPriority w:val="0"/>
    <w:pPr>
      <w:adjustRightInd w:val="0"/>
      <w:snapToGrid w:val="0"/>
      <w:jc w:val="center"/>
    </w:pPr>
    <w:rPr>
      <w:rFonts w:ascii="宋体" w:hAnsi="宋体"/>
      <w:kern w:val="0"/>
      <w:szCs w:val="20"/>
    </w:rPr>
  </w:style>
  <w:style w:type="paragraph" w:customStyle="1" w:styleId="69">
    <w:name w:val="Table Text"/>
    <w:basedOn w:val="1"/>
    <w:qFormat/>
    <w:uiPriority w:val="0"/>
    <w:rPr>
      <w:rFonts w:ascii="宋体" w:hAnsi="宋体" w:cs="宋体"/>
      <w:sz w:val="20"/>
      <w:szCs w:val="20"/>
      <w:lang w:eastAsia="en-US"/>
    </w:rPr>
  </w:style>
  <w:style w:type="paragraph" w:customStyle="1" w:styleId="70">
    <w:name w:val="称呼1"/>
    <w:basedOn w:val="1"/>
    <w:next w:val="1"/>
    <w:qFormat/>
    <w:uiPriority w:val="0"/>
    <w:pPr>
      <w:widowControl/>
      <w:jc w:val="left"/>
    </w:pPr>
    <w:rPr>
      <w:kern w:val="0"/>
      <w:sz w:val="24"/>
    </w:rPr>
  </w:style>
  <w:style w:type="paragraph" w:customStyle="1" w:styleId="71">
    <w:name w:val="列表1"/>
    <w:basedOn w:val="1"/>
    <w:qFormat/>
    <w:uiPriority w:val="0"/>
    <w:pPr>
      <w:ind w:left="200" w:hanging="200" w:hangingChars="200"/>
    </w:pPr>
  </w:style>
  <w:style w:type="paragraph" w:customStyle="1" w:styleId="72">
    <w:name w:val="正文文本首行缩进1"/>
    <w:basedOn w:val="2"/>
    <w:next w:val="1"/>
    <w:qFormat/>
    <w:uiPriority w:val="0"/>
    <w:pPr>
      <w:widowControl w:val="0"/>
      <w:snapToGrid/>
      <w:spacing w:before="0" w:after="120" w:line="240" w:lineRule="auto"/>
      <w:ind w:right="0" w:firstLine="420" w:firstLineChars="100"/>
    </w:pPr>
    <w:rPr>
      <w:sz w:val="21"/>
    </w:rPr>
  </w:style>
  <w:style w:type="paragraph" w:customStyle="1" w:styleId="73">
    <w:name w:val="文本正文"/>
    <w:basedOn w:val="1"/>
    <w:qFormat/>
    <w:uiPriority w:val="0"/>
    <w:pPr>
      <w:snapToGrid w:val="0"/>
      <w:spacing w:line="360" w:lineRule="auto"/>
      <w:ind w:firstLine="510"/>
      <w:jc w:val="left"/>
    </w:pPr>
    <w:rPr>
      <w:spacing w:val="4"/>
      <w:kern w:val="24"/>
      <w:lang w:val="zh-CN"/>
    </w:rPr>
  </w:style>
  <w:style w:type="paragraph" w:customStyle="1" w:styleId="74">
    <w:name w:val="纯文本1"/>
    <w:basedOn w:val="1"/>
    <w:qFormat/>
    <w:uiPriority w:val="0"/>
    <w:pPr>
      <w:adjustRightInd w:val="0"/>
      <w:textAlignment w:val="baseline"/>
    </w:pPr>
    <w:rPr>
      <w:rFonts w:ascii="宋体" w:hAnsi="Courier New"/>
      <w:szCs w:val="20"/>
    </w:rPr>
  </w:style>
  <w:style w:type="paragraph" w:customStyle="1" w:styleId="75">
    <w:name w:val="表文中"/>
    <w:basedOn w:val="1"/>
    <w:qFormat/>
    <w:uiPriority w:val="0"/>
    <w:pPr>
      <w:jc w:val="center"/>
    </w:pPr>
    <w:rPr>
      <w:szCs w:val="21"/>
    </w:rPr>
  </w:style>
  <w:style w:type="paragraph" w:customStyle="1" w:styleId="76">
    <w:name w:val="样式1"/>
    <w:basedOn w:val="1"/>
    <w:qFormat/>
    <w:uiPriority w:val="0"/>
    <w:pPr>
      <w:spacing w:line="360" w:lineRule="auto"/>
      <w:ind w:firstLine="720" w:firstLineChars="200"/>
    </w:pPr>
    <w:rPr>
      <w:spacing w:val="-7"/>
      <w:sz w:val="24"/>
    </w:rPr>
  </w:style>
  <w:style w:type="paragraph" w:customStyle="1" w:styleId="77">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78">
    <w:name w:val="1.5倍行距"/>
    <w:basedOn w:val="1"/>
    <w:next w:val="1"/>
    <w:qFormat/>
    <w:uiPriority w:val="0"/>
    <w:pPr>
      <w:spacing w:line="360" w:lineRule="auto"/>
      <w:ind w:firstLine="200" w:firstLineChars="200"/>
      <w:jc w:val="left"/>
    </w:pPr>
  </w:style>
  <w:style w:type="paragraph" w:customStyle="1" w:styleId="79">
    <w:name w:val="正文文本缩进 31"/>
    <w:basedOn w:val="1"/>
    <w:qFormat/>
    <w:uiPriority w:val="0"/>
    <w:pPr>
      <w:ind w:left="420" w:leftChars="200"/>
    </w:pPr>
    <w:rPr>
      <w:sz w:val="16"/>
      <w:szCs w:val="16"/>
    </w:rPr>
  </w:style>
  <w:style w:type="paragraph" w:customStyle="1" w:styleId="80">
    <w:name w:val="正文文本首行缩进 21"/>
    <w:basedOn w:val="41"/>
    <w:next w:val="72"/>
    <w:qFormat/>
    <w:uiPriority w:val="0"/>
    <w:pPr>
      <w:ind w:firstLine="420" w:firstLineChars="200"/>
    </w:pPr>
    <w:rPr>
      <w:sz w:val="21"/>
    </w:rPr>
  </w:style>
  <w:style w:type="paragraph" w:customStyle="1" w:styleId="81">
    <w:name w:val="表格文字1"/>
    <w:basedOn w:val="1"/>
    <w:qFormat/>
    <w:uiPriority w:val="0"/>
    <w:pPr>
      <w:snapToGrid w:val="0"/>
      <w:spacing w:line="360" w:lineRule="atLeast"/>
      <w:jc w:val="center"/>
    </w:pPr>
    <w:rPr>
      <w:sz w:val="18"/>
      <w:szCs w:val="20"/>
    </w:rPr>
  </w:style>
  <w:style w:type="paragraph" w:customStyle="1" w:styleId="82">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3">
    <w:name w:val="表1"/>
    <w:next w:val="1"/>
    <w:qFormat/>
    <w:uiPriority w:val="0"/>
    <w:pPr>
      <w:numPr>
        <w:ilvl w:val="0"/>
        <w:numId w:val="1"/>
      </w:numPr>
      <w:spacing w:line="360" w:lineRule="auto"/>
      <w:jc w:val="center"/>
    </w:pPr>
    <w:rPr>
      <w:rFonts w:ascii="Times New Roman" w:hAnsi="Times New Roman" w:eastAsia="宋体" w:cs="Times New Roman"/>
      <w:b/>
      <w:kern w:val="2"/>
      <w:sz w:val="24"/>
      <w:szCs w:val="24"/>
      <w:lang w:val="en-US" w:eastAsia="zh-CN" w:bidi="ar-SA"/>
    </w:rPr>
  </w:style>
  <w:style w:type="paragraph" w:customStyle="1" w:styleId="84">
    <w:name w:val="正文(首行缩进)"/>
    <w:basedOn w:val="1"/>
    <w:qFormat/>
    <w:uiPriority w:val="0"/>
    <w:pPr>
      <w:adjustRightInd w:val="0"/>
      <w:snapToGrid w:val="0"/>
      <w:ind w:firstLine="200"/>
    </w:pPr>
    <w:rPr>
      <w:kern w:val="0"/>
    </w:rPr>
  </w:style>
  <w:style w:type="paragraph" w:customStyle="1" w:styleId="85">
    <w:name w:val="纯文本2"/>
    <w:basedOn w:val="1"/>
    <w:next w:val="1"/>
    <w:qFormat/>
    <w:uiPriority w:val="0"/>
    <w:rPr>
      <w:rFonts w:ascii="宋体" w:hAnsi="Courier New"/>
      <w:kern w:val="0"/>
      <w:szCs w:val="21"/>
    </w:rPr>
  </w:style>
  <w:style w:type="paragraph" w:customStyle="1" w:styleId="86">
    <w:name w:val="p15"/>
    <w:basedOn w:val="1"/>
    <w:qFormat/>
    <w:uiPriority w:val="0"/>
    <w:pPr>
      <w:widowControl/>
      <w:spacing w:line="360" w:lineRule="auto"/>
    </w:pPr>
    <w:rPr>
      <w:rFonts w:ascii="Arial" w:hAnsi="Arial" w:cs="Arial"/>
      <w:kern w:val="0"/>
      <w:sz w:val="20"/>
      <w:szCs w:val="20"/>
    </w:rPr>
  </w:style>
  <w:style w:type="paragraph" w:customStyle="1" w:styleId="87">
    <w:name w:val="表格标题"/>
    <w:basedOn w:val="88"/>
    <w:next w:val="1"/>
    <w:qFormat/>
    <w:uiPriority w:val="0"/>
    <w:pPr>
      <w:jc w:val="center"/>
    </w:pPr>
    <w:rPr>
      <w:b/>
    </w:rPr>
  </w:style>
  <w:style w:type="paragraph" w:customStyle="1" w:styleId="88">
    <w:name w:val="初稿正文"/>
    <w:basedOn w:val="1"/>
    <w:unhideWhenUsed/>
    <w:qFormat/>
    <w:uiPriority w:val="0"/>
    <w:pPr>
      <w:spacing w:beforeLines="0" w:afterLines="0" w:line="360" w:lineRule="auto"/>
      <w:ind w:firstLine="720" w:firstLineChars="200"/>
    </w:pPr>
    <w:rPr>
      <w:rFonts w:hint="default"/>
      <w:color w:val="FF0000"/>
      <w:sz w:val="21"/>
      <w:szCs w:val="21"/>
    </w:rPr>
  </w:style>
  <w:style w:type="paragraph" w:customStyle="1" w:styleId="89">
    <w:name w:val="表格内容"/>
    <w:basedOn w:val="87"/>
    <w:qFormat/>
    <w:uiPriority w:val="0"/>
    <w:rPr>
      <w:szCs w:val="21"/>
    </w:rPr>
  </w:style>
  <w:style w:type="paragraph" w:customStyle="1" w:styleId="90">
    <w:name w:val="表格内容（标）"/>
    <w:next w:val="1"/>
    <w:qFormat/>
    <w:uiPriority w:val="0"/>
    <w:pPr>
      <w:widowControl w:val="0"/>
      <w:spacing w:line="360" w:lineRule="exact"/>
      <w:jc w:val="center"/>
    </w:pPr>
    <w:rPr>
      <w:rFonts w:ascii="Times New Roman" w:hAnsi="Times New Roman" w:eastAsia="宋体" w:cs="宋体"/>
      <w:kern w:val="2"/>
      <w:sz w:val="21"/>
      <w:lang w:val="en-US" w:eastAsia="zh-CN" w:bidi="ar-SA"/>
    </w:rPr>
  </w:style>
  <w:style w:type="paragraph" w:customStyle="1" w:styleId="91">
    <w:name w:val="文本"/>
    <w:basedOn w:val="42"/>
    <w:qFormat/>
    <w:uiPriority w:val="0"/>
    <w:pPr>
      <w:autoSpaceDE w:val="0"/>
      <w:autoSpaceDN w:val="0"/>
      <w:ind w:firstLine="480"/>
    </w:pPr>
    <w:rPr>
      <w:szCs w:val="24"/>
      <w:lang w:val="zh-CN"/>
    </w:rPr>
  </w:style>
  <w:style w:type="paragraph" w:customStyle="1" w:styleId="92">
    <w:name w:val="表头字体"/>
    <w:basedOn w:val="1"/>
    <w:qFormat/>
    <w:uiPriority w:val="0"/>
    <w:pPr>
      <w:jc w:val="center"/>
    </w:pPr>
    <w:rPr>
      <w:b/>
    </w:rPr>
  </w:style>
  <w:style w:type="paragraph" w:customStyle="1" w:styleId="93">
    <w:name w:val="正文文字"/>
    <w:basedOn w:val="1"/>
    <w:qFormat/>
    <w:uiPriority w:val="0"/>
    <w:pPr>
      <w:spacing w:line="360" w:lineRule="auto"/>
      <w:ind w:firstLine="480" w:firstLineChars="200"/>
      <w:jc w:val="left"/>
    </w:pPr>
    <w:rPr>
      <w:sz w:val="24"/>
    </w:rPr>
  </w:style>
  <w:style w:type="paragraph" w:customStyle="1" w:styleId="94">
    <w:name w:val="表格文本"/>
    <w:basedOn w:val="1"/>
    <w:qFormat/>
    <w:uiPriority w:val="0"/>
    <w:pPr>
      <w:snapToGrid w:val="0"/>
      <w:spacing w:line="312" w:lineRule="auto"/>
      <w:jc w:val="center"/>
    </w:pPr>
    <w:rPr>
      <w:szCs w:val="22"/>
      <w:lang w:val="zh-CN"/>
    </w:rPr>
  </w:style>
  <w:style w:type="paragraph" w:customStyle="1" w:styleId="95">
    <w:name w:val="列表编号 51"/>
    <w:basedOn w:val="1"/>
    <w:qFormat/>
    <w:uiPriority w:val="0"/>
    <w:pPr>
      <w:numPr>
        <w:ilvl w:val="0"/>
        <w:numId w:val="2"/>
      </w:numPr>
    </w:pPr>
  </w:style>
  <w:style w:type="paragraph" w:customStyle="1" w:styleId="96">
    <w:name w:val="表标题"/>
    <w:basedOn w:val="1"/>
    <w:next w:val="1"/>
    <w:qFormat/>
    <w:uiPriority w:val="0"/>
    <w:pPr>
      <w:keepNext/>
      <w:jc w:val="center"/>
    </w:pPr>
    <w:rPr>
      <w:b/>
    </w:rPr>
  </w:style>
  <w:style w:type="paragraph" w:customStyle="1" w:styleId="97">
    <w:name w:val="表格文字"/>
    <w:basedOn w:val="98"/>
    <w:qFormat/>
    <w:uiPriority w:val="0"/>
    <w:pPr>
      <w:adjustRightInd w:val="0"/>
    </w:pPr>
  </w:style>
  <w:style w:type="paragraph" w:customStyle="1" w:styleId="98">
    <w:name w:val="表格表头"/>
    <w:basedOn w:val="87"/>
    <w:qFormat/>
    <w:uiPriority w:val="0"/>
  </w:style>
  <w:style w:type="paragraph" w:customStyle="1" w:styleId="99">
    <w:name w:val="正文（首行缩进两字）m"/>
    <w:basedOn w:val="100"/>
    <w:qFormat/>
    <w:uiPriority w:val="0"/>
    <w:pPr>
      <w:tabs>
        <w:tab w:val="left" w:pos="1848"/>
        <w:tab w:val="left" w:pos="6061"/>
        <w:tab w:val="left" w:pos="8665"/>
      </w:tabs>
      <w:snapToGrid w:val="0"/>
      <w:spacing w:before="156" w:beforeLines="50" w:line="460" w:lineRule="exact"/>
      <w:ind w:firstLine="480"/>
    </w:pPr>
    <w:rPr>
      <w:rFonts w:ascii="宋体" w:hAnsi="宋体"/>
      <w:sz w:val="24"/>
    </w:rPr>
  </w:style>
  <w:style w:type="paragraph" w:customStyle="1" w:styleId="100">
    <w:name w:val="正文缩进11"/>
    <w:basedOn w:val="1"/>
    <w:qFormat/>
    <w:uiPriority w:val="0"/>
    <w:pPr>
      <w:ind w:firstLine="420"/>
    </w:pPr>
  </w:style>
  <w:style w:type="paragraph" w:customStyle="1" w:styleId="101">
    <w:name w:val="正文111"/>
    <w:basedOn w:val="1"/>
    <w:qFormat/>
    <w:uiPriority w:val="0"/>
    <w:pPr>
      <w:ind w:firstLine="720"/>
    </w:pPr>
  </w:style>
  <w:style w:type="paragraph" w:customStyle="1" w:styleId="102">
    <w:name w:val="文本22"/>
    <w:basedOn w:val="1"/>
    <w:qFormat/>
    <w:uiPriority w:val="0"/>
    <w:pPr>
      <w:autoSpaceDE w:val="0"/>
      <w:autoSpaceDN w:val="0"/>
      <w:adjustRightInd w:val="0"/>
      <w:spacing w:line="360" w:lineRule="auto"/>
      <w:ind w:firstLine="480" w:firstLineChars="200"/>
    </w:pPr>
    <w:rPr>
      <w:sz w:val="24"/>
    </w:rPr>
  </w:style>
  <w:style w:type="paragraph" w:customStyle="1" w:styleId="103">
    <w:name w:val="正文文本缩进 21"/>
    <w:basedOn w:val="1"/>
    <w:qFormat/>
    <w:uiPriority w:val="0"/>
    <w:pPr>
      <w:spacing w:line="500" w:lineRule="exact"/>
      <w:ind w:firstLine="570"/>
    </w:pPr>
    <w:rPr>
      <w:rFonts w:ascii="仿宋_GB2312" w:eastAsia="仿宋_GB2312"/>
      <w:sz w:val="28"/>
    </w:rPr>
  </w:style>
  <w:style w:type="paragraph" w:customStyle="1" w:styleId="104">
    <w:name w:val="样式 标题 1 + 四号 段前: 0 磅 段后: 0 磅 行距: 1.5 倍行距"/>
    <w:basedOn w:val="105"/>
    <w:next w:val="1"/>
    <w:qFormat/>
    <w:uiPriority w:val="0"/>
    <w:pPr>
      <w:spacing w:line="360" w:lineRule="auto"/>
      <w:jc w:val="center"/>
    </w:pPr>
  </w:style>
  <w:style w:type="paragraph" w:customStyle="1" w:styleId="105">
    <w:name w:val="1正文"/>
    <w:basedOn w:val="1"/>
    <w:qFormat/>
    <w:uiPriority w:val="0"/>
    <w:pPr>
      <w:spacing w:line="500" w:lineRule="exact"/>
      <w:ind w:firstLine="588" w:firstLineChars="196"/>
    </w:pPr>
    <w:rPr>
      <w:rFonts w:eastAsia="楷体_GB2312"/>
      <w:sz w:val="30"/>
      <w:szCs w:val="30"/>
    </w:rPr>
  </w:style>
  <w:style w:type="paragraph" w:customStyle="1" w:styleId="106">
    <w:name w:val="报告表正文"/>
    <w:basedOn w:val="1"/>
    <w:qFormat/>
    <w:uiPriority w:val="0"/>
    <w:pPr>
      <w:adjustRightInd w:val="0"/>
      <w:spacing w:line="312" w:lineRule="auto"/>
      <w:ind w:left="113" w:right="113" w:firstLine="482"/>
      <w:jc w:val="left"/>
      <w:textAlignment w:val="baseline"/>
    </w:pPr>
    <w:rPr>
      <w:kern w:val="0"/>
      <w:sz w:val="24"/>
      <w:szCs w:val="20"/>
    </w:rPr>
  </w:style>
  <w:style w:type="paragraph" w:customStyle="1" w:styleId="107">
    <w:name w:val="二级正文"/>
    <w:basedOn w:val="108"/>
    <w:next w:val="1"/>
    <w:qFormat/>
    <w:uiPriority w:val="0"/>
    <w:pPr>
      <w:ind w:firstLine="562" w:firstLineChars="200"/>
    </w:pPr>
  </w:style>
  <w:style w:type="paragraph" w:customStyle="1" w:styleId="108">
    <w:name w:val="一级正文"/>
    <w:basedOn w:val="1"/>
    <w:next w:val="1"/>
    <w:qFormat/>
    <w:uiPriority w:val="0"/>
    <w:rPr>
      <w:b/>
    </w:rPr>
  </w:style>
  <w:style w:type="paragraph" w:customStyle="1" w:styleId="109">
    <w:name w:val="Table Paragraph"/>
    <w:basedOn w:val="1"/>
    <w:qFormat/>
    <w:uiPriority w:val="0"/>
    <w:rPr>
      <w:rFonts w:ascii="宋体" w:hAnsi="宋体" w:cs="宋体"/>
    </w:rPr>
  </w:style>
  <w:style w:type="paragraph" w:customStyle="1" w:styleId="110">
    <w:name w:val="WPSOffice手动目录 1"/>
    <w:qFormat/>
    <w:uiPriority w:val="0"/>
    <w:rPr>
      <w:rFonts w:ascii="Times New Roman" w:hAnsi="Times New Roman" w:eastAsia="宋体" w:cs="Times New Roman"/>
      <w:lang w:val="en-US" w:eastAsia="zh-CN" w:bidi="ar-SA"/>
    </w:rPr>
  </w:style>
  <w:style w:type="paragraph" w:customStyle="1" w:styleId="111">
    <w:name w:val="样式 样式 首行缩进:  2 字符 + 首行缩进:  2 字符"/>
    <w:next w:val="21"/>
    <w:qFormat/>
    <w:uiPriority w:val="0"/>
    <w:pPr>
      <w:widowControl w:val="0"/>
      <w:snapToGrid w:val="0"/>
      <w:spacing w:line="360" w:lineRule="auto"/>
      <w:ind w:firstLine="560" w:firstLineChars="200"/>
      <w:jc w:val="both"/>
    </w:pPr>
    <w:rPr>
      <w:rFonts w:ascii="Times New Roman" w:hAnsi="Times New Roman" w:eastAsia="宋体" w:cs="Times New Roman"/>
      <w:kern w:val="2"/>
      <w:sz w:val="28"/>
      <w:szCs w:val="28"/>
      <w:lang w:val="en-US" w:eastAsia="zh-CN" w:bidi="ar-SA"/>
    </w:rPr>
  </w:style>
  <w:style w:type="paragraph" w:customStyle="1" w:styleId="112">
    <w:name w:val="列表段落1"/>
    <w:basedOn w:val="1"/>
    <w:qFormat/>
    <w:uiPriority w:val="0"/>
    <w:pPr>
      <w:ind w:left="1733" w:hanging="601"/>
    </w:pPr>
    <w:rPr>
      <w:rFonts w:ascii="宋体" w:hAnsi="宋体" w:cs="宋体"/>
    </w:rPr>
  </w:style>
  <w:style w:type="paragraph" w:customStyle="1" w:styleId="113">
    <w:name w:val="中文报告书样式"/>
    <w:basedOn w:val="1"/>
    <w:qFormat/>
    <w:uiPriority w:val="0"/>
    <w:pPr>
      <w:adjustRightInd w:val="0"/>
      <w:spacing w:line="480" w:lineRule="atLeast"/>
      <w:ind w:firstLine="482"/>
      <w:textAlignment w:val="baseline"/>
    </w:pPr>
    <w:rPr>
      <w:kern w:val="24"/>
      <w:sz w:val="24"/>
    </w:rPr>
  </w:style>
  <w:style w:type="paragraph" w:customStyle="1" w:styleId="114">
    <w:name w:val="表"/>
    <w:basedOn w:val="9"/>
    <w:qFormat/>
    <w:uiPriority w:val="0"/>
    <w:rPr>
      <w:lang w:val="zh-CN"/>
    </w:rPr>
  </w:style>
  <w:style w:type="paragraph" w:customStyle="1" w:styleId="115">
    <w:name w:val="y文本"/>
    <w:basedOn w:val="1"/>
    <w:qFormat/>
    <w:uiPriority w:val="0"/>
    <w:pPr>
      <w:spacing w:line="360" w:lineRule="auto"/>
      <w:ind w:firstLine="200" w:firstLineChars="200"/>
    </w:pPr>
    <w:rPr>
      <w:rFonts w:cs="宋体"/>
      <w:szCs w:val="20"/>
    </w:rPr>
  </w:style>
  <w:style w:type="paragraph" w:customStyle="1" w:styleId="116">
    <w:name w:val="Char"/>
    <w:basedOn w:val="1"/>
    <w:qFormat/>
    <w:uiPriority w:val="0"/>
    <w:pPr>
      <w:widowControl/>
      <w:spacing w:after="160" w:line="240" w:lineRule="exact"/>
      <w:jc w:val="left"/>
    </w:pPr>
  </w:style>
  <w:style w:type="paragraph" w:customStyle="1" w:styleId="117">
    <w:name w:val="样式 正文缩进正文缩进2正文缩进 Char Char正文缩进 Char Char Char Char正文缩进 Char ..."/>
    <w:basedOn w:val="8"/>
    <w:qFormat/>
    <w:uiPriority w:val="0"/>
    <w:pPr>
      <w:spacing w:line="360" w:lineRule="auto"/>
      <w:ind w:firstLine="200"/>
    </w:pPr>
    <w:rPr>
      <w:rFonts w:cs="宋体"/>
    </w:rPr>
  </w:style>
  <w:style w:type="paragraph" w:customStyle="1" w:styleId="118">
    <w:name w:val="正文小四"/>
    <w:basedOn w:val="1"/>
    <w:qFormat/>
    <w:uiPriority w:val="0"/>
    <w:pPr>
      <w:adjustRightInd w:val="0"/>
      <w:snapToGrid w:val="0"/>
      <w:spacing w:line="360" w:lineRule="auto"/>
      <w:ind w:firstLine="200" w:firstLineChars="200"/>
      <w:textAlignment w:val="baseline"/>
    </w:pPr>
    <w:rPr>
      <w:snapToGrid w:val="0"/>
      <w:kern w:val="0"/>
      <w:sz w:val="24"/>
      <w:szCs w:val="20"/>
    </w:rPr>
  </w:style>
  <w:style w:type="paragraph" w:customStyle="1" w:styleId="119">
    <w:name w:val="列表段落2"/>
    <w:basedOn w:val="1"/>
    <w:qFormat/>
    <w:uiPriority w:val="0"/>
    <w:pPr>
      <w:ind w:firstLine="420" w:firstLineChars="200"/>
    </w:pPr>
    <w:rPr>
      <w:szCs w:val="21"/>
    </w:rPr>
  </w:style>
  <w:style w:type="table" w:customStyle="1" w:styleId="120">
    <w:name w:val="Table Normal"/>
    <w:unhideWhenUsed/>
    <w:qFormat/>
    <w:uiPriority w:val="0"/>
    <w:tblPr>
      <w:tblCellMar>
        <w:top w:w="0" w:type="dxa"/>
        <w:left w:w="0" w:type="dxa"/>
        <w:bottom w:w="0" w:type="dxa"/>
        <w:right w:w="0" w:type="dxa"/>
      </w:tblCellMar>
    </w:tblPr>
  </w:style>
  <w:style w:type="paragraph" w:customStyle="1" w:styleId="121">
    <w:name w:val="表头图名"/>
    <w:basedOn w:val="1"/>
    <w:qFormat/>
    <w:uiPriority w:val="0"/>
    <w:pPr>
      <w:adjustRightInd w:val="0"/>
      <w:snapToGrid w:val="0"/>
      <w:jc w:val="center"/>
    </w:pPr>
    <w:rPr>
      <w:b/>
      <w:color w:val="000000"/>
      <w:szCs w:val="21"/>
    </w:rPr>
  </w:style>
  <w:style w:type="paragraph" w:customStyle="1" w:styleId="122">
    <w:name w:val="正文▲"/>
    <w:basedOn w:val="1"/>
    <w:qFormat/>
    <w:uiPriority w:val="0"/>
    <w:pPr>
      <w:widowControl/>
      <w:spacing w:line="360" w:lineRule="auto"/>
      <w:ind w:firstLine="200" w:firstLineChars="200"/>
      <w:jc w:val="left"/>
    </w:pPr>
    <w:rPr>
      <w:color w:val="000000"/>
      <w:sz w:val="24"/>
    </w:rPr>
  </w:style>
  <w:style w:type="character" w:customStyle="1" w:styleId="123">
    <w:name w:val="lh-正文-报告书 Char"/>
    <w:link w:val="124"/>
    <w:qFormat/>
    <w:uiPriority w:val="0"/>
    <w:rPr>
      <w:snapToGrid w:val="0"/>
      <w:sz w:val="24"/>
      <w:szCs w:val="21"/>
      <w:lang w:val="en-GB" w:eastAsia="zh-CN" w:bidi="ar-SA"/>
    </w:rPr>
  </w:style>
  <w:style w:type="paragraph" w:customStyle="1" w:styleId="124">
    <w:name w:val="lh-正文-报告书"/>
    <w:link w:val="123"/>
    <w:qFormat/>
    <w:uiPriority w:val="0"/>
    <w:pPr>
      <w:widowControl w:val="0"/>
      <w:spacing w:line="360" w:lineRule="auto"/>
      <w:ind w:firstLine="200" w:firstLineChars="200"/>
      <w:jc w:val="both"/>
    </w:pPr>
    <w:rPr>
      <w:rFonts w:ascii="Times New Roman" w:hAnsi="Times New Roman" w:eastAsia="宋体" w:cs="Times New Roman"/>
      <w:snapToGrid w:val="0"/>
      <w:sz w:val="24"/>
      <w:szCs w:val="21"/>
      <w:lang w:val="en-GB" w:eastAsia="zh-CN" w:bidi="ar-SA"/>
    </w:rPr>
  </w:style>
  <w:style w:type="paragraph" w:customStyle="1" w:styleId="125">
    <w:name w:val="表格文字-报告书"/>
    <w:qFormat/>
    <w:uiPriority w:val="0"/>
    <w:pPr>
      <w:jc w:val="center"/>
    </w:pPr>
    <w:rPr>
      <w:rFonts w:ascii="Times New Roman" w:hAnsi="Times New Roman" w:eastAsia="宋体" w:cs="Times New Roman"/>
      <w:snapToGrid w:val="0"/>
      <w:sz w:val="21"/>
      <w:szCs w:val="24"/>
      <w:lang w:val="en-US" w:eastAsia="zh-CN" w:bidi="ar-SA"/>
    </w:rPr>
  </w:style>
  <w:style w:type="paragraph" w:customStyle="1" w:styleId="126">
    <w:name w:val="表题-报告书正文"/>
    <w:next w:val="125"/>
    <w:qFormat/>
    <w:uiPriority w:val="0"/>
    <w:pPr>
      <w:keepNext/>
      <w:numPr>
        <w:ilvl w:val="3"/>
        <w:numId w:val="3"/>
      </w:numPr>
      <w:adjustRightInd w:val="0"/>
      <w:snapToGrid w:val="0"/>
      <w:jc w:val="center"/>
    </w:pPr>
    <w:rPr>
      <w:rFonts w:ascii="Times New Roman" w:hAnsi="Times New Roman" w:eastAsia="宋体" w:cs="Times New Roman"/>
      <w:b/>
      <w:bCs/>
      <w:snapToGrid w:val="0"/>
      <w:sz w:val="24"/>
      <w:szCs w:val="24"/>
      <w:lang w:val="en-US" w:eastAsia="zh-CN" w:bidi="ar-SA"/>
    </w:rPr>
  </w:style>
  <w:style w:type="paragraph" w:customStyle="1" w:styleId="127">
    <w:name w:val="lh-表格文字-报告书"/>
    <w:qFormat/>
    <w:uiPriority w:val="0"/>
    <w:pPr>
      <w:jc w:val="center"/>
    </w:pPr>
    <w:rPr>
      <w:rFonts w:ascii="Times New Roman" w:hAnsi="Times New Roman" w:eastAsia="宋体" w:cs="Times New Roman"/>
      <w:snapToGrid w:val="0"/>
      <w:sz w:val="21"/>
      <w:szCs w:val="24"/>
      <w:lang w:val="en-US" w:eastAsia="zh-CN" w:bidi="ar-SA"/>
    </w:rPr>
  </w:style>
  <w:style w:type="character" w:customStyle="1" w:styleId="128">
    <w:name w:val="批注主题 字符"/>
    <w:basedOn w:val="35"/>
    <w:link w:val="23"/>
    <w:qFormat/>
    <w:uiPriority w:val="0"/>
    <w:rPr>
      <w:rFonts w:ascii="Times New Roman" w:hAnsi="Times New Roman" w:eastAsia="宋体"/>
      <w:b/>
      <w:bCs/>
      <w:kern w:val="2"/>
      <w:sz w:val="21"/>
      <w:szCs w:val="24"/>
    </w:rPr>
  </w:style>
  <w:style w:type="character" w:customStyle="1" w:styleId="129">
    <w:name w:val="未处理的提及1"/>
    <w:basedOn w:val="28"/>
    <w:semiHidden/>
    <w:unhideWhenUsed/>
    <w:qFormat/>
    <w:uiPriority w:val="99"/>
    <w:rPr>
      <w:color w:val="605E5C"/>
      <w:shd w:val="clear" w:color="auto" w:fill="E1DFDD"/>
    </w:rPr>
  </w:style>
  <w:style w:type="paragraph" w:customStyle="1" w:styleId="130">
    <w:name w:val="正文00"/>
    <w:qFormat/>
    <w:uiPriority w:val="0"/>
    <w:pPr>
      <w:overflowPunct w:val="0"/>
      <w:topLinePunct/>
      <w:adjustRightInd w:val="0"/>
      <w:snapToGrid w:val="0"/>
      <w:spacing w:line="460" w:lineRule="exact"/>
      <w:ind w:firstLine="200" w:firstLineChars="200"/>
      <w:jc w:val="both"/>
    </w:pPr>
    <w:rPr>
      <w:rFonts w:ascii="Times New Roman" w:hAnsi="Times New Roman" w:eastAsia="宋体" w:cs="Times New Roman"/>
      <w:color w:val="000000"/>
      <w:kern w:val="2"/>
      <w:sz w:val="24"/>
      <w:szCs w:val="24"/>
      <w:lang w:val="en-US" w:eastAsia="zh-CN" w:bidi="ar-SA"/>
    </w:rPr>
  </w:style>
  <w:style w:type="paragraph" w:customStyle="1" w:styleId="131">
    <w:name w:val="样式 报告表正文 + 加粗 黑色 左 行距: 多倍行距 1.3 字行"/>
    <w:basedOn w:val="1"/>
    <w:qFormat/>
    <w:uiPriority w:val="0"/>
    <w:pPr>
      <w:spacing w:line="360" w:lineRule="auto"/>
      <w:ind w:left="113" w:right="113" w:firstLine="482" w:firstLineChars="200"/>
      <w:outlineLvl w:val="0"/>
    </w:pPr>
    <w:rPr>
      <w:rFonts w:ascii="Times New Roman" w:hAnsi="Times New Roman"/>
      <w:b/>
    </w:rPr>
  </w:style>
  <w:style w:type="paragraph" w:customStyle="1" w:styleId="132">
    <w:name w:val="lh-表格文字-报告表"/>
    <w:qFormat/>
    <w:uiPriority w:val="0"/>
    <w:pPr>
      <w:jc w:val="center"/>
    </w:pPr>
    <w:rPr>
      <w:rFonts w:ascii="Times New Roman" w:hAnsi="Times New Roman" w:eastAsia="宋体" w:cs="Times New Roman"/>
      <w:snapToGrid w:val="0"/>
      <w:sz w:val="21"/>
      <w:szCs w:val="24"/>
      <w:lang w:val="en-US" w:eastAsia="zh-CN" w:bidi="ar-SA"/>
    </w:rPr>
  </w:style>
  <w:style w:type="paragraph" w:customStyle="1" w:styleId="133">
    <w:name w:val="1正文段落"/>
    <w:basedOn w:val="1"/>
    <w:qFormat/>
    <w:uiPriority w:val="0"/>
    <w:pPr>
      <w:adjustRightInd w:val="0"/>
      <w:snapToGrid w:val="0"/>
      <w:spacing w:line="360" w:lineRule="auto"/>
      <w:ind w:firstLine="200" w:firstLineChars="200"/>
    </w:pPr>
    <w:rPr>
      <w:rFonts w:ascii="Times New Roman" w:hAnsi="Times New Roman" w:cs="Times New Roman"/>
    </w:rPr>
  </w:style>
  <w:style w:type="paragraph" w:customStyle="1" w:styleId="134">
    <w:name w:val="正weng"/>
    <w:basedOn w:val="1"/>
    <w:qFormat/>
    <w:uiPriority w:val="0"/>
    <w:pPr>
      <w:widowControl/>
      <w:overflowPunct w:val="0"/>
      <w:spacing w:line="360" w:lineRule="auto"/>
      <w:ind w:firstLine="200" w:firstLineChars="200"/>
      <w:jc w:val="left"/>
    </w:pPr>
    <w:rPr>
      <w:rFonts w:ascii="Times New Roman" w:hAnsi="Times New Roman" w:cs="Times New Roman"/>
      <w:kern w:val="0"/>
      <w:sz w:val="24"/>
      <w:szCs w:val="24"/>
    </w:rPr>
  </w:style>
  <w:style w:type="paragraph" w:customStyle="1" w:styleId="135">
    <w:name w:val="宋体正文小四蓝色"/>
    <w:qFormat/>
    <w:uiPriority w:val="0"/>
    <w:pPr>
      <w:spacing w:line="500" w:lineRule="exact"/>
      <w:ind w:firstLine="480" w:firstLineChars="200"/>
    </w:pPr>
    <w:rPr>
      <w:rFonts w:ascii="Times New Roman" w:hAnsi="Times New Roman" w:eastAsia="宋体" w:cs="Times New Roman"/>
      <w:color w:val="0000FF"/>
      <w:kern w:val="2"/>
      <w:sz w:val="24"/>
      <w:szCs w:val="24"/>
      <w:lang w:val="en-US" w:eastAsia="zh-CN" w:bidi="ar-SA"/>
    </w:rPr>
  </w:style>
  <w:style w:type="paragraph" w:customStyle="1" w:styleId="136">
    <w:name w:val="报告"/>
    <w:basedOn w:val="1"/>
    <w:qFormat/>
    <w:uiPriority w:val="0"/>
    <w:pPr>
      <w:overflowPunct w:val="0"/>
      <w:autoSpaceDE w:val="0"/>
      <w:autoSpaceDN w:val="0"/>
      <w:adjustRightInd w:val="0"/>
      <w:spacing w:beforeLines="30" w:afterLines="30" w:line="400" w:lineRule="atLeast"/>
      <w:ind w:left="200" w:leftChars="200" w:firstLine="200" w:firstLineChars="200"/>
      <w:textAlignment w:val="baseline"/>
    </w:pPr>
    <w:rPr>
      <w:kern w:val="0"/>
      <w:sz w:val="24"/>
    </w:rPr>
  </w:style>
  <w:style w:type="paragraph" w:customStyle="1" w:styleId="137">
    <w:name w:val="Normal Indent1"/>
    <w:basedOn w:val="1"/>
    <w:qFormat/>
    <w:uiPriority w:val="0"/>
    <w:pPr>
      <w:ind w:firstLine="420" w:firstLineChars="200"/>
    </w:pPr>
  </w:style>
  <w:style w:type="paragraph" w:customStyle="1" w:styleId="138">
    <w:name w:val="+"/>
    <w:qFormat/>
    <w:uiPriority w:val="0"/>
    <w:pPr>
      <w:widowControl w:val="0"/>
      <w:adjustRightInd w:val="0"/>
      <w:snapToGrid w:val="0"/>
      <w:spacing w:line="360" w:lineRule="auto"/>
      <w:ind w:firstLine="420" w:firstLineChars="200"/>
    </w:pPr>
    <w:rPr>
      <w:rFonts w:ascii="Times New Roman" w:hAnsi="Times New Roman"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6" Type="http://schemas.microsoft.com/office/2011/relationships/people" Target="people.xml"/><Relationship Id="rId35" Type="http://schemas.openxmlformats.org/officeDocument/2006/relationships/fontTable" Target="fontTable.xml"/><Relationship Id="rId34" Type="http://schemas.openxmlformats.org/officeDocument/2006/relationships/customXml" Target="../customXml/item3.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extobjs>
    <extobj name="F360BE8B-6686-4F3D-AEAF-501FE73E4058-1">
      <extobjdata type="F360BE8B-6686-4F3D-AEAF-501FE73E4058" data="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"/>
    </extobj>
  </extobj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94678092-10f2-4c15-9e1d-90f17ecafb50</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3CCABCDD</paraID>
      <start>56</start>
      <end>59</end>
      <status>unmodified</status>
      <modifiedWord/>
      <trackRevisions>false</trackRevisions>
    </reviewItem>
    <reviewItem>
      <errorID>76daa4eb-c40a-48fb-8289-bd7b5ffbd4cd</errorID>
      <errorWord>[2022]39号</errorWord>
      <group>L1_Knowledge</group>
      <groupName>知识性问题</groupName>
      <ability>L2_Knowledge</ability>
      <abilityName>其他知识</abilityName>
      <candidateList>
        <item>〔2022〕39号</item>
      </candidateList>
      <explain>发文字号格式错误。</explain>
      <paraID> 4194A7F</paraID>
      <start>70</start>
      <end>79</end>
      <status>unmodified</status>
      <modifiedWord/>
      <trackRevisions>false</trackRevisions>
    </reviewItem>
    <reviewItem>
      <errorID>6088b765-ae5d-4e6d-a6d3-2290b70e636b</errorID>
      <errorWord>[2024]22号</errorWord>
      <group>L1_Knowledge</group>
      <groupName>知识性问题</groupName>
      <ability>L2_Knowledge</ability>
      <abilityName>其他知识</abilityName>
      <candidateList>
        <item>〔2024〕22号</item>
      </candidateList>
      <explain>发文字号格式错误。</explain>
      <paraID> 4194A7F</paraID>
      <start>325</start>
      <end>334</end>
      <status>unmodified</status>
      <modifiedWord/>
      <trackRevisions>false</trackRevisions>
    </reviewItem>
    <reviewItem>
      <errorID>fc7654e3-484d-490d-9c0a-297369a8f402</errorID>
      <errorWord>水</errorWord>
      <group>L1_Grammar</group>
      <groupName>语法问题</groupName>
      <ability>L2_Order</ability>
      <abilityName>语序不当</abilityName>
      <candidateList>
        <item>一水</item>
      </candidateList>
      <explain>句子可能没有遵循时空、逻辑顺序，或者介词、关联词等位置不当。</explain>
      <paraID>6446D9DE</paraID>
      <start>140</start>
      <end>141</end>
      <status>unmodified</status>
      <modifiedWord/>
      <trackRevisions>false</trackRevisions>
    </reviewItem>
    <reviewItem>
      <errorID>fa915dc0-89ac-46ce-938d-705d829d563f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2FE8C0EC</paraID>
      <start>15</start>
      <end>18</end>
      <status>unmodified</status>
      <modifiedWord/>
      <trackRevisions>false</trackRevisions>
    </reviewItem>
    <reviewItem>
      <errorID>2937cbd7-4059-446c-a35c-c87905fd06e6</errorID>
      <errorWord>三区三线</errorWord>
      <group>L1_Political</group>
      <groupName>政治性问题</groupName>
      <ability>L2_Keyword</ability>
      <abilityName>固定表述</abilityName>
      <candidateList>
        <item>“三区三线”</item>
      </candidateList>
      <explain>注意检查当前固定表述标点是否使用规范。</explain>
      <paraID>66042A5A</paraID>
      <start>9</start>
      <end>13</end>
      <status>unmodified</status>
      <modifiedWord/>
      <trackRevisions>false</trackRevisions>
    </reviewItem>
    <reviewItem>
      <errorID>1039d407-70e9-46e3-839b-b588c3696b43</errorID>
      <errorWord>&lt;</errorWord>
      <group>L1_Format</group>
      <groupName>格式问题</groupName>
      <ability>L2_HalfPunc</ability>
      <abilityName>全半角检查</abilityName>
      <candidateList>
        <item>〈</item>
      </candidateList>
      <explain>文本全半角错误。</explain>
      <paraID>133979BC</paraID>
      <start>35</start>
      <end>36</end>
      <status>unmodified</status>
      <modifiedWord/>
      <trackRevisions>false</trackRevisions>
    </reviewItem>
    <reviewItem>
      <errorID>693c137f-47a2-4dff-84d0-8db9922d41aa</errorID>
      <errorWord>&gt;</errorWord>
      <group>L1_Format</group>
      <groupName>格式问题</groupName>
      <ability>L2_HalfPunc</ability>
      <abilityName>全半角检查</abilityName>
      <candidateList>
        <item>〉</item>
      </candidateList>
      <explain>文本全半角错误。</explain>
      <paraID>133979BC</paraID>
      <start>48</start>
      <end>49</end>
      <status>unmodified</status>
      <modifiedWord/>
      <trackRevisions>false</trackRevisions>
    </reviewItem>
    <reviewItem>
      <errorID>2b911661-fac6-4905-a5f0-564c6a059a84</errorID>
      <errorWord>[2025]</errorWord>
      <group>L1_Punc</group>
      <groupName>标点问题</groupName>
      <ability>L2_Punc</ability>
      <abilityName>标点符号检查</abilityName>
      <candidateList>
        <item>〔2025〕</item>
      </candidateList>
      <explain/>
      <paraID>744A7E64</paraID>
      <start>20</start>
      <end>26</end>
      <status>unmodified</status>
      <modifiedWord/>
      <trackRevisions>false</trackRevisions>
    </reviewItem>
    <reviewItem>
      <errorID>e6ba0a18-066c-4758-8bcf-fd2e2f1d94c7</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10DCB61F</paraID>
      <start>11</start>
      <end>14</end>
      <status>unmodified</status>
      <modifiedWord/>
      <trackRevisions>false</trackRevisions>
    </reviewItem>
    <reviewItem>
      <errorID>13488a75-356d-40e6-9cc6-abc13644f4e3</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6C2EAD7E</paraID>
      <start>0</start>
      <end>3</end>
      <status>unmodified</status>
      <modifiedWord/>
      <trackRevisions>false</trackRevisions>
    </reviewItem>
    <reviewItem>
      <errorID>d784d8f1-9c1a-47cd-9f4f-94e51a58c425</errorID>
      <errorWord>》（试行）</errorWord>
      <group>L1_Word</group>
      <groupName>字词问题</groupName>
      <ability>L2_Typo</ability>
      <abilityName>字词错误</abilityName>
      <candidateList>
        <item>（试行）》</item>
      </candidateList>
      <explain/>
      <paraID>1874062C</paraID>
      <start>27</start>
      <end>32</end>
      <status>unmodified</status>
      <modifiedWord/>
      <trackRevisions>false</trackRevisions>
    </reviewItem>
    <reviewItem>
      <errorID>75fd4349-0017-4a58-94ea-30599faa729f</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203FB730</paraID>
      <start>37</start>
      <end>40</end>
      <status>unmodified</status>
      <modifiedWord/>
      <trackRevisions>false</trackRevisions>
    </reviewItem>
    <reviewItem>
      <errorID>246b33fc-d2b8-4233-95ed-88df5811a01a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5C7DD82D</paraID>
      <start>0</start>
      <end>2</end>
      <status>unmodified</status>
      <modifiedWord/>
      <trackRevisions>false</trackRevisions>
    </reviewItem>
    <reviewItem>
      <errorID>1e9296e1-548d-49ee-99eb-cfb8b2d9a3f6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44A37630</paraID>
      <start>0</start>
      <end>2</end>
      <status>unmodified</status>
      <modifiedWord/>
      <trackRevisions>false</trackRevisions>
    </reviewItem>
    <reviewItem>
      <errorID>12f624b9-b74a-4d47-8edd-020ee9f43a25</errorID>
      <errorWord>珍惜</errorWord>
      <group>L1_Word</group>
      <groupName>字词问题</groupName>
      <ability>L2_Typo</ability>
      <abilityName>字词错误</abilityName>
      <candidateList>
        <item>珍稀</item>
      </candidateList>
      <explain>〈形〉珍贵而稀有：大熊猫、金丝猴、野牦牛是我国的～动物。</explain>
      <paraID> E5CD742</paraID>
      <start>216</start>
      <end>218</end>
      <status>modified</status>
      <modifiedWord>珍稀</modifiedWord>
      <trackRevisions>false</trackRevisions>
    </reviewItem>
    <reviewItem>
      <errorID>2ba8ef96-f3a4-4862-8724-2ff7373e26a5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2070C7E</paraID>
      <start>2</start>
      <end>4</end>
      <status>unmodified</status>
      <modifiedWord/>
      <trackRevisions>false</trackRevisions>
    </reviewItem>
    <reviewItem>
      <errorID>c3d3b3b0-71a8-4169-a032-69bc4472277d</errorID>
      <errorWord>三区三线</errorWord>
      <group>L1_Political</group>
      <groupName>政治性问题</groupName>
      <ability>L2_Keyword</ability>
      <abilityName>固定表述</abilityName>
      <candidateList>
        <item>“三区三线”</item>
      </candidateList>
      <explain>注意检查当前固定表述标点是否使用规范。</explain>
      <paraID>11FB1606</paraID>
      <start>51</start>
      <end>55</end>
      <status>unmodified</status>
      <modifiedWord/>
      <trackRevisions>false</trackRevisions>
    </reviewItem>
    <reviewItem>
      <errorID>0732891f-552c-4b96-8cab-b0899317ee2d</errorID>
      <errorWord>液态水融</errorWord>
      <group>L1_Word</group>
      <groupName>字词问题</groupName>
      <ability>L2_Typo</ability>
      <abilityName>字词错误</abilityName>
      <candidateList>
        <item>液态水溶</item>
      </candidateList>
      <explain/>
      <paraID>11FB1606</paraID>
      <start>63</start>
      <end>67</end>
      <status>modified</status>
      <modifiedWord>液态水溶</modifiedWord>
      <trackRevisions>false</trackRevisions>
    </reviewItem>
    <reviewItem>
      <errorID>478a2289-1186-465d-aed9-91509b7c8d0b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11FB1606</paraID>
      <start>131</start>
      <end>134</end>
      <status>unmodified</status>
      <modifiedWord/>
      <trackRevisions>false</trackRevisions>
    </reviewItem>
    <reviewItem>
      <errorID>d3c40171-b870-46c5-80d5-5ac070a18286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11FB1606</paraID>
      <start>151</start>
      <end>154</end>
      <status>unmodified</status>
      <modifiedWord/>
      <trackRevisions>false</trackRevisions>
    </reviewItem>
    <reviewItem>
      <errorID>bd4dd0c0-f8ec-4af3-9c5a-2b01b860e656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11FB1606</paraID>
      <start>166</start>
      <end>169</end>
      <status>unmodified</status>
      <modifiedWord/>
      <trackRevisions>false</trackRevisions>
    </reviewItem>
    <reviewItem>
      <errorID>a5c46381-1f94-41bf-82b2-8cacdb5b94d6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11FB1606</paraID>
      <start>200</start>
      <end>203</end>
      <status>unmodified</status>
      <modifiedWord/>
      <trackRevisions>false</trackRevisions>
    </reviewItem>
    <reviewItem>
      <errorID>c9ee191b-6fd9-4994-afea-dcbf1baf400e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11FB1606</paraID>
      <start>213</start>
      <end>216</end>
      <status>unmodified</status>
      <modifiedWord/>
      <trackRevisions>false</trackRevisions>
    </reviewItem>
    <reviewItem>
      <errorID>ef587d86-92d6-4c24-88f7-6222b2cac2d3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11FB1606</paraID>
      <start>239</start>
      <end>240</end>
      <status>unmodified</status>
      <modifiedWord/>
      <trackRevisions>false</trackRevisions>
    </reviewItem>
    <reviewItem>
      <errorID>e0b5be45-f535-4d7d-be66-b8f62949666a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11FB1606</paraID>
      <start>246</start>
      <end>249</end>
      <status>unmodified</status>
      <modifiedWord/>
      <trackRevisions>false</trackRevisions>
    </reviewItem>
    <reviewItem>
      <errorID>7eef9195-d02d-4c43-97f1-bb58903f1e3c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11FB1606</paraID>
      <start>272</start>
      <end>273</end>
      <status>unmodified</status>
      <modifiedWord/>
      <trackRevisions>false</trackRevisions>
    </reviewItem>
    <reviewItem>
      <errorID>ba0af5e7-b600-4d03-b132-d5c01316df6f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11FB1606</paraID>
      <start>279</start>
      <end>282</end>
      <status>unmodified</status>
      <modifiedWord/>
      <trackRevisions>false</trackRevisions>
    </reviewItem>
    <reviewItem>
      <errorID>b48c97e3-68ed-4750-ba09-f7d42a4c346b</errorID>
      <errorWord>况</errorWord>
      <group>L1_Word</group>
      <groupName>字词问题</groupName>
      <ability>L2_Typo</ability>
      <abilityName>字词错误</abilityName>
      <candidateList>
        <item>况与</item>
      </candidateList>
      <explain/>
      <paraID>11FB1606</paraID>
      <start>316</start>
      <end>317</end>
      <status>unmodified</status>
      <modifiedWord/>
      <trackRevisions>false</trackRevisions>
    </reviewItem>
    <reviewItem>
      <errorID>3d1001d5-253f-4f0b-8597-f2a652a5fab9</errorID>
      <errorWord>”</errorWord>
      <group>L1_Punc</group>
      <groupName>标点问题</groupName>
      <ability>L2_Punc</ability>
      <abilityName>标点符号检查</abilityName>
      <candidateList/>
      <explain/>
      <paraID>10D04300</paraID>
      <start>87</start>
      <end>88</end>
      <status>unmodified</status>
      <modifiedWord/>
      <trackRevisions>false</trackRevisions>
    </reviewItem>
    <reviewItem>
      <errorID>d78ee034-705f-4a7a-a916-652b1fc4ee1b</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10D04300</paraID>
      <start>119</start>
      <end>122</end>
      <status>unmodified</status>
      <modifiedWord/>
      <trackRevisions>false</trackRevisions>
    </reviewItem>
    <reviewItem>
      <errorID>3a739a5b-f39d-4bb6-a95d-8edde07989c8</errorID>
      <errorWord>三区三线</errorWord>
      <group>L1_Political</group>
      <groupName>政治性问题</groupName>
      <ability>L2_Keyword</ability>
      <abilityName>固定表述</abilityName>
      <candidateList>
        <item>“三区三线”</item>
      </candidateList>
      <explain>注意检查当前固定表述标点是否使用规范。</explain>
      <paraID>10D04300</paraID>
      <start>163</start>
      <end>167</end>
      <status>unmodified</status>
      <modifiedWord/>
      <trackRevisions>false</trackRevisions>
    </reviewItem>
    <reviewItem>
      <errorID>038b22d1-86d0-4b35-8e36-30106fed4d2d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7C5AA1C5</paraID>
      <start>0</start>
      <end>2</end>
      <status>unmodified</status>
      <modifiedWord/>
      <trackRevisions>false</trackRevisions>
    </reviewItem>
    <reviewItem>
      <errorID>11a57ed6-5b51-4635-bf87-c2b7f854ab5f</errorID>
      <errorWord>严格实行</errorWord>
      <group>L1_Word</group>
      <groupName>字词问题</groupName>
      <ability>L2_Typo</ability>
      <abilityName>字词错误</abilityName>
      <candidateList>
        <item>严格执行</item>
      </candidateList>
      <explain>存在发音相近字词的误用。</explain>
      <paraID>6D69C9B9</paraID>
      <start>210</start>
      <end>214</end>
      <status>unmodified</status>
      <modifiedWord/>
      <trackRevisions>false</trackRevisions>
    </reviewItem>
    <reviewItem>
      <errorID>13da5167-2e6e-4b86-bc1d-83e699af5a10</errorID>
      <errorWord>项</errorWord>
      <group>L1_Word</group>
      <groupName>字词问题</groupName>
      <ability>L2_Typo</ability>
      <abilityName>字词错误</abilityName>
      <candidateList>
        <item>项目</item>
      </candidateList>
      <explain>〈名〉事物分成的门类：服务～｜体育～｜建设～。</explain>
      <paraID>402B21ED</paraID>
      <start>15</start>
      <end>16</end>
      <status>unmodified</status>
      <modifiedWord/>
      <trackRevisions>false</trackRevisions>
    </reviewItem>
    <reviewItem>
      <errorID>abe0558e-19a8-43f2-ac57-72802933398a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222BD4C5</paraID>
      <start>0</start>
      <end>2</end>
      <status>unmodified</status>
      <modifiedWord/>
      <trackRevisions>false</trackRevisions>
    </reviewItem>
    <reviewItem>
      <errorID>fe03d83e-71f6-4db3-a70f-963e3f4fa8c3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1B9EC56</paraID>
      <start>0</start>
      <end>2</end>
      <status>unmodified</status>
      <modifiedWord/>
      <trackRevisions>false</trackRevisions>
    </reviewItem>
    <reviewItem>
      <errorID>ccb31c57-286c-456f-88e3-57c52a3fc5ff</errorID>
      <errorWord>巿</errorWord>
      <group>L1_Word</group>
      <groupName>字词问题</groupName>
      <ability>L2_Variant</ability>
      <abilityName>异形词</abilityName>
      <candidateList>
        <item>市</item>
      </candidateList>
      <explain>词汇[巿]的规范词形写作[市]。</explain>
      <paraID>18324C3F</paraID>
      <start>44</start>
      <end>45</end>
      <status>unmodified</status>
      <modifiedWord/>
      <trackRevisions>false</trackRevisions>
    </reviewItem>
    <reviewItem>
      <errorID>b938b6b8-4d8a-4856-9d92-1070e2dd9fef</errorID>
      <errorWord>(</errorWord>
      <group>L1_Format</group>
      <groupName>格式问题</groupName>
      <ability>L2_HalfPunc</ability>
      <abilityName>全半角检查</abilityName>
      <candidateList>
        <item>（</item>
      </candidateList>
      <explain>文本全半角错误。</explain>
      <paraID>18324C3F</paraID>
      <start>53</start>
      <end>54</end>
      <status>unmodified</status>
      <modifiedWord/>
      <trackRevisions>false</trackRevisions>
    </reviewItem>
    <reviewItem>
      <errorID>01b38b34-b62f-48cf-aeb9-999021387050</errorID>
      <errorWord>)</errorWord>
      <group>L1_Format</group>
      <groupName>格式问题</groupName>
      <ability>L2_HalfPunc</ability>
      <abilityName>全半角检查</abilityName>
      <candidateList>
        <item>）</item>
      </candidateList>
      <explain>文本全半角错误。</explain>
      <paraID>18324C3F</paraID>
      <start>68</start>
      <end>69</end>
      <status>unmodified</status>
      <modifiedWord/>
      <trackRevisions>false</trackRevisions>
    </reviewItem>
    <reviewItem>
      <errorID>ea4cd159-9a22-4ec0-8467-d500a7baf28a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18324C3F</paraID>
      <start>69</start>
      <end>72</end>
      <status>unmodified</status>
      <modifiedWord/>
      <trackRevisions>false</trackRevisions>
    </reviewItem>
    <reviewItem>
      <errorID>e79cff59-f3f2-4702-b5ae-905e2b86c225</errorID>
      <errorWord>(</errorWord>
      <group>L1_Format</group>
      <groupName>格式问题</groupName>
      <ability>L2_HalfPunc</ability>
      <abilityName>全半角检查</abilityName>
      <candidateList>
        <item>（</item>
      </candidateList>
      <explain>文本全半角错误。</explain>
      <paraID>18324C3F</paraID>
      <start>79</start>
      <end>80</end>
      <status>unmodified</status>
      <modifiedWord/>
      <trackRevisions>false</trackRevisions>
    </reviewItem>
    <reviewItem>
      <errorID>2f396334-58a6-4585-84cb-1b15e4601550</errorID>
      <errorWord>)</errorWord>
      <group>L1_Format</group>
      <groupName>格式问题</groupName>
      <ability>L2_HalfPunc</ability>
      <abilityName>全半角检查</abilityName>
      <candidateList>
        <item>）</item>
      </candidateList>
      <explain>文本全半角错误。</explain>
      <paraID>18324C3F</paraID>
      <start>90</start>
      <end>91</end>
      <status>unmodified</status>
      <modifiedWord/>
      <trackRevisions>false</trackRevisions>
    </reviewItem>
    <reviewItem>
      <errorID>d32fae82-9c3d-4f3e-81d9-aa469643305e</errorID>
      <errorWord>(</errorWord>
      <group>L1_Format</group>
      <groupName>格式问题</groupName>
      <ability>L2_HalfPunc</ability>
      <abilityName>全半角检查</abilityName>
      <candidateList>
        <item>（</item>
      </candidateList>
      <explain>文本全半角错误。</explain>
      <paraID>18324C3F</paraID>
      <start>94</start>
      <end>95</end>
      <status>unmodified</status>
      <modifiedWord/>
      <trackRevisions>false</trackRevisions>
    </reviewItem>
    <reviewItem>
      <errorID>17ec59d9-b853-404f-8cfa-08b724140b6c</errorID>
      <errorWord>)</errorWord>
      <group>L1_Format</group>
      <groupName>格式问题</groupName>
      <ability>L2_HalfPunc</ability>
      <abilityName>全半角检查</abilityName>
      <candidateList>
        <item>）</item>
      </candidateList>
      <explain>文本全半角错误。</explain>
      <paraID>18324C3F</paraID>
      <start>96</start>
      <end>97</end>
      <status>unmodified</status>
      <modifiedWord/>
      <trackRevisions>false</trackRevisions>
    </reviewItem>
    <reviewItem>
      <errorID>88a07d1c-2c63-4be3-856d-93abe9e17fcd</errorID>
      <errorWord>胜</errorWord>
      <group>L1_Word</group>
      <groupName>字词问题</groupName>
      <ability>L2_Typo</ability>
      <abilityName>字词错误</abilityName>
      <candidateList>
        <item>胜区</item>
      </candidateList>
      <explain/>
      <paraID> 8E4980C</paraID>
      <start>162</start>
      <end>163</end>
      <status>unmodified</status>
      <modifiedWord/>
      <trackRevisions>false</trackRevisions>
    </reviewItem>
    <reviewItem>
      <errorID>ee75f667-fb91-4fe7-b817-49eb3e4974bf</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13B5AE58</paraID>
      <start>50</start>
      <end>53</end>
      <status>unmodified</status>
      <modifiedWord/>
      <trackRevisions>false</trackRevisions>
    </reviewItem>
    <reviewItem>
      <errorID>d00cc5b9-3bfb-49c6-8cd9-5ace7d4701ae</errorID>
      <errorWord>明合禁止</errorWord>
      <group>L1_Word</group>
      <groupName>字词问题</groupName>
      <ability>L2_Typo</ability>
      <abilityName>字词错误</abilityName>
      <candidateList>
        <item>明令禁止</item>
      </candidateList>
      <explain>存在字形相近字词的误用。</explain>
      <paraID>46EE91ED</paraID>
      <start>22</start>
      <end>26</end>
      <status>modified</status>
      <modifiedWord>明令禁止</modifiedWord>
      <trackRevisions>false</trackRevisions>
    </reviewItem>
    <reviewItem>
      <errorID>afba2805-723d-4d11-bd5e-549818711bae</errorID>
      <errorWord>于</errorWord>
      <group>L1_Word</group>
      <groupName>字词问题</groupName>
      <ability>L2_Typo</ability>
      <abilityName>字词错误</abilityName>
      <candidateList>
        <item>于高</item>
      </candidateList>
      <explain/>
      <paraID>56C5B3B2</paraID>
      <start>86</start>
      <end>88</end>
      <status>modified</status>
      <modifiedWord>于高</modifiedWord>
      <trackRevisions>false</trackRevisions>
    </reviewItem>
    <reviewItem>
      <errorID>486c1146-41ac-4a52-81fd-87436aacaeca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304E423</paraID>
      <start>0</start>
      <end>2</end>
      <status>unmodified</status>
      <modifiedWord/>
      <trackRevisions>false</trackRevisions>
    </reviewItem>
    <reviewItem>
      <errorID>e8d504f0-411f-4856-91c1-fc7b00d303a1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2CEEE7F1</paraID>
      <start>25</start>
      <end>26</end>
      <status>unmodified</status>
      <modifiedWord/>
      <trackRevisions>false</trackRevisions>
    </reviewItem>
    <reviewItem>
      <errorID>365b24e9-9703-4794-a1ad-ba05d6fc6413</errorID>
      <errorWord>[2010]21号</errorWord>
      <group>L1_Knowledge</group>
      <groupName>知识性问题</groupName>
      <ability>L2_Knowledge</ability>
      <abilityName>其他知识</abilityName>
      <candidateList>
        <item>〔2010〕21号</item>
      </candidateList>
      <explain>发文字号格式错误。</explain>
      <paraID>2CEEE7F1</paraID>
      <start>62</start>
      <end>71</end>
      <status>unmodified</status>
      <modifiedWord/>
      <trackRevisions>false</trackRevisions>
    </reviewItem>
    <reviewItem>
      <errorID>3b8137f9-fb7c-49fd-9529-ce1abdf6dece</errorID>
      <errorWord>(</errorWord>
      <group>L1_Format</group>
      <groupName>格式问题</groupName>
      <ability>L2_HalfPunc</ability>
      <abilityName>全半角检查</abilityName>
      <candidateList>
        <item>（</item>
      </candidateList>
      <explain>文本全半角错误。</explain>
      <paraID>2CEEE7F1</paraID>
      <start>87</start>
      <end>88</end>
      <status>unmodified</status>
      <modifiedWord/>
      <trackRevisions>false</trackRevisions>
    </reviewItem>
    <reviewItem>
      <errorID>2325e291-5c70-4d09-bbdc-71c6d923ed75</errorID>
      <errorWord>)</errorWord>
      <group>L1_Format</group>
      <groupName>格式问题</groupName>
      <ability>L2_HalfPunc</ability>
      <abilityName>全半角检查</abilityName>
      <candidateList>
        <item>）</item>
      </candidateList>
      <explain>文本全半角错误。</explain>
      <paraID>2CEEE7F1</paraID>
      <start>92</start>
      <end>93</end>
      <status>unmodified</status>
      <modifiedWord/>
      <trackRevisions>false</trackRevisions>
    </reviewItem>
    <reviewItem>
      <errorID>e16adfc1-ac99-4187-8aae-7e918e69e9ad</errorID>
      <errorWord>(</errorWord>
      <group>L1_Format</group>
      <groupName>格式问题</groupName>
      <ability>L2_HalfPunc</ability>
      <abilityName>全半角检查</abilityName>
      <candidateList>
        <item>（</item>
      </candidateList>
      <explain>文本全半角错误。</explain>
      <paraID>2CEEE7F1</paraID>
      <start>133</start>
      <end>134</end>
      <status>unmodified</status>
      <modifiedWord/>
      <trackRevisions>false</trackRevisions>
    </reviewItem>
    <reviewItem>
      <errorID>04537bf4-07f6-4778-92b2-d0f5057c9baf</errorID>
      <errorWord>)</errorWord>
      <group>L1_Format</group>
      <groupName>格式问题</groupName>
      <ability>L2_HalfPunc</ability>
      <abilityName>全半角检查</abilityName>
      <candidateList>
        <item>）</item>
      </candidateList>
      <explain>文本全半角错误。</explain>
      <paraID>2CEEE7F1</paraID>
      <start>137</start>
      <end>138</end>
      <status>unmodified</status>
      <modifiedWord/>
      <trackRevisions>false</trackRevisions>
    </reviewItem>
    <reviewItem>
      <errorID>17712264-534b-40ac-a01b-403d379e51a6</errorID>
      <errorWord>II</errorWord>
      <group>L1_Knowledge</group>
      <groupName>知识性问题</groupName>
      <ability>L2_Knowledge</ability>
      <abilityName>其他知识</abilityName>
      <candidateList>
        <item>Ⅱ</item>
      </candidateList>
      <explain/>
      <paraID>2EAD1F91</paraID>
      <start>64</start>
      <end>66</end>
      <status>unmodified</status>
      <modifiedWord/>
      <trackRevisions>false</trackRevisions>
    </reviewItem>
    <reviewItem>
      <errorID>b7db012c-ab92-48d3-a2b9-88c27d5074ea</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3F4343EA</paraID>
      <start>128</start>
      <end>131</end>
      <status>unmodified</status>
      <modifiedWord/>
      <trackRevisions>false</trackRevisions>
    </reviewItem>
    <reviewItem>
      <errorID>e5387f00-6e3b-4cb4-8d3e-d4ebae9dec25</errorID>
      <errorWord>工程与</errorWord>
      <group>L1_Word</group>
      <groupName>字词问题</groupName>
      <ability>L2_Typo</ability>
      <abilityName>字词错误</abilityName>
      <candidateList>
        <item>工程</item>
      </candidateList>
      <explain/>
      <paraID>3F4343EA</paraID>
      <start>243</start>
      <end>246</end>
      <status>unmodified</status>
      <modifiedWord/>
      <trackRevisions>false</trackRevisions>
    </reviewItem>
    <reviewItem>
      <errorID>9185641a-e7ac-470c-8172-2165abaf45bb</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5604055C</paraID>
      <start>123</start>
      <end>126</end>
      <status>unmodified</status>
      <modifiedWord/>
      <trackRevisions>false</trackRevisions>
    </reviewItem>
    <reviewItem>
      <errorID>55cf54da-04c1-450b-b5b7-305dab0b7fad</errorID>
      <errorWord>乡</errorWord>
      <group>L1_Word</group>
      <groupName>字词问题</groupName>
      <ability>L2_Typo</ability>
      <abilityName>字词错误</abilityName>
      <candidateList>
        <item>乡等</item>
      </candidateList>
      <explain/>
      <paraID>5604055C</paraID>
      <start>187</start>
      <end>189</end>
      <status>modified</status>
      <modifiedWord>乡等</modifiedWord>
      <trackRevisions>false</trackRevisions>
    </reviewItem>
    <reviewItem>
      <errorID>59c9d0e8-498c-43f0-9897-968e11d4f691</errorID>
      <errorWord>强</errorWord>
      <group>L1_Word</group>
      <groupName>字词问题</groupName>
      <ability>L2_Typo</ability>
      <abilityName>字词错误</abilityName>
      <candidateList>
        <item>强对</item>
      </candidateList>
      <explain/>
      <paraID>5604055C</paraID>
      <start>298</start>
      <end>300</end>
      <status>modified</status>
      <modifiedWord>强对</modifiedWord>
      <trackRevisions>false</trackRevisions>
    </reviewItem>
    <reviewItem>
      <errorID>3bcbef76-9035-4ce1-a5b3-9cbf2e692fe6</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23B64AF2</paraID>
      <start>34</start>
      <end>37</end>
      <status>unmodified</status>
      <modifiedWord/>
      <trackRevisions>false</trackRevisions>
    </reviewItem>
    <reviewItem>
      <errorID>f29686dd-64ec-4e3c-a813-7e96446e1ea1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30ABA3B0</paraID>
      <start>97</start>
      <end>98</end>
      <status>unmodified</status>
      <modifiedWord/>
      <trackRevisions>false</trackRevisions>
    </reviewItem>
    <reviewItem>
      <errorID>45dc0db3-2bde-4182-90e0-b2b9469e01be</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7C2A8CB1</paraID>
      <start>44</start>
      <end>47</end>
      <status>unmodified</status>
      <modifiedWord/>
      <trackRevisions>false</trackRevisions>
    </reviewItem>
    <reviewItem>
      <errorID>289f23ea-d08c-454d-b27c-63f75e3f0f70</errorID>
      <errorWord>入</errorWord>
      <group>L1_Word</group>
      <groupName>字词问题</groupName>
      <ability>L2_Typo</ability>
      <abilityName>字词错误</abilityName>
      <candidateList>
        <item>入政</item>
      </candidateList>
      <explain/>
      <paraID>1C7C02AD</paraID>
      <start>16</start>
      <end>18</end>
      <status>modified</status>
      <modifiedWord>入政</modifiedWord>
      <trackRevisions>false</trackRevisions>
    </reviewItem>
    <reviewItem>
      <errorID>c29eafcf-b2ad-4446-80e1-f8aa1f033518</errorID>
      <errorWord>国家发改委</errorWord>
      <group>L1_Knowledge</group>
      <groupName>知识性问题</groupName>
      <ability>L2_Knowledge</ability>
      <abilityName>其他知识</abilityName>
      <candidateList>
        <item>国家发展改革委</item>
      </candidateList>
      <explain/>
      <paraID>43D2662B</paraID>
      <start>13</start>
      <end>18</end>
      <status>unmodified</status>
      <modifiedWord/>
      <trackRevisions>false</trackRevisions>
    </reviewItem>
    <reviewItem>
      <errorID>91e15d6f-d230-41d1-8966-3eee5391aa91</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43D2662B</paraID>
      <start>139</start>
      <end>142</end>
      <status>unmodified</status>
      <modifiedWord/>
      <trackRevisions>false</trackRevisions>
    </reviewItem>
    <reviewItem>
      <errorID>73eb3d54-19d5-4ea3-bdea-c462c7b14900</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  FB619C</paraID>
      <start>46</start>
      <end>49</end>
      <status>unmodified</status>
      <modifiedWord/>
      <trackRevisions>false</trackRevisions>
    </reviewItem>
    <reviewItem>
      <errorID>0a7077ba-b08c-4dd2-80a5-9135689bd453</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  FB619C</paraID>
      <start>112</start>
      <end>115</end>
      <status>unmodified</status>
      <modifiedWord/>
      <trackRevisions>false</trackRevisions>
    </reviewItem>
    <reviewItem>
      <errorID>6bd587a8-a10c-4d20-ab23-ead23b05dff2</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47FB848B</paraID>
      <start>87</start>
      <end>90</end>
      <status>unmodified</status>
      <modifiedWord/>
      <trackRevisions>false</trackRevisions>
    </reviewItem>
    <reviewItem>
      <errorID>3aa7dbb9-cf11-4276-aeac-0e67c349c78f</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47FB848B</paraID>
      <start>105</start>
      <end>108</end>
      <status>unmodified</status>
      <modifiedWord/>
      <trackRevisions>false</trackRevisions>
    </reviewItem>
    <reviewItem>
      <errorID>ce045c54-dca3-42fb-8702-900528319765</errorID>
      <errorWord>加强</errorWord>
      <group>L1_Word</group>
      <groupName>字词问题</groupName>
      <ability>L2_Typo</ability>
      <abilityName>字词错误</abilityName>
      <candidateList>
        <item>加大</item>
      </candidateList>
      <explain>“加强～力度”搭配不当，建议修改为“加大～力度”。</explain>
      <paraID>4D1A1102</paraID>
      <start>0</start>
      <end>2</end>
      <status>unmodified</status>
      <modifiedWord/>
      <trackRevisions>false</trackRevisions>
    </reviewItem>
    <reviewItem>
      <errorID>924df1e1-a733-4a1a-83d1-7afa2d5726ae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564CCE14</paraID>
      <start>0</start>
      <end>2</end>
      <status>unmodified</status>
      <modifiedWord/>
      <trackRevisions>false</trackRevisions>
    </reviewItem>
    <reviewItem>
      <errorID>e8f286be-9ff6-4411-88e9-df5e0e79b864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564CCE14</paraID>
      <start>27</start>
      <end>28</end>
      <status>unmodified</status>
      <modifiedWord/>
      <trackRevisions>false</trackRevisions>
    </reviewItem>
    <reviewItem>
      <errorID>f288d8ae-34ba-4943-9310-0d71977cfd5f</errorID>
      <errorWord>》</errorWord>
      <group>L1_Punc</group>
      <groupName>标点问题</groupName>
      <ability>L2_Punc</ability>
      <abilityName>标点符号检查</abilityName>
      <candidateList/>
      <explain/>
      <paraID>707111C2</paraID>
      <start>69</start>
      <end>70</end>
      <status>unmodified</status>
      <modifiedWord/>
      <trackRevisions>false</trackRevisions>
    </reviewItem>
    <reviewItem>
      <errorID>ad0c7acf-79ff-4d02-b256-f4fd925dc0fe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707111C2</paraID>
      <start>223</start>
      <end>224</end>
      <status>unmodified</status>
      <modifiedWord/>
      <trackRevisions>false</trackRevisions>
    </reviewItem>
    <reviewItem>
      <errorID>fc1fb16d-ef3a-4778-9df8-dc2a7c2ee207</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54AD1F8D</paraID>
      <start>38</start>
      <end>41</end>
      <status>unmodified</status>
      <modifiedWord/>
      <trackRevisions>false</trackRevisions>
    </reviewItem>
    <reviewItem>
      <errorID>4687e933-565e-4ea8-b067-ae09cf8cc416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60BFC722</paraID>
      <start>56</start>
      <end>59</end>
      <status>unmodified</status>
      <modifiedWord/>
      <trackRevisions>false</trackRevisions>
    </reviewItem>
    <reviewItem>
      <errorID>b71b60c5-7e37-456b-bcd2-eee2664dcffe</errorID>
      <errorWord>(</errorWord>
      <group>L1_Format</group>
      <groupName>格式问题</groupName>
      <ability>L2_HalfPunc</ability>
      <abilityName>全半角检查</abilityName>
      <candidateList>
        <item>（</item>
      </candidateList>
      <explain>文本全半角错误。</explain>
      <paraID>60BFC722</paraID>
      <start>391</start>
      <end>392</end>
      <status>unmodified</status>
      <modifiedWord/>
      <trackRevisions>false</trackRevisions>
    </reviewItem>
    <reviewItem>
      <errorID>7d4900a9-b9f8-471d-bdf5-8116b862d74d</errorID>
      <errorWord>[2019]</errorWord>
      <group>L1_Punc</group>
      <groupName>标点问题</groupName>
      <ability>L2_Punc</ability>
      <abilityName>标点符号检查</abilityName>
      <candidateList>
        <item>〔2019〕</item>
      </candidateList>
      <explain/>
      <paraID>60BFC722</paraID>
      <start>395</start>
      <end>401</end>
      <status>unmodified</status>
      <modifiedWord/>
      <trackRevisions>false</trackRevisions>
    </reviewItem>
    <reviewItem>
      <errorID>90e3bc8b-7e3a-42d8-9d4d-6b9a971b1a7d</errorID>
      <errorWord>)</errorWord>
      <group>L1_Format</group>
      <groupName>格式问题</groupName>
      <ability>L2_HalfPunc</ability>
      <abilityName>全半角检查</abilityName>
      <candidateList>
        <item>）</item>
      </candidateList>
      <explain>文本全半角错误。</explain>
      <paraID>60BFC722</paraID>
      <start>405</start>
      <end>406</end>
      <status>unmodified</status>
      <modifiedWord/>
      <trackRevisions>false</trackRevisions>
    </reviewItem>
    <reviewItem>
      <errorID>3aeb3380-53da-4b83-b9f9-4b22933ee544</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38AA8E37</paraID>
      <start>38</start>
      <end>41</end>
      <status>unmodified</status>
      <modifiedWord/>
      <trackRevisions>false</trackRevisions>
    </reviewItem>
    <reviewItem>
      <errorID>374f2368-d6cf-4996-b5b3-499cf1f1b109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7EDC2AB2</paraID>
      <start>0</start>
      <end>2</end>
      <status>unmodified</status>
      <modifiedWord/>
      <trackRevisions>false</trackRevisions>
    </reviewItem>
    <reviewItem>
      <errorID>51b2247b-59bc-4a6f-84fe-443f954678fa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7AF44E5A</paraID>
      <start>97</start>
      <end>98</end>
      <status>unmodified</status>
      <modifiedWord/>
      <trackRevisions>false</trackRevisions>
    </reviewItem>
    <reviewItem>
      <errorID>7d708b6b-bca0-44e4-bf38-03a1f5d0bdc1</errorID>
      <errorWord>消防</errorWord>
      <group>L1_Word</group>
      <groupName>字词问题</groupName>
      <ability>L2_Typo</ability>
      <abilityName>字词错误</abilityName>
      <candidateList>
        <item>消除</item>
      </candidateList>
      <explain/>
      <paraID>7035163F</paraID>
      <start>66</start>
      <end>68</end>
      <status>unmodified</status>
      <modifiedWord/>
      <trackRevisions>false</trackRevisions>
    </reviewItem>
    <reviewItem>
      <errorID>e8678667-a32d-47d0-810d-18b440e7e301</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35A0B4FA</paraID>
      <start>96</start>
      <end>99</end>
      <status>unmodified</status>
      <modifiedWord/>
      <trackRevisions>false</trackRevisions>
    </reviewItem>
    <reviewItem>
      <errorID>b5fdcbc4-4cb2-4afb-a4fb-eccbac05a6ec</errorID>
      <errorWord>实行</errorWord>
      <group>L1_Word</group>
      <groupName>字词问题</groupName>
      <ability>L2_Typo</ability>
      <abilityName>字词错误</abilityName>
      <candidateList>
        <item>执行</item>
      </candidateList>
      <explain/>
      <paraID>7D78DADC</paraID>
      <start>10</start>
      <end>12</end>
      <status>modified</status>
      <modifiedWord>执行</modifiedWord>
      <trackRevisions>false</trackRevisions>
    </reviewItem>
    <reviewItem>
      <errorID>c497ef03-4f29-4d30-a2d4-071b120b1f16</errorID>
      <errorWord>农业面污染</errorWord>
      <group>L1_Political</group>
      <groupName>政治性问题</groupName>
      <ability>L2_Keyword</ability>
      <abilityName>固定表述</abilityName>
      <candidateList>
        <item>农业面源污染</item>
      </candidateList>
      <explain>词汇“农业面源污染”在特定场景下为固定表述形式，请确认此处的“农业面污染”是否存在不当。</explain>
      <paraID>5407EC89</paraID>
      <start>8</start>
      <end>13</end>
      <status>unmodified</status>
      <modifiedWord/>
      <trackRevisions>false</trackRevisions>
    </reviewItem>
    <reviewItem>
      <errorID>6efd54a3-dae3-446d-8c52-a5e7416b1d9b</errorID>
      <errorWord>实行</errorWord>
      <group>L1_Word</group>
      <groupName>字词问题</groupName>
      <ability>L2_Typo</ability>
      <abilityName>字词错误</abilityName>
      <candidateList>
        <item>执行</item>
      </candidateList>
      <explain/>
      <paraID> EC99D5C</paraID>
      <start>10</start>
      <end>12</end>
      <status>unmodified</status>
      <modifiedWord/>
      <trackRevisions>false</trackRevisions>
    </reviewItem>
    <reviewItem>
      <errorID>07619ad9-488e-410a-9cd4-1efa312e8c2d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9F85E32</paraID>
      <start>0</start>
      <end>3</end>
      <status>unmodified</status>
      <modifiedWord/>
      <trackRevisions>false</trackRevisions>
    </reviewItem>
    <reviewItem>
      <errorID>0f1488c4-6469-46e4-b445-15204110a1a7</errorID>
      <errorWord>2012年09月28日</errorWord>
      <group>L1_Knowledge</group>
      <groupName>知识性问题</groupName>
      <ability>L2_Time</ability>
      <abilityName>日期时间</abilityName>
      <candidateList>
        <item>2012年9月28日</item>
      </candidateList>
      <explain>根据日常书写习惯，月份一般会省略前导零。</explain>
      <paraID>633A79E7</paraID>
      <start>42</start>
      <end>53</end>
      <status>unmodified</status>
      <modifiedWord/>
      <trackRevisions>false</trackRevisions>
    </reviewItem>
    <reviewItem>
      <errorID>5d706c2f-ca33-4536-8562-fcd13309644f</errorID>
      <errorWord>2012年12月01日</errorWord>
      <group>L1_Knowledge</group>
      <groupName>知识性问题</groupName>
      <ability>L2_Time</ability>
      <abilityName>日期时间</abilityName>
      <candidateList>
        <item>2012年12月1日</item>
      </candidateList>
      <explain>根据日常书写习惯，日期一般会省略前导零。</explain>
      <paraID>633A79E7</paraID>
      <start>58</start>
      <end>69</end>
      <status>unmodified</status>
      <modifiedWord/>
      <trackRevisions>false</trackRevisions>
    </reviewItem>
    <reviewItem>
      <errorID>ed57548e-ed00-4914-b92f-63a6468978ae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4CB11D72</paraID>
      <start>0</start>
      <end>3</end>
      <status>unmodified</status>
      <modifiedWord/>
      <trackRevisions>false</trackRevisions>
    </reviewItem>
    <reviewItem>
      <errorID>4fe7ea66-42c0-4357-9cfc-397b9d95a998</errorID>
      <errorWord>(</errorWord>
      <group>L1_Format</group>
      <groupName>格式问题</groupName>
      <ability>L2_HalfPunc</ability>
      <abilityName>全半角检查</abilityName>
      <candidateList>
        <item>（</item>
      </candidateList>
      <explain>文本全半角错误。</explain>
      <paraID>4CB11D72</paraID>
      <start>113</start>
      <end>114</end>
      <status>unmodified</status>
      <modifiedWord/>
      <trackRevisions>false</trackRevisions>
    </reviewItem>
    <reviewItem>
      <errorID>ce3027fa-5ae6-49ad-96d1-dd265f9e76b7</errorID>
      <errorWord>)</errorWord>
      <group>L1_Format</group>
      <groupName>格式问题</groupName>
      <ability>L2_HalfPunc</ability>
      <abilityName>全半角检查</abilityName>
      <candidateList>
        <item>）</item>
      </candidateList>
      <explain>文本全半角错误。</explain>
      <paraID>4CB11D72</paraID>
      <start>133</start>
      <end>134</end>
      <status>unmodified</status>
      <modifiedWord/>
      <trackRevisions>false</trackRevisions>
    </reviewItem>
    <reviewItem>
      <errorID>1e2be9c9-a427-4b6f-8efc-364468169f15</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20704B81</paraID>
      <start>0</start>
      <end>3</end>
      <status>unmodified</status>
      <modifiedWord/>
      <trackRevisions>false</trackRevisions>
    </reviewItem>
    <reviewItem>
      <errorID>c4bb3020-bfcf-4496-8f8b-96a21994905c</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5F7740F</paraID>
      <start>0</start>
      <end>3</end>
      <status>unmodified</status>
      <modifiedWord/>
      <trackRevisions>false</trackRevisions>
    </reviewItem>
    <reviewItem>
      <errorID>31723dd0-5de8-4571-94bc-9a556cde33b4</errorID>
      <errorWord>点</errorWord>
      <group>L1_Word</group>
      <groupName>字词问题</groupName>
      <ability>L2_Typo</ability>
      <abilityName>字词错误</abilityName>
      <candidateList>
        <item>点污</item>
      </candidateList>
      <explain/>
      <paraID> 5F7740F</paraID>
      <start>26</start>
      <end>27</end>
      <status>unmodified</status>
      <modifiedWord/>
      <trackRevisions>false</trackRevisions>
    </reviewItem>
    <reviewItem>
      <errorID>08590868-bcf3-4709-9b09-0f858eef3284</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3B94928B</paraID>
      <start>143</start>
      <end>146</end>
      <status>unmodified</status>
      <modifiedWord/>
      <trackRevisions>false</trackRevisions>
    </reviewItem>
    <reviewItem>
      <errorID>a617a8aa-4c41-479c-8745-5518a4f52ba6</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323A61CB</paraID>
      <start>55</start>
      <end>58</end>
      <status>unmodified</status>
      <modifiedWord/>
      <trackRevisions>false</trackRevisions>
    </reviewItem>
    <reviewItem>
      <errorID>847ce57a-f96c-4ea3-ab35-24cf3827b6d4</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3782EEDB</paraID>
      <start>44</start>
      <end>47</end>
      <status>unmodified</status>
      <modifiedWord/>
      <trackRevisions>false</trackRevisions>
    </reviewItem>
    <reviewItem>
      <errorID>1c89a79a-9968-49c1-980a-dbf2d26cfec5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29229554</paraID>
      <start>0</start>
      <end>3</end>
      <status>unmodified</status>
      <modifiedWord/>
      <trackRevisions>false</trackRevisions>
    </reviewItem>
    <reviewItem>
      <errorID>4ed3ec86-4706-45bf-807a-d99911da224e</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3A8310D9</paraID>
      <start>0</start>
      <end>3</end>
      <status>unmodified</status>
      <modifiedWord/>
      <trackRevisions>false</trackRevisions>
    </reviewItem>
    <reviewItem>
      <errorID>3ad4dd30-7fb0-4cfd-a491-e9735ce77b7f</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1F8F2DD0</paraID>
      <start>0</start>
      <end>3</end>
      <status>unmodified</status>
      <modifiedWord/>
      <trackRevisions>false</trackRevisions>
    </reviewItem>
    <reviewItem>
      <errorID>54330f2c-3f36-4a05-bcd6-5bdcaf2ed5a1</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76154AC3</paraID>
      <start>0</start>
      <end>3</end>
      <status>unmodified</status>
      <modifiedWord/>
      <trackRevisions>false</trackRevisions>
    </reviewItem>
    <reviewItem>
      <errorID>dc2f3882-8855-422f-aa6e-3e4faf80d02c</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47FBC502</paraID>
      <start>0</start>
      <end>3</end>
      <status>unmodified</status>
      <modifiedWord/>
      <trackRevisions>false</trackRevisions>
    </reviewItem>
    <reviewItem>
      <errorID>07f69969-d279-4d9d-ae06-d901189f14e6</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3C041FEA</paraID>
      <start>0</start>
      <end>3</end>
      <status>unmodified</status>
      <modifiedWord/>
      <trackRevisions>false</trackRevisions>
    </reviewItem>
    <reviewItem>
      <errorID>4174cc02-75c1-48cb-9571-620d7a0e6c2d</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1E244D84</paraID>
      <start>0</start>
      <end>3</end>
      <status>unmodified</status>
      <modifiedWord/>
      <trackRevisions>false</trackRevisions>
    </reviewItem>
    <reviewItem>
      <errorID>73002e8c-7b9b-4bcf-b072-a964c1d24c5a</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5ED9ABA8</paraID>
      <start>0</start>
      <end>3</end>
      <status>unmodified</status>
      <modifiedWord/>
      <trackRevisions>false</trackRevisions>
    </reviewItem>
    <reviewItem>
      <errorID>2ac9305a-00ce-4888-83d4-b31be07bc907</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90A7C29</paraID>
      <start>0</start>
      <end>3</end>
      <status>unmodified</status>
      <modifiedWord/>
      <trackRevisions>false</trackRevisions>
    </reviewItem>
    <reviewItem>
      <errorID>a49a82ef-8302-410c-b9ef-b1c9db0e789b</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24CEFF3C</paraID>
      <start>80</start>
      <end>83</end>
      <status>unmodified</status>
      <modifiedWord/>
      <trackRevisions>false</trackRevisions>
    </reviewItem>
    <reviewItem>
      <errorID>6751294d-c048-4550-a16d-bd5f1675938a</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4BD0E28C</paraID>
      <start>42</start>
      <end>45</end>
      <status>unmodified</status>
      <modifiedWord/>
      <trackRevisions>false</trackRevisions>
    </reviewItem>
    <reviewItem>
      <errorID>fa901114-d454-409c-8a6b-229754e68d96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7BEB7C9E</paraID>
      <start>0</start>
      <end>3</end>
      <status>unmodified</status>
      <modifiedWord/>
      <trackRevisions>false</trackRevisions>
    </reviewItem>
    <reviewItem>
      <errorID>1d1dbc16-21a2-4c68-ae90-4f0515c6a1a4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A2BFF2F</paraID>
      <start>0</start>
      <end>3</end>
      <status>unmodified</status>
      <modifiedWord/>
      <trackRevisions>false</trackRevisions>
    </reviewItem>
    <reviewItem>
      <errorID>11d38807-9427-4aba-85ef-63f12e7ea1d7</errorID>
      <errorWord>区域内</errorWord>
      <group>L1_Word</group>
      <groupName>字词问题</groupName>
      <ability>L2_Typo</ability>
      <abilityName>字词错误</abilityName>
      <candidateList>
        <item>区域</item>
      </candidateList>
      <explain/>
      <paraID>79E1E7E9</paraID>
      <start>51</start>
      <end>53</end>
      <status>modified</status>
      <modifiedWord>区域</modifiedWord>
      <trackRevisions>false</trackRevisions>
    </reviewItem>
    <reviewItem>
      <errorID>f8be407b-cc7a-4d5a-8bbb-28985991a91e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9925AE2</paraID>
      <start>0</start>
      <end>2</end>
      <status>unmodified</status>
      <modifiedWord/>
      <trackRevisions>false</trackRevisions>
    </reviewItem>
    <reviewItem>
      <errorID>59ca91aa-730e-4497-ba0b-ed8c830a4155</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7FA6BB9B</paraID>
      <start>56</start>
      <end>59</end>
      <status>unmodified</status>
      <modifiedWord/>
      <trackRevisions>false</trackRevisions>
    </reviewItem>
    <reviewItem>
      <errorID>22d0dced-2632-4770-8161-2453ffa8d91b</errorID>
      <errorWord>[2022]39号</errorWord>
      <group>L1_Knowledge</group>
      <groupName>知识性问题</groupName>
      <ability>L2_Knowledge</ability>
      <abilityName>其他知识</abilityName>
      <candidateList>
        <item>〔2022〕39号</item>
      </candidateList>
      <explain>发文字号格式错误。</explain>
      <paraID>669C72A7</paraID>
      <start>70</start>
      <end>79</end>
      <status>unmodified</status>
      <modifiedWord/>
      <trackRevisions>false</trackRevisions>
    </reviewItem>
    <reviewItem>
      <errorID>72435dc3-6232-4538-8362-99f14a41f6dc</errorID>
      <errorWord>[2024]22号</errorWord>
      <group>L1_Knowledge</group>
      <groupName>知识性问题</groupName>
      <ability>L2_Knowledge</ability>
      <abilityName>其他知识</abilityName>
      <candidateList>
        <item>〔2024〕22号</item>
      </candidateList>
      <explain>发文字号格式错误。</explain>
      <paraID>669C72A7</paraID>
      <start>325</start>
      <end>334</end>
      <status>unmodified</status>
      <modifiedWord/>
      <trackRevisions>false</trackRevisions>
    </reviewItem>
    <reviewItem>
      <errorID>cbdaf2cf-72de-492b-8733-1160255504e4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4312E35C</paraID>
      <start>15</start>
      <end>18</end>
      <status>unmodified</status>
      <modifiedWord/>
      <trackRevisions>false</trackRevisions>
    </reviewItem>
    <reviewItem>
      <errorID>2842c772-e80b-4ba5-b195-dabbf83b23a3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12BF8667</paraID>
      <start>0</start>
      <end>2</end>
      <status>unmodified</status>
      <modifiedWord/>
      <trackRevisions>false</trackRevisions>
    </reviewItem>
    <reviewItem>
      <errorID>63b6acfb-211c-4d99-8706-6af5d78dc792</errorID>
      <errorWord>万</errorWord>
      <group>L1_Word</group>
      <groupName>字词问题</groupName>
      <ability>L2_Typo</ability>
      <abilityName>字词错误</abilityName>
      <candidateList>
        <item>万元</item>
      </candidateList>
      <explain/>
      <paraID>5B8DBCBE</paraID>
      <start>8</start>
      <end>10</end>
      <status>modified</status>
      <modifiedWord>万元</modifiedWord>
      <trackRevisions>false</trackRevisions>
    </reviewItem>
    <reviewItem>
      <errorID>6bc0b648-6678-44c9-a160-639e344f5de1</errorID>
      <errorWord>:</errorWord>
      <group>L1_Format</group>
      <groupName>格式问题</groupName>
      <ability>L2_HalfPunc</ability>
      <abilityName>全半角检查</abilityName>
      <candidateList>
        <item>：</item>
      </candidateList>
      <explain>文本全半角错误。</explain>
      <paraID>1C1EDB2C</paraID>
      <start>2</start>
      <end>3</end>
      <status>unmodified</status>
      <modifiedWord/>
      <trackRevisions>false</trackRevisions>
    </reviewItem>
    <reviewItem>
      <errorID>bb332af3-962b-4df0-9e2a-d42ef7d030dc</errorID>
      <errorWord>在</errorWord>
      <group>L1_Word</group>
      <groupName>字词问题</groupName>
      <ability>L2_Typo</ability>
      <abilityName>字词错误</abilityName>
      <candidateList>
        <item>再</item>
      </candidateList>
      <explain>存在发音相同字词的误用。</explain>
      <paraID>70BFA483</paraID>
      <start>115</start>
      <end>116</end>
      <status>unmodified</status>
      <modifiedWord/>
      <trackRevisions>false</trackRevisions>
    </reviewItem>
    <reviewItem>
      <errorID>13a216ed-cd44-4e03-8b75-80bfec1be460</errorID>
      <errorWord>用地</errorWord>
      <group>L1_Word</group>
      <groupName>字词问题</groupName>
      <ability>L2_Typo</ability>
      <abilityName>字词错误</abilityName>
      <candidateList>
        <item>占地</item>
      </candidateList>
      <explain/>
      <paraID>3964DF8B</paraID>
      <start>11</start>
      <end>13</end>
      <status>modified</status>
      <modifiedWord>占地</modifiedWord>
      <trackRevisions>false</trackRevisions>
    </reviewItem>
    <reviewItem>
      <errorID>435cc402-a51b-4125-80c8-89aedad3100d</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12E86197</paraID>
      <start>119</start>
      <end>122</end>
      <status>unmodified</status>
      <modifiedWord/>
      <trackRevisions>false</trackRevisions>
    </reviewItem>
    <reviewItem>
      <errorID>fd7bbce4-845a-4813-939a-19467a5aca6f</errorID>
      <errorWord>(</errorWord>
      <group>L1_Format</group>
      <groupName>格式问题</groupName>
      <ability>L2_HalfPunc</ability>
      <abilityName>全半角检查</abilityName>
      <candidateList>
        <item>（</item>
      </candidateList>
      <explain>文本全半角错误。</explain>
      <paraID>3C82AB49</paraID>
      <start>12</start>
      <end>13</end>
      <status>unmodified</status>
      <modifiedWord/>
      <trackRevisions>false</trackRevisions>
    </reviewItem>
    <reviewItem>
      <errorID>35e4dbdb-a317-4035-b047-e7eea3ece0c5</errorID>
      <errorWord>)</errorWord>
      <group>L1_Format</group>
      <groupName>格式问题</groupName>
      <ability>L2_HalfPunc</ability>
      <abilityName>全半角检查</abilityName>
      <candidateList>
        <item>）</item>
      </candidateList>
      <explain>文本全半角错误。</explain>
      <paraID>3C82AB49</paraID>
      <start>19</start>
      <end>20</end>
      <status>unmodified</status>
      <modifiedWord/>
      <trackRevisions>false</trackRevisions>
    </reviewItem>
    <reviewItem>
      <errorID>8caa541c-ac96-4a91-b1c0-a53080fdf9b3</errorID>
      <errorWord>(</errorWord>
      <group>L1_Format</group>
      <groupName>格式问题</groupName>
      <ability>L2_HalfPunc</ability>
      <abilityName>全半角检查</abilityName>
      <candidateList>
        <item>（</item>
      </candidateList>
      <explain>文本全半角错误。</explain>
      <paraID>6D5EFA75</paraID>
      <start>60</start>
      <end>61</end>
      <status>unmodified</status>
      <modifiedWord/>
      <trackRevisions>false</trackRevisions>
    </reviewItem>
    <reviewItem>
      <errorID>5bcce96f-5fe1-4557-848b-717db837d3e7</errorID>
      <errorWord>)</errorWord>
      <group>L1_Format</group>
      <groupName>格式问题</groupName>
      <ability>L2_HalfPunc</ability>
      <abilityName>全半角检查</abilityName>
      <candidateList>
        <item>）</item>
      </candidateList>
      <explain>文本全半角错误。</explain>
      <paraID>6D5EFA75</paraID>
      <start>68</start>
      <end>69</end>
      <status>unmodified</status>
      <modifiedWord/>
      <trackRevisions>false</trackRevisions>
    </reviewItem>
    <reviewItem>
      <errorID>6724d6e9-ff50-40cb-8827-c35d7c97fff1</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6D5EFA75</paraID>
      <start>116</start>
      <end>119</end>
      <status>unmodified</status>
      <modifiedWord/>
      <trackRevisions>false</trackRevisions>
    </reviewItem>
    <reviewItem>
      <errorID>af5ec24a-976d-4443-b9fc-f30f234d66f1</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4FB683E9</paraID>
      <start>62</start>
      <end>65</end>
      <status>unmodified</status>
      <modifiedWord/>
      <trackRevisions>false</trackRevisions>
    </reviewItem>
    <reviewItem>
      <errorID>88971320-865b-4888-9219-d7a09866d864</errorID>
      <errorWord>-</errorWord>
      <group>L1_Format</group>
      <groupName>格式问题</groupName>
      <ability>L2_HalfPunc</ability>
      <abilityName>全半角检查</abilityName>
      <candidateList>
        <item>－</item>
      </candidateList>
      <explain>文本全半角错误。</explain>
      <paraID>4FB683E9</paraID>
      <start>89</start>
      <end>90</end>
      <status>unmodified</status>
      <modifiedWord/>
      <trackRevisions>false</trackRevisions>
    </reviewItem>
    <reviewItem>
      <errorID>22cbdda2-1278-453a-848d-26029f3afa75</errorID>
      <errorWord>，委</errorWord>
      <group>L1_Word</group>
      <groupName>字词问题</groupName>
      <ability>L2_Typo</ability>
      <abilityName>字词错误</abilityName>
      <candidateList>
        <item>，</item>
      </candidateList>
      <explain/>
      <paraID>1E2A80BB</paraID>
      <start>82</start>
      <end>84</end>
      <status>unmodified</status>
      <modifiedWord/>
      <trackRevisions>false</trackRevisions>
    </reviewItem>
    <reviewItem>
      <errorID>5cfc2f4a-6ae7-4439-9758-998c93321457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5F403790</paraID>
      <start>0</start>
      <end>2</end>
      <status>unmodified</status>
      <modifiedWord/>
      <trackRevisions>false</trackRevisions>
    </reviewItem>
    <reviewItem>
      <errorID>b496fcf6-4906-477f-9b0a-c0de39834b98</errorID>
      <errorWord>（</errorWord>
      <group>L1_Format</group>
      <groupName>格式问题</groupName>
      <ability>L2_HalfPunc</ability>
      <abilityName>全半角检查</abilityName>
      <candidateList>
        <item>(</item>
      </candidateList>
      <explain>文本全半角错误。</explain>
      <paraID> 58EBEC1</paraID>
      <start>0</start>
      <end>1</end>
      <status>unmodified</status>
      <modifiedWord/>
      <trackRevisions>false</trackRevisions>
    </reviewItem>
    <reviewItem>
      <errorID>e850c682-c5b3-4f0e-90d1-8080828459d9</errorID>
      <errorWord>）</errorWord>
      <group>L1_Format</group>
      <groupName>格式问题</groupName>
      <ability>L2_HalfPunc</ability>
      <abilityName>全半角检查</abilityName>
      <candidateList>
        <item>)</item>
      </candidateList>
      <explain>文本全半角错误。</explain>
      <paraID> 58EBEC1</paraID>
      <start>4</start>
      <end>5</end>
      <status>unmodified</status>
      <modifiedWord/>
      <trackRevisions>false</trackRevisions>
    </reviewItem>
    <reviewItem>
      <errorID>9560bd24-3978-4b0b-b876-a3337bf7cc42</errorID>
      <errorWord>(</errorWord>
      <group>L1_Format</group>
      <groupName>格式问题</groupName>
      <ability>L2_HalfPunc</ability>
      <abilityName>全半角检查</abilityName>
      <candidateList>
        <item>（</item>
      </candidateList>
      <explain>文本全半角错误。</explain>
      <paraID>  412745</paraID>
      <start>12</start>
      <end>13</end>
      <status>unmodified</status>
      <modifiedWord/>
      <trackRevisions>false</trackRevisions>
    </reviewItem>
    <reviewItem>
      <errorID>5f2c9203-bfef-4971-aab6-cadcecd6456f</errorID>
      <errorWord>)</errorWord>
      <group>L1_Format</group>
      <groupName>格式问题</groupName>
      <ability>L2_HalfPunc</ability>
      <abilityName>全半角检查</abilityName>
      <candidateList>
        <item>）</item>
      </candidateList>
      <explain>文本全半角错误。</explain>
      <paraID>  412745</paraID>
      <start>24</start>
      <end>25</end>
      <status>unmodified</status>
      <modifiedWord/>
      <trackRevisions>false</trackRevisions>
    </reviewItem>
    <reviewItem>
      <errorID>8ea839ee-869e-4dcd-9f86-7d61ce99374b</errorID>
      <errorWord>(</errorWord>
      <group>L1_Format</group>
      <groupName>格式问题</groupName>
      <ability>L2_HalfPunc</ability>
      <abilityName>全半角检查</abilityName>
      <candidateList>
        <item>（</item>
      </candidateList>
      <explain>文本全半角错误。</explain>
      <paraID>7178855D</paraID>
      <start>12</start>
      <end>13</end>
      <status>unmodified</status>
      <modifiedWord/>
      <trackRevisions>false</trackRevisions>
    </reviewItem>
    <reviewItem>
      <errorID>2f26c2bc-f7fb-45da-be2c-22173a775114</errorID>
      <errorWord>)</errorWord>
      <group>L1_Format</group>
      <groupName>格式问题</groupName>
      <ability>L2_HalfPunc</ability>
      <abilityName>全半角检查</abilityName>
      <candidateList>
        <item>）</item>
      </candidateList>
      <explain>文本全半角错误。</explain>
      <paraID>7178855D</paraID>
      <start>24</start>
      <end>25</end>
      <status>unmodified</status>
      <modifiedWord/>
      <trackRevisions>false</trackRevisions>
    </reviewItem>
    <reviewItem>
      <errorID>3a2a0e7e-f513-4f6f-8c58-ffdffd407b2d</errorID>
      <errorWord>,</errorWord>
      <group>L1_Format</group>
      <groupName>格式问题</groupName>
      <ability>L2_HalfPunc</ability>
      <abilityName>全半角检查</abilityName>
      <candidateList>
        <item>，</item>
      </candidateList>
      <explain>文本全半角错误。</explain>
      <paraID>7BB54CE3</paraID>
      <start>24</start>
      <end>25</end>
      <status>unmodified</status>
      <modifiedWord/>
      <trackRevisions>false</trackRevisions>
    </reviewItem>
    <reviewItem>
      <errorID>fbeaae10-61a9-4c89-9906-b246f81431dc</errorID>
      <errorWord>,</errorWord>
      <group>L1_Format</group>
      <groupName>格式问题</groupName>
      <ability>L2_HalfPunc</ability>
      <abilityName>全半角检查</abilityName>
      <candidateList>
        <item>，</item>
      </candidateList>
      <explain>文本全半角错误。</explain>
      <paraID>3D9AE93B</paraID>
      <start>23</start>
      <end>24</end>
      <status>unmodified</status>
      <modifiedWord/>
      <trackRevisions>false</trackRevisions>
    </reviewItem>
    <reviewItem>
      <errorID>87f3b778-8b72-40ff-aa92-9fe28f6db840</errorID>
      <errorWord>,</errorWord>
      <group>L1_Format</group>
      <groupName>格式问题</groupName>
      <ability>L2_HalfPunc</ability>
      <abilityName>全半角检查</abilityName>
      <candidateList>
        <item>，</item>
      </candidateList>
      <explain>文本全半角错误。</explain>
      <paraID>3D9AE93B</paraID>
      <start>27</start>
      <end>28</end>
      <status>unmodified</status>
      <modifiedWord/>
      <trackRevisions>false</trackRevisions>
    </reviewItem>
    <reviewItem>
      <errorID>ef565f01-625f-4caf-b9b1-3320b3283698</errorID>
      <errorWord>,</errorWord>
      <group>L1_Format</group>
      <groupName>格式问题</groupName>
      <ability>L2_HalfPunc</ability>
      <abilityName>全半角检查</abilityName>
      <candidateList>
        <item>，</item>
      </candidateList>
      <explain>文本全半角错误。</explain>
      <paraID>3D9AE93B</paraID>
      <start>44</start>
      <end>45</end>
      <status>unmodified</status>
      <modifiedWord/>
      <trackRevisions>false</trackRevisions>
    </reviewItem>
    <reviewItem>
      <errorID>3502dff8-1a2f-4db0-8948-2d0119e2fc7c</errorID>
      <errorWord>,</errorWord>
      <group>L1_Format</group>
      <groupName>格式问题</groupName>
      <ability>L2_HalfPunc</ability>
      <abilityName>全半角检查</abilityName>
      <candidateList>
        <item>，</item>
      </candidateList>
      <explain>文本全半角错误。</explain>
      <paraID>3D9AE93B</paraID>
      <start>58</start>
      <end>59</end>
      <status>unmodified</status>
      <modifiedWord/>
      <trackRevisions>false</trackRevisions>
    </reviewItem>
    <reviewItem>
      <errorID>17262c46-497c-4f0b-82e5-7575f25b2b17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575114AE</paraID>
      <start>0</start>
      <end>2</end>
      <status>unmodified</status>
      <modifiedWord/>
      <trackRevisions>false</trackRevisions>
    </reviewItem>
    <reviewItem>
      <errorID>e2d89fa2-ca88-4d4b-bc22-0b76e52dfbee</errorID>
      <errorWord>（</errorWord>
      <group>L1_Format</group>
      <groupName>格式问题</groupName>
      <ability>L2_HalfPunc</ability>
      <abilityName>全半角检查</abilityName>
      <candidateList>
        <item>(</item>
      </candidateList>
      <explain>文本全半角错误。</explain>
      <paraID>257364D8</paraID>
      <start>3</start>
      <end>4</end>
      <status>unmodified</status>
      <modifiedWord/>
      <trackRevisions>false</trackRevisions>
    </reviewItem>
    <reviewItem>
      <errorID>f9d8fdb8-f823-435f-8c39-97c2f26f8e1d</errorID>
      <errorWord>）</errorWord>
      <group>L1_Format</group>
      <groupName>格式问题</groupName>
      <ability>L2_HalfPunc</ability>
      <abilityName>全半角检查</abilityName>
      <candidateList>
        <item>)</item>
      </candidateList>
      <explain>文本全半角错误。</explain>
      <paraID>257364D8</paraID>
      <start>5</start>
      <end>6</end>
      <status>unmodified</status>
      <modifiedWord/>
      <trackRevisions>false</trackRevisions>
    </reviewItem>
    <reviewItem>
      <errorID>2a41775d-e39f-4769-8dc1-3b6e1f090d8f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7EBF5609</paraID>
      <start>0</start>
      <end>2</end>
      <status>unmodified</status>
      <modifiedWord/>
      <trackRevisions>false</trackRevisions>
    </reviewItem>
    <reviewItem>
      <errorID>28e9ac26-f8c9-4389-a7af-c846cf3844d5</errorID>
      <errorWord>粘稠</errorWord>
      <group>L1_Word</group>
      <groupName>字词问题</groupName>
      <ability>L2_Typo</ability>
      <abilityName>字词错误</abilityName>
      <candidateList>
        <item>黏稠</item>
      </candidateList>
      <explain>存在发音相同字词的误用。</explain>
      <paraID>3F1C0275</paraID>
      <start>58</start>
      <end>60</end>
      <status>modified</status>
      <modifiedWord>黏稠</modifiedWord>
      <trackRevisions>false</trackRevisions>
    </reviewItem>
    <reviewItem>
      <errorID>91f75280-0187-4faf-b399-1340c6afb678</errorID>
      <errorWord>(</errorWord>
      <group>L1_Format</group>
      <groupName>格式问题</groupName>
      <ability>L2_HalfPunc</ability>
      <abilityName>全半角检查</abilityName>
      <candidateList>
        <item>（</item>
      </candidateList>
      <explain>文本全半角错误。</explain>
      <paraID>3050193E</paraID>
      <start>5</start>
      <end>6</end>
      <status>unmodified</status>
      <modifiedWord/>
      <trackRevisions>false</trackRevisions>
    </reviewItem>
    <reviewItem>
      <errorID>eac26efa-bea2-47e6-8489-b34f63be88e0</errorID>
      <errorWord>)</errorWord>
      <group>L1_Format</group>
      <groupName>格式问题</groupName>
      <ability>L2_HalfPunc</ability>
      <abilityName>全半角检查</abilityName>
      <candidateList>
        <item>）</item>
      </candidateList>
      <explain>文本全半角错误。</explain>
      <paraID>3050193E</paraID>
      <start>9</start>
      <end>10</end>
      <status>unmodified</status>
      <modifiedWord/>
      <trackRevisions>false</trackRevisions>
    </reviewItem>
    <reviewItem>
      <errorID>3e60ad38-b3b0-4ee6-a164-0e179c321795</errorID>
      <errorWord>(</errorWord>
      <group>L1_Format</group>
      <groupName>格式问题</groupName>
      <ability>L2_HalfPunc</ability>
      <abilityName>全半角检查</abilityName>
      <candidateList>
        <item>（</item>
      </candidateList>
      <explain>文本全半角错误。</explain>
      <paraID>3050193E</paraID>
      <start>33</start>
      <end>34</end>
      <status>unmodified</status>
      <modifiedWord/>
      <trackRevisions>false</trackRevisions>
    </reviewItem>
    <reviewItem>
      <errorID>106f238c-1105-484e-ba33-2e71acf044f3</errorID>
      <errorWord>)</errorWord>
      <group>L1_Format</group>
      <groupName>格式问题</groupName>
      <ability>L2_HalfPunc</ability>
      <abilityName>全半角检查</abilityName>
      <candidateList>
        <item>）</item>
      </candidateList>
      <explain>文本全半角错误。</explain>
      <paraID>3050193E</paraID>
      <start>40</start>
      <end>41</end>
      <status>unmodified</status>
      <modifiedWord/>
      <trackRevisions>false</trackRevisions>
    </reviewItem>
    <reviewItem>
      <errorID>4ead70cd-c4df-437d-90a0-926aa06d5c0f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464168E9</paraID>
      <start>157</start>
      <end>158</end>
      <status>unmodified</status>
      <modifiedWord/>
      <trackRevisions>false</trackRevisions>
    </reviewItem>
    <reviewItem>
      <errorID>c953daaa-e9fb-489e-8af9-c7c5bc967ecf</errorID>
      <errorWord>粘度</errorWord>
      <group>L1_Word</group>
      <groupName>字词问题</groupName>
      <ability>L2_Alias</ability>
      <abilityName>也作/曾用词</abilityName>
      <candidateList>
        <item>黏度</item>
      </candidateList>
      <explain>词汇[粘度]为不规范表述或旧称，其规范书面表述为[黏度]。</explain>
      <paraID>464168E9</paraID>
      <start>160</start>
      <end>162</end>
      <status>modified</status>
      <modifiedWord>黏度</modifiedWord>
      <trackRevisions>false</trackRevisions>
    </reviewItem>
    <reviewItem>
      <errorID>ed5a1eb8-3eb2-4624-ad89-b08200adb1ea</errorID>
      <errorWord>粘度</errorWord>
      <group>L1_Word</group>
      <groupName>字词问题</groupName>
      <ability>L2_Alias</ability>
      <abilityName>也作/曾用词</abilityName>
      <candidateList>
        <item>黏度</item>
      </candidateList>
      <explain>词汇[粘度]为不规范表述或旧称，其规范书面表述为[黏度]。</explain>
      <paraID>464168E9</paraID>
      <start>188</start>
      <end>190</end>
      <status>modified</status>
      <modifiedWord>黏度</modifiedWord>
      <trackRevisions>false</trackRevisions>
    </reviewItem>
    <reviewItem>
      <errorID>a1cb77eb-f568-4296-bf3f-0ff8aa599de3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47FA7C6</paraID>
      <start>0</start>
      <end>2</end>
      <status>unmodified</status>
      <modifiedWord/>
      <trackRevisions>false</trackRevisions>
    </reviewItem>
    <reviewItem>
      <errorID>0e6d457a-3c48-426b-9119-38e9f13d3b01</errorID>
      <errorWord>住宿的</errorWord>
      <group>L1_Word</group>
      <groupName>字词问题</groupName>
      <ability>L2_Typo</ability>
      <abilityName>字词错误</abilityName>
      <candidateList>
        <item>住宿</item>
      </candidateList>
      <explain/>
      <paraID>212D81C0</paraID>
      <start>82</start>
      <end>84</end>
      <status>modified</status>
      <modifiedWord>住宿</modifiedWord>
      <trackRevisions>false</trackRevisions>
    </reviewItem>
    <reviewItem>
      <errorID>2e42bb60-55be-4504-93e8-778281076294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4C5172D8</paraID>
      <start>0</start>
      <end>2</end>
      <status>unmodified</status>
      <modifiedWord/>
      <trackRevisions>false</trackRevisions>
    </reviewItem>
    <reviewItem>
      <errorID>7d3d83a9-4e77-4ca9-aea5-d81fedacda71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3B89B679</paraID>
      <start>0</start>
      <end>2</end>
      <status>unmodified</status>
      <modifiedWord/>
      <trackRevisions>false</trackRevisions>
    </reviewItem>
    <reviewItem>
      <errorID>d24b895c-3e5e-4ac6-8d63-c589dce0c3f6</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6B594E10</paraID>
      <start>47</start>
      <end>50</end>
      <status>unmodified</status>
      <modifiedWord/>
      <trackRevisions>false</trackRevisions>
    </reviewItem>
    <reviewItem>
      <errorID>bba5cb49-663a-4abf-b37c-31e666f5487b</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 C5F4B87</paraID>
      <start>48</start>
      <end>51</end>
      <status>unmodified</status>
      <modifiedWord/>
      <trackRevisions>false</trackRevisions>
    </reviewItem>
    <reviewItem>
      <errorID>80de9d0a-abfe-4245-8d43-0ec221087186</errorID>
      <errorWord>,</errorWord>
      <group>L1_Format</group>
      <groupName>格式问题</groupName>
      <ability>L2_HalfPunc</ability>
      <abilityName>全半角检查</abilityName>
      <candidateList>
        <item>，</item>
      </candidateList>
      <explain>文本全半角错误。</explain>
      <paraID>74A63B7E</paraID>
      <start>32</start>
      <end>33</end>
      <status>unmodified</status>
      <modifiedWord/>
      <trackRevisions>false</trackRevisions>
    </reviewItem>
    <reviewItem>
      <errorID>3be77e4e-c7bd-4c84-91e0-bdae9f4d0103</errorID>
      <errorWord>气化</errorWord>
      <group>L1_Word</group>
      <groupName>字词问题</groupName>
      <ability>L2_Typo</ability>
      <abilityName>字词错误</abilityName>
      <candidateList>
        <item>汽化</item>
      </candidateList>
      <explain>存在发音相同字词的误用。</explain>
      <paraID>200A623B</paraID>
      <start>58</start>
      <end>60</end>
      <status>modified</status>
      <modifiedWord>汽化</modifiedWord>
      <trackRevisions>false</trackRevisions>
    </reviewItem>
    <reviewItem>
      <errorID>5cb70429-797c-42f7-b96a-c4fce2c26da4</errorID>
      <errorWord>气化</errorWord>
      <group>L1_Word</group>
      <groupName>字词问题</groupName>
      <ability>L2_Typo</ability>
      <abilityName>字词错误</abilityName>
      <candidateList>
        <item>汽化</item>
      </candidateList>
      <explain>存在发音相同字词的误用。</explain>
      <paraID>790D243F</paraID>
      <start>174</start>
      <end>176</end>
      <status>modified</status>
      <modifiedWord>汽化</modifiedWord>
      <trackRevisions>false</trackRevisions>
    </reviewItem>
    <reviewItem>
      <errorID>b5e0dad8-3fad-42a3-9234-4d557c87fc0f</errorID>
      <errorWord>中</errorWord>
      <group>L1_Word</group>
      <groupName>字词问题</groupName>
      <ability>L2_Typo</ability>
      <abilityName>字词错误</abilityName>
      <candidateList>
        <item>中在</item>
      </candidateList>
      <explain/>
      <paraID>2B88B470</paraID>
      <start>23</start>
      <end>25</end>
      <status>modified</status>
      <modifiedWord>中在</modifiedWord>
      <trackRevisions>false</trackRevisions>
    </reviewItem>
    <reviewItem>
      <errorID>7fcb7f53-0947-4ff3-8475-91a7a8b6fcde</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28E45256</paraID>
      <start>34</start>
      <end>37</end>
      <status>unmodified</status>
      <modifiedWord/>
      <trackRevisions>false</trackRevisions>
    </reviewItem>
    <reviewItem>
      <errorID>3151881e-dfd9-4ad1-a812-87394ac46e72</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28E45256</paraID>
      <start>44</start>
      <end>47</end>
      <status>unmodified</status>
      <modifiedWord/>
      <trackRevisions>false</trackRevisions>
    </reviewItem>
    <reviewItem>
      <errorID>bf6e8643-acba-445b-a999-d9b182cd0bfc</errorID>
      <errorWord>，故</errorWord>
      <group>L1_Word</group>
      <groupName>字词问题</groupName>
      <ability>L2_Typo</ability>
      <abilityName>字词错误</abilityName>
      <candidateList>
        <item>，</item>
      </candidateList>
      <explain/>
      <paraID>2032F6B5</paraID>
      <start>201</start>
      <end>203</end>
      <status>unmodified</status>
      <modifiedWord/>
      <trackRevisions>false</trackRevisions>
    </reviewItem>
    <reviewItem>
      <errorID>9a6e508b-e8b1-446f-89bc-bea26645e53e</errorID>
      <errorWord>计</errorWord>
      <group>L1_Word</group>
      <groupName>字词问题</groupName>
      <ability>L2_Typo</ability>
      <abilityName>字词错误</abilityName>
      <candidateList>
        <item>计算</item>
      </candidateList>
      <explain/>
      <paraID> E85EBEA</paraID>
      <start>24</start>
      <end>25</end>
      <status>unmodified</status>
      <modifiedWord/>
      <trackRevisions>false</trackRevisions>
    </reviewItem>
    <reviewItem>
      <errorID>b2a2f4ea-7760-4aa4-968c-9bbc8e9613a1</errorID>
      <errorWord>（</errorWord>
      <group>L1_Format</group>
      <groupName>格式问题</groupName>
      <ability>L2_HalfPunc</ability>
      <abilityName>全半角检查</abilityName>
      <candidateList>
        <item>(</item>
      </candidateList>
      <explain>文本全半角错误。</explain>
      <paraID>3EFC01DC</paraID>
      <start>0</start>
      <end>1</end>
      <status>unmodified</status>
      <modifiedWord/>
      <trackRevisions>false</trackRevisions>
    </reviewItem>
    <reviewItem>
      <errorID>959b5efd-ac3f-45b9-8e65-d0039abee984</errorID>
      <errorWord>）</errorWord>
      <group>L1_Format</group>
      <groupName>格式问题</groupName>
      <ability>L2_HalfPunc</ability>
      <abilityName>全半角检查</abilityName>
      <candidateList>
        <item>)</item>
      </candidateList>
      <explain>文本全半角错误。</explain>
      <paraID>3EFC01DC</paraID>
      <start>6</start>
      <end>7</end>
      <status>unmodified</status>
      <modifiedWord/>
      <trackRevisions>false</trackRevisions>
    </reviewItem>
    <reviewItem>
      <errorID>05cd504e-51b2-467d-b240-ac320a5f8d5b</errorID>
      <errorWord>（</errorWord>
      <group>L1_Format</group>
      <groupName>格式问题</groupName>
      <ability>L2_HalfPunc</ability>
      <abilityName>全半角检查</abilityName>
      <candidateList>
        <item>(</item>
      </candidateList>
      <explain>文本全半角错误。</explain>
      <paraID>7AE99D73</paraID>
      <start>0</start>
      <end>1</end>
      <status>unmodified</status>
      <modifiedWord/>
      <trackRevisions>false</trackRevisions>
    </reviewItem>
    <reviewItem>
      <errorID>9e261fb9-6ab6-4372-9e3a-15b30d7f4f5b</errorID>
      <errorWord>）</errorWord>
      <group>L1_Format</group>
      <groupName>格式问题</groupName>
      <ability>L2_HalfPunc</ability>
      <abilityName>全半角检查</abilityName>
      <candidateList>
        <item>)</item>
      </candidateList>
      <explain>文本全半角错误。</explain>
      <paraID>7AE99D73</paraID>
      <start>6</start>
      <end>7</end>
      <status>unmodified</status>
      <modifiedWord/>
      <trackRevisions>false</trackRevisions>
    </reviewItem>
    <reviewItem>
      <errorID>4f448032-f6c3-4d24-9563-bda09317a01b</errorID>
      <errorWord>下图</errorWord>
      <group>L1_Word</group>
      <groupName>字词问题</groupName>
      <ability>L2_Typo</ability>
      <abilityName>字词错误</abilityName>
      <candidateList>
        <item>图</item>
      </candidateList>
      <explain/>
      <paraID> 9F091FA</paraID>
      <start>12</start>
      <end>14</end>
      <status>unmodified</status>
      <modifiedWord/>
      <trackRevisions>false</trackRevisions>
    </reviewItem>
    <reviewItem>
      <errorID>82bb111d-5de4-42e8-b5ac-40e06fc55600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534463C2</paraID>
      <start>0</start>
      <end>2</end>
      <status>unmodified</status>
      <modifiedWord/>
      <trackRevisions>false</trackRevisions>
    </reviewItem>
    <reviewItem>
      <errorID>a6fe1f86-94ea-4feb-995b-807df20b7287</errorID>
      <errorWord>（</errorWord>
      <group>L1_Punc</group>
      <groupName>标点问题</groupName>
      <ability>L2_Punc</ability>
      <abilityName>标点符号检查</abilityName>
      <candidateList/>
      <explain/>
      <paraID>500D0F74</paraID>
      <start>18</start>
      <end>19</end>
      <status>unmodified</status>
      <modifiedWord/>
      <trackRevisions>false</trackRevisions>
    </reviewItem>
    <reviewItem>
      <errorID>99bdeeb9-9120-47c5-8d73-5af84e26f9cb</errorID>
      <errorWord>(</errorWord>
      <group>L1_Format</group>
      <groupName>格式问题</groupName>
      <ability>L2_HalfPunc</ability>
      <abilityName>全半角检查</abilityName>
      <candidateList>
        <item>（</item>
      </candidateList>
      <explain>文本全半角错误。</explain>
      <paraID>500D0F74</paraID>
      <start>19</start>
      <end>20</end>
      <status>unmodified</status>
      <modifiedWord/>
      <trackRevisions>false</trackRevisions>
    </reviewItem>
    <reviewItem>
      <errorID>028d97ae-c7f4-4449-a889-5af3fcff8be4</errorID>
      <errorWord>(</errorWord>
      <group>L1_Format</group>
      <groupName>格式问题</groupName>
      <ability>L2_HalfPunc</ability>
      <abilityName>全半角检查</abilityName>
      <candidateList>
        <item>（</item>
      </candidateList>
      <explain>文本全半角错误。</explain>
      <paraID>500D0F74</paraID>
      <start>58</start>
      <end>59</end>
      <status>unmodified</status>
      <modifiedWord/>
      <trackRevisions>false</trackRevisions>
    </reviewItem>
    <reviewItem>
      <errorID>d29c5690-3da9-4c15-9a75-4df81457ff01</errorID>
      <errorWord>)</errorWord>
      <group>L1_Format</group>
      <groupName>格式问题</groupName>
      <ability>L2_HalfPunc</ability>
      <abilityName>全半角检查</abilityName>
      <candidateList>
        <item>）</item>
      </candidateList>
      <explain>文本全半角错误。</explain>
      <paraID>500D0F74</paraID>
      <start>64</start>
      <end>65</end>
      <status>unmodified</status>
      <modifiedWord/>
      <trackRevisions>false</trackRevisions>
    </reviewItem>
    <reviewItem>
      <errorID>c6879965-6c83-4dba-8a3e-4187ff420b6d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6DAC2B25</paraID>
      <start>0</start>
      <end>2</end>
      <status>unmodified</status>
      <modifiedWord/>
      <trackRevisions>false</trackRevisions>
    </reviewItem>
    <reviewItem>
      <errorID>7c33636e-60dc-48f4-9d08-7c1776f233e5</errorID>
      <errorWord>指场</errorWord>
      <group>L1_Word</group>
      <groupName>字词问题</groupName>
      <ability>L2_Typo</ability>
      <abilityName>字词错误</abilityName>
      <candidateList>
        <item>现场</item>
      </candidateList>
      <explain/>
      <paraID>2D01E99C</paraID>
      <start>15</start>
      <end>17</end>
      <status>modified</status>
      <modifiedWord>现场</modifiedWord>
      <trackRevisions>false</trackRevisions>
    </reviewItem>
    <reviewItem>
      <errorID>05c56dc3-6b78-4d2e-9c91-310bc9f75d34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24B6C1E9</paraID>
      <start>0</start>
      <end>2</end>
      <status>unmodified</status>
      <modifiedWord/>
      <trackRevisions>false</trackRevisions>
    </reviewItem>
    <reviewItem>
      <errorID>fbe0dd95-4878-48ac-99b3-4d90581fb1ef</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1FAE0C6C</paraID>
      <start>0</start>
      <end>3</end>
      <status>unmodified</status>
      <modifiedWord/>
      <trackRevisions>false</trackRevisions>
    </reviewItem>
    <reviewItem>
      <errorID>5c7a19b1-8317-42f0-9041-707822c133d9</errorID>
      <errorWord>0.1%~0.5%</errorWord>
      <group>L1_Knowledge</group>
      <groupName>知识性问题</groupName>
      <ability>L2_Knowledge</ability>
      <abilityName>其他知识</abilityName>
      <candidateList>
        <item>0.1%～0.5%</item>
      </candidateList>
      <explain>1. “0.1%~0.5%”中的单位“%”仅出现在后一个数字上，容易引起歧义；根据《现代汉语标点符号数字用法规范手册》，数字表示范围两边需要使用统一的格式。2. 根据标点国标 4.13 中的规则，数字、时间或地域连接符应使用（视觉上更长的）“—”或“～”。</explain>
      <paraID>40348502</paraID>
      <start>35</start>
      <end>44</end>
      <status>unmodified</status>
      <modifiedWord/>
      <trackRevisions>false</trackRevisions>
    </reviewItem>
    <reviewItem>
      <errorID>fb33cc49-aa55-456b-8691-77b5e0100573</errorID>
      <errorWord>~</errorWord>
      <group>L1_Format</group>
      <groupName>格式问题</groupName>
      <ability>L2_HalfPunc</ability>
      <abilityName>全半角检查</abilityName>
      <candidateList>
        <item>～</item>
      </candidateList>
      <explain>文本全半角错误。</explain>
      <paraID>40348502</paraID>
      <start>63</start>
      <end>64</end>
      <status>unmodified</status>
      <modifiedWord/>
      <trackRevisions>false</trackRevisions>
    </reviewItem>
    <reviewItem>
      <errorID>27747b78-ed91-45a6-8e1a-26c19871831b</errorID>
      <errorWord>~</errorWord>
      <group>L1_Format</group>
      <groupName>格式问题</groupName>
      <ability>L2_HalfPunc</ability>
      <abilityName>全半角检查</abilityName>
      <candidateList>
        <item>～</item>
      </candidateList>
      <explain>文本全半角错误。</explain>
      <paraID>40348502</paraID>
      <start>72</start>
      <end>73</end>
      <status>unmodified</status>
      <modifiedWord/>
      <trackRevisions>false</trackRevisions>
    </reviewItem>
    <reviewItem>
      <errorID>48ef5a87-95a3-4ffa-9527-d56077e2308e</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40348502</paraID>
      <start>82</start>
      <end>89</end>
      <status>unmodified</status>
      <modifiedWord/>
      <trackRevisions>false</trackRevisions>
    </reviewItem>
    <reviewItem>
      <errorID>e18612ae-6528-4415-9ab0-c7b7fb9d2704</errorID>
      <errorWord>~</errorWord>
      <group>L1_Format</group>
      <groupName>格式问题</groupName>
      <ability>L2_HalfPunc</ability>
      <abilityName>全半角检查</abilityName>
      <candidateList>
        <item>～</item>
      </candidateList>
      <explain>文本全半角错误。</explain>
      <paraID>  15A825</paraID>
      <start>41</start>
      <end>42</end>
      <status>unmodified</status>
      <modifiedWord/>
      <trackRevisions>false</trackRevisions>
    </reviewItem>
    <reviewItem>
      <errorID>8c5cd4d8-6d9c-4968-8c66-9ed9f280bf98</errorID>
      <errorWord>~</errorWord>
      <group>L1_Format</group>
      <groupName>格式问题</groupName>
      <ability>L2_HalfPunc</ability>
      <abilityName>全半角检查</abilityName>
      <candidateList>
        <item>～</item>
      </candidateList>
      <explain>文本全半角错误。</explain>
      <paraID> 1F63C1A</paraID>
      <start>19</start>
      <end>20</end>
      <status>unmodified</status>
      <modifiedWord/>
      <trackRevisions>false</trackRevisions>
    </reviewItem>
    <reviewItem>
      <errorID>c584b5a9-0b1d-4842-9e15-a672bff8d534</errorID>
      <errorWord>,</errorWord>
      <group>L1_Format</group>
      <groupName>格式问题</groupName>
      <ability>L2_HalfPunc</ability>
      <abilityName>全半角检查</abilityName>
      <candidateList>
        <item>，</item>
      </candidateList>
      <explain>文本全半角错误。</explain>
      <paraID>3F16D230</paraID>
      <start>31</start>
      <end>32</end>
      <status>unmodified</status>
      <modifiedWord/>
      <trackRevisions>false</trackRevisions>
    </reviewItem>
    <reviewItem>
      <errorID>f34411fe-4656-48e9-893b-f23c04747954</errorID>
      <errorWord>,</errorWord>
      <group>L1_Format</group>
      <groupName>格式问题</groupName>
      <ability>L2_HalfPunc</ability>
      <abilityName>全半角检查</abilityName>
      <candidateList>
        <item>，</item>
      </candidateList>
      <explain>文本全半角错误。</explain>
      <paraID>525FD0E6</paraID>
      <start>28</start>
      <end>29</end>
      <status>unmodified</status>
      <modifiedWord/>
      <trackRevisions>false</trackRevisions>
    </reviewItem>
    <reviewItem>
      <errorID>9141e075-9507-45da-afa8-a7982500113b</errorID>
      <errorWord>将将</errorWord>
      <group>L1_Word</group>
      <groupName>字词问题</groupName>
      <ability>L2_Typo</ability>
      <abilityName>字词错误</abilityName>
      <candidateList>
        <item>将</item>
      </candidateList>
      <explain>（jiāng）将要；（jiàng）勇将、上将、游泳健将；（qiāng）请求，将子无怒。</explain>
      <paraID>525FD0E6</paraID>
      <start>44</start>
      <end>45</end>
      <status>modified</status>
      <modifiedWord>将</modifiedWord>
      <trackRevisions>false</trackRevisions>
    </reviewItem>
    <reviewItem>
      <errorID>cff5fb91-9037-4b91-b4d7-0d4a526b4c03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BA952BF</paraID>
      <start>38</start>
      <end>39</end>
      <status>unmodified</status>
      <modifiedWord/>
      <trackRevisions>false</trackRevisions>
    </reviewItem>
    <reviewItem>
      <errorID>3fed08ca-052b-464c-bfc0-397ffd8e49bb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1EE1FB9E</paraID>
      <start>40</start>
      <end>41</end>
      <status>unmodified</status>
      <modifiedWord/>
      <trackRevisions>false</trackRevisions>
    </reviewItem>
    <reviewItem>
      <errorID>5b3574d1-968c-4fc9-b4fe-6bf69254f49c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3CE09983</paraID>
      <start>23</start>
      <end>24</end>
      <status>unmodified</status>
      <modifiedWord/>
      <trackRevisions>false</trackRevisions>
    </reviewItem>
    <reviewItem>
      <errorID>49936da1-03e4-4866-9557-6b05a1256378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3CE09983</paraID>
      <start>72</start>
      <end>73</end>
      <status>unmodified</status>
      <modifiedWord/>
      <trackRevisions>false</trackRevisions>
    </reviewItem>
    <reviewItem>
      <errorID>80ffcdfe-57f4-4e05-becc-33b1f8b55664</errorID>
      <errorWord>剂剂</errorWord>
      <group>L1_Word</group>
      <groupName>字词问题</groupName>
      <ability>L2_Typo</ability>
      <abilityName>字词错误</abilityName>
      <candidateList>
        <item>剂</item>
      </candidateList>
      <explain/>
      <paraID>41988089</paraID>
      <start>27</start>
      <end>28</end>
      <status>modified</status>
      <modifiedWord>剂</modifiedWord>
      <trackRevisions>false</trackRevisions>
    </reviewItem>
    <reviewItem>
      <errorID>7734d5a5-a3cd-4281-ade9-65e9b970f5b5</errorID>
      <errorWord>程</errorWord>
      <group>L1_Word</group>
      <groupName>字词问题</groupName>
      <ability>L2_Typo</ability>
      <abilityName>字词错误</abilityName>
      <candidateList>
        <item>程中</item>
      </candidateList>
      <explain/>
      <paraID> 7049AC2</paraID>
      <start>8</start>
      <end>10</end>
      <status>modified</status>
      <modifiedWord>程中</modifiedWord>
      <trackRevisions>false</trackRevisions>
    </reviewItem>
    <reviewItem>
      <errorID>36da7234-e368-4693-80d2-685f8a428c8c</errorID>
      <errorWord>,</errorWord>
      <group>L1_Format</group>
      <groupName>格式问题</groupName>
      <ability>L2_HalfPunc</ability>
      <abilityName>全半角检查</abilityName>
      <candidateList>
        <item>，</item>
      </candidateList>
      <explain>文本全半角错误。</explain>
      <paraID>4C25F973</paraID>
      <start>60</start>
      <end>61</end>
      <status>unmodified</status>
      <modifiedWord/>
      <trackRevisions>false</trackRevisions>
    </reviewItem>
    <reviewItem>
      <errorID>2628c1c4-d6ae-498b-aa00-bff1468286d9</errorID>
      <errorWord>[2022]39号</errorWord>
      <group>L1_Knowledge</group>
      <groupName>知识性问题</groupName>
      <ability>L2_Knowledge</ability>
      <abilityName>其他知识</abilityName>
      <candidateList>
        <item>〔2022〕39号</item>
      </candidateList>
      <explain>发文字号格式错误。</explain>
      <paraID>5AE7D6DA</paraID>
      <start>70</start>
      <end>79</end>
      <status>unmodified</status>
      <modifiedWord/>
      <trackRevisions>false</trackRevisions>
    </reviewItem>
    <reviewItem>
      <errorID>bd1c8a87-48c4-43ca-89b0-974de75dfb0a</errorID>
      <errorWord>[2024]22号</errorWord>
      <group>L1_Knowledge</group>
      <groupName>知识性问题</groupName>
      <ability>L2_Knowledge</ability>
      <abilityName>其他知识</abilityName>
      <candidateList>
        <item>〔2024〕22号</item>
      </candidateList>
      <explain>发文字号格式错误。</explain>
      <paraID>5AE7D6DA</paraID>
      <start>325</start>
      <end>334</end>
      <status>unmodified</status>
      <modifiedWord/>
      <trackRevisions>false</trackRevisions>
    </reviewItem>
    <reviewItem>
      <errorID>fc2a49f9-dc14-4eaf-b298-ad9896639931</errorID>
      <errorWord>住宿的</errorWord>
      <group>L1_Word</group>
      <groupName>字词问题</groupName>
      <ability>L2_Typo</ability>
      <abilityName>字词错误</abilityName>
      <candidateList>
        <item>住宿</item>
      </candidateList>
      <explain/>
      <paraID>429A45F7</paraID>
      <start>77</start>
      <end>79</end>
      <status>modified</status>
      <modifiedWord>住宿</modifiedWord>
      <trackRevisions>false</trackRevisions>
    </reviewItem>
    <reviewItem>
      <errorID>0daeab3d-6a33-4680-a465-71e1a598a2d8</errorID>
      <errorWord>机机</errorWord>
      <group>L1_Word</group>
      <groupName>字词问题</groupName>
      <ability>L2_Typo</ability>
      <abilityName>字词错误</abilityName>
      <candidateList>
        <item>机</item>
      </candidateList>
      <explain/>
      <paraID>5B21A14E</paraID>
      <start>34</start>
      <end>35</end>
      <status>modified</status>
      <modifiedWord>机</modifiedWord>
      <trackRevisions>false</trackRevisions>
    </reviewItem>
    <reviewItem>
      <errorID>a2693894-92e7-4c0f-932f-2f4e2bb33fab</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5B21A14E</paraID>
      <start>194</start>
      <end>197</end>
      <status>unmodified</status>
      <modifiedWord/>
      <trackRevisions>false</trackRevisions>
    </reviewItem>
    <reviewItem>
      <errorID>1bdb8966-95aa-463e-a0e0-ed6689440a3c</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582B8278</paraID>
      <start>213</start>
      <end>216</end>
      <status>unmodified</status>
      <modifiedWord/>
      <trackRevisions>false</trackRevisions>
    </reviewItem>
    <reviewItem>
      <errorID>a9680c0b-b307-4003-ae52-6907f7aa48e1</errorID>
      <errorWord>通过再</errorWord>
      <group>L1_Word</group>
      <groupName>字词问题</groupName>
      <ability>L2_Typo</ability>
      <abilityName>字词错误</abilityName>
      <candidateList>
        <item>通过</item>
      </candidateList>
      <explain>❶（－∥－）〈动〉从一端或一侧到另一端或另一侧；穿过：电流～导线｜队伍～了沙漠｜路太窄，汽车不能～。❷（－∥－）〈动〉议案等经过法定人数的同意而成立：～决议｜该提案以四分之三的多数票获得～。❸〈介〉以人或事物为媒介或手段而达到某种目的：～老艺人收集民间故事｜～座谈会征询意见。❹〈动〉征求有关的人或组织的同意或核准：～组织｜～领导｜这问题要～群众，才能做出决定。</explain>
      <paraID>484DA601</paraID>
      <start>55</start>
      <end>57</end>
      <status>modified</status>
      <modifiedWord>通过</modifiedWord>
      <trackRevisions>false</trackRevisions>
    </reviewItem>
    <reviewItem>
      <errorID>85a50188-8055-4528-8e8b-2f4ffb9125ef</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484DA601</paraID>
      <start>355</start>
      <end>358</end>
      <status>unmodified</status>
      <modifiedWord/>
      <trackRevisions>false</trackRevisions>
    </reviewItem>
    <reviewItem>
      <errorID>9be25b5e-8276-4f18-8b18-b3b4e9e5922f</errorID>
      <errorWord>来自于</errorWord>
      <group>L1_Word</group>
      <groupName>字词问题</groupName>
      <ability>L2_Typo</ability>
      <abilityName>字词错误</abilityName>
      <candidateList>
        <item>来自</item>
      </candidateList>
      <explain/>
      <paraID>19D7A760</paraID>
      <start>25</start>
      <end>27</end>
      <status>modified</status>
      <modifiedWord>来自</modifiedWord>
      <trackRevisions>false</trackRevisions>
    </reviewItem>
    <reviewItem>
      <errorID>061d3f1a-a2ba-4e87-81fe-5a8b2f0fb797</errorID>
      <errorWord>蒸发汽化</errorWord>
      <group>L1_Word</group>
      <groupName>字词问题</groupName>
      <ability>L2_Typo</ability>
      <abilityName>字词错误</abilityName>
      <candidateList>
        <item>蒸发气化</item>
      </candidateList>
      <explain/>
      <paraID>19D7A760</paraID>
      <start>147</start>
      <end>151</end>
      <status>modified</status>
      <modifiedWord>蒸发气化</modifiedWord>
      <trackRevisions>false</trackRevisions>
    </reviewItem>
    <reviewItem>
      <errorID>e44cd8bb-0f9c-427e-9aba-b75d947eb01a</errorID>
      <errorWord>水份</errorWord>
      <group>L1_Word</group>
      <groupName>字词问题</groupName>
      <ability>L2_Variant</ability>
      <abilityName>异形词</abilityName>
      <candidateList>
        <item>水分</item>
      </candidateList>
      <explain>词汇[水份]的规范词形写作[水分]。</explain>
      <paraID>34274158</paraID>
      <start>155</start>
      <end>157</end>
      <status>modified</status>
      <modifiedWord>水分</modifiedWord>
      <trackRevisions>false</trackRevisions>
    </reviewItem>
    <reviewItem>
      <errorID>eccbe07f-7f15-4207-a673-f094818bce9c</errorID>
      <errorWord>来自于</errorWord>
      <group>L1_Word</group>
      <groupName>字词问题</groupName>
      <ability>L2_Typo</ability>
      <abilityName>字词错误</abilityName>
      <candidateList>
        <item>来自</item>
      </candidateList>
      <explain/>
      <paraID> 3BC1F32</paraID>
      <start>44</start>
      <end>46</end>
      <status>modified</status>
      <modifiedWord>来自</modifiedWord>
      <trackRevisions>false</trackRevisions>
    </reviewItem>
    <reviewItem>
      <errorID>5ea650d4-5d13-4e50-921b-88d292a8ec50</errorID>
      <errorWord>水份</errorWord>
      <group>L1_Word</group>
      <groupName>字词问题</groupName>
      <ability>L2_Variant</ability>
      <abilityName>异形词</abilityName>
      <candidateList>
        <item>水分</item>
      </candidateList>
      <explain>词汇[水份]的规范词形写作[水分]。</explain>
      <paraID> 3BC1F32</paraID>
      <start>156</start>
      <end>158</end>
      <status>modified</status>
      <modifiedWord>水分</modifiedWord>
      <trackRevisions>false</trackRevisions>
    </reviewItem>
    <reviewItem>
      <errorID>9bf97037-da26-4892-8cda-c9773234c4d6</errorID>
      <errorWord>原料水份</errorWord>
      <group>L1_Word</group>
      <groupName>字词问题</groupName>
      <ability>L2_Variant</ability>
      <abilityName>异形词</abilityName>
      <candidateList>
        <item>原料水分</item>
      </candidateList>
      <explain>词汇[原料水份]的规范词形写作[原料水分]。</explain>
      <paraID> 3BC1F32</paraID>
      <start>175</start>
      <end>179</end>
      <status>modified</status>
      <modifiedWord>原料水分</modifiedWord>
      <trackRevisions>false</trackRevisions>
    </reviewItem>
    <reviewItem>
      <errorID>e4dcf66d-56b1-47d3-a7e8-4855aba2b3d9</errorID>
      <errorWord>水蒸汽</errorWord>
      <group>L1_Word</group>
      <groupName>字词问题</groupName>
      <ability>L2_Typo</ability>
      <abilityName>字词错误</abilityName>
      <candidateList>
        <item>水蒸气</item>
      </candidateList>
      <explain>〈名〉气态的水。常压下液态的水加热到100℃时就开始沸腾，迅速变成水蒸气。也叫蒸汽。</explain>
      <paraID>7DAC27A6</paraID>
      <start>29</start>
      <end>32</end>
      <status>modified</status>
      <modifiedWord>水蒸气</modifiedWord>
      <trackRevisions>false</trackRevisions>
    </reviewItem>
    <reviewItem>
      <errorID>04b5c658-6c8f-45a4-b4f1-98195e710d97</errorID>
      <errorWord>水份含量</errorWord>
      <group>L1_Word</group>
      <groupName>字词问题</groupName>
      <ability>L2_Variant</ability>
      <abilityName>异形词</abilityName>
      <candidateList>
        <item>水分含量</item>
      </candidateList>
      <explain>词汇[水份含量]的规范词形写作[水分含量]。</explain>
      <paraID>7DAC27A6</paraID>
      <start>63</start>
      <end>67</end>
      <status>modified</status>
      <modifiedWord>水分含量</modifiedWord>
      <trackRevisions>false</trackRevisions>
    </reviewItem>
    <reviewItem>
      <errorID>2d350dd4-2d80-4b13-8e54-26423beb9cf7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1805F22D</paraID>
      <start>30</start>
      <end>31</end>
      <status>unmodified</status>
      <modifiedWord/>
      <trackRevisions>false</trackRevisions>
    </reviewItem>
    <reviewItem>
      <errorID>faf3599e-b494-49bc-aa96-f3087356719b</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108CA4EE</paraID>
      <start>98</start>
      <end>101</end>
      <status>unmodified</status>
      <modifiedWord/>
      <trackRevisions>false</trackRevisions>
    </reviewItem>
    <reviewItem>
      <errorID>913a41f8-25e9-4459-b452-e4b56fd03444</errorID>
      <errorWord>-</errorWord>
      <group>L1_Format</group>
      <groupName>格式问题</groupName>
      <ability>L2_HalfPunc</ability>
      <abilityName>全半角检查</abilityName>
      <candidateList>
        <item>－</item>
      </candidateList>
      <explain>文本全半角错误。</explain>
      <paraID>108CA4EE</paraID>
      <start>122</start>
      <end>123</end>
      <status>unmodified</status>
      <modifiedWord/>
      <trackRevisions>false</trackRevisions>
    </reviewItem>
    <reviewItem>
      <errorID>27b22336-0790-4d37-9c31-e66dc3f8d3bf</errorID>
      <errorWord>飘浮物</errorWord>
      <group>L1_Word</group>
      <groupName>字词问题</groupName>
      <ability>L2_Typo</ability>
      <abilityName>字词错误</abilityName>
      <candidateList>
        <item>漂浮物</item>
      </candidateList>
      <explain>存在发音相同字词的误用。</explain>
      <paraID>479440C8</paraID>
      <start>87</start>
      <end>90</end>
      <status>modified</status>
      <modifiedWord>漂浮物</modifiedWord>
      <trackRevisions>false</trackRevisions>
    </reviewItem>
    <reviewItem>
      <errorID>ef13e805-48ca-4542-b63e-3d122e6caafd</errorID>
      <errorWord>不在</errorWord>
      <group>L1_Word</group>
      <groupName>字词问题</groupName>
      <ability>L2_Typo</ability>
      <abilityName>字词错误</abilityName>
      <candidateList>
        <item>不再</item>
      </candidateList>
      <explain/>
      <paraID>479440C8</paraID>
      <start>130</start>
      <end>132</end>
      <status>modified</status>
      <modifiedWord>不再</modifiedWord>
      <trackRevisions>false</trackRevisions>
    </reviewItem>
    <reviewItem>
      <errorID>f9841d80-24f5-4791-ac3e-ed1389e3ba43</errorID>
      <errorWord>强氧化反应</errorWord>
      <group>L1_Knowledge</group>
      <groupName>知识性问题</groupName>
      <ability>L2_Term</ability>
      <abilityName>专业术语</abilityName>
      <candidateList>
        <item>共氧化反应</item>
      </candidateList>
      <explain/>
      <paraID> DF9ACED</paraID>
      <start>47</start>
      <end>52</end>
      <status>unmodified</status>
      <modifiedWord/>
      <trackRevisions>false</trackRevisions>
    </reviewItem>
    <reviewItem>
      <errorID>f2a63e92-b8a9-477a-aff4-0a5a21f08a00</errorID>
      <errorWord>加入加入</errorWord>
      <group>L1_Word</group>
      <groupName>字词问题</groupName>
      <ability>L2_Typo</ability>
      <abilityName>字词错误</abilityName>
      <candidateList>
        <item>加入</item>
      </candidateList>
      <explain>〈动〉❶加上；掺进去：～食糖少许。❷参加进去：～工会｜～足球队。</explain>
      <paraID> DF9ACED</paraID>
      <start>55</start>
      <end>57</end>
      <status>modified</status>
      <modifiedWord>加入</modifiedWord>
      <trackRevisions>false</trackRevisions>
    </reviewItem>
    <reviewItem>
      <errorID>67c8ec78-9ec2-4306-b1eb-1a5de6c7e12d</errorID>
      <errorWord>气化</errorWord>
      <group>L1_Word</group>
      <groupName>字词问题</groupName>
      <ability>L2_Typo</ability>
      <abilityName>字词错误</abilityName>
      <candidateList>
        <item>汽化</item>
      </candidateList>
      <explain>存在发音相同字词的误用。</explain>
      <paraID>16676CC3</paraID>
      <start>60</start>
      <end>62</end>
      <status>unmodified</status>
      <modifiedWord/>
      <trackRevisions>false</trackRevisions>
    </reviewItem>
    <reviewItem>
      <errorID>12e5d266-9e3c-4347-8317-235bdbbd409d</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 A57281A</paraID>
      <start>38</start>
      <end>41</end>
      <status>unmodified</status>
      <modifiedWord/>
      <trackRevisions>false</trackRevisions>
    </reviewItem>
    <reviewItem>
      <errorID>a3bab562-a001-4786-b0f9-1e75844e9489</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 A57281A</paraID>
      <start>48</start>
      <end>51</end>
      <status>unmodified</status>
      <modifiedWord/>
      <trackRevisions>false</trackRevisions>
    </reviewItem>
    <reviewItem>
      <errorID>1ddf6e49-e3ed-4a14-8774-59142642ac5d</errorID>
      <errorWord>（</errorWord>
      <group>L1_Format</group>
      <groupName>格式问题</groupName>
      <ability>L2_HalfPunc</ability>
      <abilityName>全半角检查</abilityName>
      <candidateList>
        <item>(</item>
      </candidateList>
      <explain>文本全半角错误。</explain>
      <paraID>4F265A18</paraID>
      <start>0</start>
      <end>1</end>
      <status>unmodified</status>
      <modifiedWord/>
      <trackRevisions>false</trackRevisions>
    </reviewItem>
    <reviewItem>
      <errorID>c2a323ab-9461-4e50-b328-2313067af98e</errorID>
      <errorWord>）</errorWord>
      <group>L1_Format</group>
      <groupName>格式问题</groupName>
      <ability>L2_HalfPunc</ability>
      <abilityName>全半角检查</abilityName>
      <candidateList>
        <item>)</item>
      </candidateList>
      <explain>文本全半角错误。</explain>
      <paraID>4F265A18</paraID>
      <start>6</start>
      <end>7</end>
      <status>unmodified</status>
      <modifiedWord/>
      <trackRevisions>false</trackRevisions>
    </reviewItem>
    <reviewItem>
      <errorID>a1a116bb-993d-4a78-9a00-072807c4ac5d</errorID>
      <errorWord>（</errorWord>
      <group>L1_Format</group>
      <groupName>格式问题</groupName>
      <ability>L2_HalfPunc</ability>
      <abilityName>全半角检查</abilityName>
      <candidateList>
        <item>(</item>
      </candidateList>
      <explain>文本全半角错误。</explain>
      <paraID>700806DC</paraID>
      <start>0</start>
      <end>1</end>
      <status>unmodified</status>
      <modifiedWord/>
      <trackRevisions>false</trackRevisions>
    </reviewItem>
    <reviewItem>
      <errorID>e79c0af4-3e5a-4bb9-8eb5-60832fb7eb3c</errorID>
      <errorWord>）</errorWord>
      <group>L1_Format</group>
      <groupName>格式问题</groupName>
      <ability>L2_HalfPunc</ability>
      <abilityName>全半角检查</abilityName>
      <candidateList>
        <item>)</item>
      </candidateList>
      <explain>文本全半角错误。</explain>
      <paraID>700806DC</paraID>
      <start>6</start>
      <end>7</end>
      <status>unmodified</status>
      <modifiedWord/>
      <trackRevisions>false</trackRevisions>
    </reviewItem>
    <reviewItem>
      <errorID>d2bb8717-6fe6-4731-a9ff-cec769764322</errorID>
      <errorWord>废水处理及</errorWord>
      <group>L1_Knowledge</group>
      <groupName>知识性问题</groupName>
      <ability>L2_Term</ability>
      <abilityName>专业术语</abilityName>
      <candidateList>
        <item>废水处理厂</item>
      </candidateList>
      <explain/>
      <paraID>207204F8</paraID>
      <start>4</start>
      <end>9</end>
      <status>unmodified</status>
      <modifiedWord/>
      <trackRevisions>false</trackRevisions>
    </reviewItem>
    <reviewItem>
      <errorID>9f1ea930-76d2-4062-8b94-214e2ef3ac21</errorID>
      <errorWord>程</errorWord>
      <group>L1_Word</group>
      <groupName>字词问题</groupName>
      <ability>L2_Typo</ability>
      <abilityName>字词错误</abilityName>
      <candidateList>
        <item>程中</item>
      </candidateList>
      <explain/>
      <paraID>5B8F7E01</paraID>
      <start>85</start>
      <end>86</end>
      <status>unmodified</status>
      <modifiedWord/>
      <trackRevisions>false</trackRevisions>
    </reviewItem>
    <reviewItem>
      <errorID>536bccb3-a2da-4224-92d9-16d11e1154e5</errorID>
      <errorWord>（</errorWord>
      <group>L1_Punc</group>
      <groupName>标点问题</groupName>
      <ability>L2_Punc</ability>
      <abilityName>标点符号检查</abilityName>
      <candidateList/>
      <explain>同一形式括号套用。</explain>
      <paraID>61B8C012</paraID>
      <start>230</start>
      <end>231</end>
      <status>unmodified</status>
      <modifiedWord/>
      <trackRevisions>false</trackRevisions>
    </reviewItem>
    <reviewItem>
      <errorID>58667d6b-e13f-4b3c-88a2-a4323f8f453b</errorID>
      <errorWord>）</errorWord>
      <group>L1_Punc</group>
      <groupName>标点问题</groupName>
      <ability>L2_Punc</ability>
      <abilityName>标点符号检查</abilityName>
      <candidateList/>
      <explain>同一形式括号套用。</explain>
      <paraID>61B8C012</paraID>
      <start>232</start>
      <end>233</end>
      <status>unmodified</status>
      <modifiedWord/>
      <trackRevisions>false</trackRevisions>
    </reviewItem>
    <reviewItem>
      <errorID>e3d630c4-57e3-450e-940a-1580a482951d</errorID>
      <errorWord>（</errorWord>
      <group>L1_Punc</group>
      <groupName>标点问题</groupName>
      <ability>L2_Punc</ability>
      <abilityName>标点符号检查</abilityName>
      <candidateList/>
      <explain>同一形式括号套用。</explain>
      <paraID>61B8C012</paraID>
      <start>245</start>
      <end>246</end>
      <status>unmodified</status>
      <modifiedWord/>
      <trackRevisions>false</trackRevisions>
    </reviewItem>
    <reviewItem>
      <errorID>c38f2ef9-8868-43c6-b438-b5a0a5e20da2</errorID>
      <errorWord>）</errorWord>
      <group>L1_Punc</group>
      <groupName>标点问题</groupName>
      <ability>L2_Punc</ability>
      <abilityName>标点符号检查</abilityName>
      <candidateList/>
      <explain>同一形式括号套用。</explain>
      <paraID>61B8C012</paraID>
      <start>247</start>
      <end>248</end>
      <status>unmodified</status>
      <modifiedWord/>
      <trackRevisions>false</trackRevisions>
    </reviewItem>
    <reviewItem>
      <errorID>fdceea98-8ccd-44c4-8562-21e314534dc2</errorID>
      <errorWord>生活废水</errorWord>
      <group>L1_Knowledge</group>
      <groupName>知识性问题</groupName>
      <ability>L2_Term</ability>
      <abilityName>专业术语</abilityName>
      <candidateList>
        <item>生活污水</item>
      </candidateList>
      <explain/>
      <paraID>403B92AC</paraID>
      <start>7</start>
      <end>11</end>
      <status>modified</status>
      <modifiedWord>生活污水</modifiedWord>
      <trackRevisions>false</trackRevisions>
    </reviewItem>
    <reviewItem>
      <errorID>9a4d7edf-a11d-40a2-9e0b-c12551d80994</errorID>
      <errorWord>项目进</errorWord>
      <group>L1_Word</group>
      <groupName>字词问题</groupName>
      <ability>L2_Typo</ability>
      <abilityName>字词错误</abilityName>
      <candidateList>
        <item>项目</item>
      </candidateList>
      <explain>〈名〉事物分成的门类：服务～｜体育～｜建设～。</explain>
      <paraID>403B92AC</paraID>
      <start>26</start>
      <end>29</end>
      <status>ignored</status>
      <modifiedWord/>
      <trackRevisions>false</trackRevisions>
    </reviewItem>
    <reviewItem>
      <errorID>fa3daddf-00f7-4f2b-92bc-f810c97113c8</errorID>
      <errorWord>属</errorWord>
      <group>L1_Word</group>
      <groupName>字词问题</groupName>
      <ability>L2_Typo</ability>
      <abilityName>字词错误</abilityName>
      <candidateList>
        <item>属于</item>
      </candidateList>
      <explain/>
      <paraID>1F15382F</paraID>
      <start>23</start>
      <end>24</end>
      <status>unmodified</status>
      <modifiedWord/>
      <trackRevisions>false</trackRevisions>
    </reviewItem>
    <reviewItem>
      <errorID>abd99e5c-66e2-4cda-8706-a96f548bfcde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57374F11</paraID>
      <start>0</start>
      <end>2</end>
      <status>unmodified</status>
      <modifiedWord/>
      <trackRevisions>false</trackRevisions>
    </reviewItem>
    <reviewItem>
      <errorID>bccd500c-8009-408a-b923-8d7db389db08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29424184</paraID>
      <start>0</start>
      <end>2</end>
      <status>unmodified</status>
      <modifiedWord/>
      <trackRevisions>false</trackRevisions>
    </reviewItem>
    <reviewItem>
      <errorID>469c81d2-9ebf-4217-a247-05f38082ad0d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4893C950</paraID>
      <start>0</start>
      <end>2</end>
      <status>unmodified</status>
      <modifiedWord/>
      <trackRevisions>false</trackRevisions>
    </reviewItem>
    <reviewItem>
      <errorID>f96361c8-6b62-494f-bee6-0d7bd0a1a6aa</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7F45446A</paraID>
      <start>10</start>
      <end>13</end>
      <status>unmodified</status>
      <modifiedWord/>
      <trackRevisions>false</trackRevisions>
    </reviewItem>
    <reviewItem>
      <errorID>511b6b01-fbcc-406d-84f8-c01196c2dfc7</errorID>
      <errorWord>[2025]</errorWord>
      <group>L1_Punc</group>
      <groupName>标点问题</groupName>
      <ability>L2_Punc</ability>
      <abilityName>标点符号检查</abilityName>
      <candidateList>
        <item>〔2025〕</item>
      </candidateList>
      <explain/>
      <paraID> 8F2A639</paraID>
      <start>124</start>
      <end>130</end>
      <status>unmodified</status>
      <modifiedWord/>
      <trackRevisions>false</trackRevisions>
    </reviewItem>
    <reviewItem>
      <errorID>2d045f5a-3f2a-4387-9767-062c0425fcf0</errorID>
      <errorWord>检测点</errorWord>
      <group>L1_Word</group>
      <groupName>字词问题</groupName>
      <ability>L2_Typo</ability>
      <abilityName>字词错误</abilityName>
      <candidateList>
        <item>监测点</item>
      </candidateList>
      <explain/>
      <paraID>156CABAE</paraID>
      <start>0</start>
      <end>3</end>
      <status>unmodified</status>
      <modifiedWord/>
      <trackRevisions>false</trackRevisions>
    </reviewItem>
    <reviewItem>
      <errorID>5b6babad-ebe9-4762-bf7a-685c0f2d4d30</errorID>
      <errorWord>（</errorWord>
      <group>L1_Format</group>
      <groupName>格式问题</groupName>
      <ability>L2_HalfPunc</ability>
      <abilityName>全半角检查</abilityName>
      <candidateList>
        <item>(</item>
      </candidateList>
      <explain>文本全半角错误。</explain>
      <paraID>40E45401</paraID>
      <start>3</start>
      <end>4</end>
      <status>unmodified</status>
      <modifiedWord/>
      <trackRevisions>false</trackRevisions>
    </reviewItem>
    <reviewItem>
      <errorID>49828d0d-e762-4303-b8f8-1b649376d46f</errorID>
      <errorWord>）</errorWord>
      <group>L1_Format</group>
      <groupName>格式问题</groupName>
      <ability>L2_HalfPunc</ability>
      <abilityName>全半角检查</abilityName>
      <candidateList>
        <item>)</item>
      </candidateList>
      <explain>文本全半角错误。</explain>
      <paraID>40E45401</paraID>
      <start>9</start>
      <end>10</end>
      <status>unmodified</status>
      <modifiedWord/>
      <trackRevisions>false</trackRevisions>
    </reviewItem>
    <reviewItem>
      <errorID>bdbc02c7-1b1e-4370-9d65-642932a43376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3ACC72FE</paraID>
      <start>0</start>
      <end>2</end>
      <status>unmodified</status>
      <modifiedWord/>
      <trackRevisions>false</trackRevisions>
    </reviewItem>
    <reviewItem>
      <errorID>5e1eaa25-ad76-4781-874a-bc07d1264f7f</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6DEBCA65</paraID>
      <start>29</start>
      <end>32</end>
      <status>unmodified</status>
      <modifiedWord/>
      <trackRevisions>false</trackRevisions>
    </reviewItem>
    <reviewItem>
      <errorID>766a70f6-c298-4fc0-98d6-ec1e43aaa872</errorID>
      <errorWord>～</errorWord>
      <group>L1_Format</group>
      <groupName>格式问题</groupName>
      <ability>L2_HalfPunc</ability>
      <abilityName>全半角检查</abilityName>
      <candidateList>
        <item>~</item>
      </candidateList>
      <explain>文本全半角错误。</explain>
      <paraID>26760B80</paraID>
      <start>1</start>
      <end>2</end>
      <status>unmodified</status>
      <modifiedWord/>
      <trackRevisions>false</trackRevisions>
    </reviewItem>
    <reviewItem>
      <errorID>80900a02-4670-45e3-9774-9681e2fa3cd1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61E6FD70</paraID>
      <start>0</start>
      <end>2</end>
      <status>unmodified</status>
      <modifiedWord/>
      <trackRevisions>false</trackRevisions>
    </reviewItem>
    <reviewItem>
      <errorID>f15f128c-653f-45f2-92f8-dab5c5541627</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7D1BCA5C</paraID>
      <start>10</start>
      <end>13</end>
      <status>unmodified</status>
      <modifiedWord/>
      <trackRevisions>false</trackRevisions>
    </reviewItem>
    <reviewItem>
      <errorID>2f917378-56d1-4181-832f-1b53356823f4</errorID>
      <errorWord>2025年02月5日</errorWord>
      <group>L1_Knowledge</group>
      <groupName>知识性问题</groupName>
      <ability>L2_Time</ability>
      <abilityName>日期时间</abilityName>
      <candidateList>
        <item>2025年2月5日</item>
      </candidateList>
      <explain>根据日常书写习惯，月份一般会省略前导零。</explain>
      <paraID> EFA7F87</paraID>
      <start>60</start>
      <end>70</end>
      <status>unmodified</status>
      <modifiedWord/>
      <trackRevisions>false</trackRevisions>
    </reviewItem>
    <reviewItem>
      <errorID>b8d94498-c1c6-44d2-81d6-2f325b13add9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EFA7F87</paraID>
      <start>70</start>
      <end>71</end>
      <status>unmodified</status>
      <modifiedWord/>
      <trackRevisions>false</trackRevisions>
    </reviewItem>
    <reviewItem>
      <errorID>f789f0a4-b108-4759-8c63-0709b30e5d54</errorID>
      <errorWord>2025年02月6日</errorWord>
      <group>L1_Knowledge</group>
      <groupName>知识性问题</groupName>
      <ability>L2_Time</ability>
      <abilityName>日期时间</abilityName>
      <candidateList>
        <item>2025年2月6日</item>
      </candidateList>
      <explain>根据日常书写习惯，月份一般会省略前导零。</explain>
      <paraID> EFA7F87</paraID>
      <start>71</start>
      <end>81</end>
      <status>unmodified</status>
      <modifiedWord/>
      <trackRevisions>false</trackRevisions>
    </reviewItem>
    <reviewItem>
      <errorID>4339d81f-43d6-434f-ae0a-bbd6173170de</errorID>
      <errorWord>2025年02月20日</errorWord>
      <group>L1_Knowledge</group>
      <groupName>知识性问题</groupName>
      <ability>L2_Time</ability>
      <abilityName>日期时间</abilityName>
      <candidateList>
        <item>2025年2月20日</item>
      </candidateList>
      <explain>根据日常书写习惯，月份一般会省略前导零。</explain>
      <paraID> EFA7F87</paraID>
      <start>97</start>
      <end>108</end>
      <status>unmodified</status>
      <modifiedWord/>
      <trackRevisions>false</trackRevisions>
    </reviewItem>
    <reviewItem>
      <errorID>fd62ad7c-db97-46b1-989f-3858ebe4b45f</errorID>
      <errorWord>检测点位</errorWord>
      <group>L1_Knowledge</group>
      <groupName>知识性问题</groupName>
      <ability>L2_Term</ability>
      <abilityName>专业术语</abilityName>
      <candidateList>
        <item>监测点位</item>
      </candidateList>
      <explain/>
      <paraID>5261F457</paraID>
      <start>17</start>
      <end>21</end>
      <status>modified</status>
      <modifiedWord>监测点位</modifiedWord>
      <trackRevisions>false</trackRevisions>
    </reviewItem>
    <reviewItem>
      <errorID>b6af6528-b952-404a-a102-c8f02bd0f25c</errorID>
      <errorWord>泄露下</errorWord>
      <group>L1_Word</group>
      <groupName>字词问题</groupName>
      <ability>L2_Typo</ability>
      <abilityName>字词错误</abilityName>
      <candidateList>
        <item>泄漏下</item>
      </candidateList>
      <explain/>
      <paraID>4F6A7E2C</paraID>
      <start>69</start>
      <end>72</end>
      <status>modified</status>
      <modifiedWord>泄漏下</modifiedWord>
      <trackRevisions>false</trackRevisions>
    </reviewItem>
    <reviewItem>
      <errorID>8e2b2653-ca9b-4bc7-b9b1-611305fc6259</errorID>
      <errorWord>2023年03月24日</errorWord>
      <group>L1_Knowledge</group>
      <groupName>知识性问题</groupName>
      <ability>L2_Time</ability>
      <abilityName>日期时间</abilityName>
      <candidateList>
        <item>2023年3月24日</item>
      </candidateList>
      <explain>根据日常书写习惯，月份一般会省略前导零。</explain>
      <paraID>4F6A7E2C</paraID>
      <start>185</start>
      <end>196</end>
      <status>unmodified</status>
      <modifiedWord/>
      <trackRevisions>false</trackRevisions>
    </reviewItem>
    <reviewItem>
      <errorID>5e0e66ad-3e46-48d6-b3d9-116ccf09a5b7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4F6A7E2C</paraID>
      <start>196</start>
      <end>197</end>
      <status>unmodified</status>
      <modifiedWord/>
      <trackRevisions>false</trackRevisions>
    </reviewItem>
    <reviewItem>
      <errorID>69391043-3a63-4c94-b0fc-ca7ad3b8ab95</errorID>
      <errorWord>2023年03月25日</errorWord>
      <group>L1_Knowledge</group>
      <groupName>知识性问题</groupName>
      <ability>L2_Time</ability>
      <abilityName>日期时间</abilityName>
      <candidateList>
        <item>2023年3月25日</item>
      </candidateList>
      <explain>根据日常书写习惯，月份一般会省略前导零。</explain>
      <paraID>4F6A7E2C</paraID>
      <start>197</start>
      <end>208</end>
      <status>unmodified</status>
      <modifiedWord/>
      <trackRevisions>false</trackRevisions>
    </reviewItem>
    <reviewItem>
      <errorID>56162ac8-7b6a-489a-a9bf-c1622871e185</errorID>
      <errorWord>2023年04月19日</errorWord>
      <group>L1_Knowledge</group>
      <groupName>知识性问题</groupName>
      <ability>L2_Time</ability>
      <abilityName>日期时间</abilityName>
      <candidateList>
        <item>2023年4月19日</item>
      </candidateList>
      <explain>根据日常书写习惯，月份一般会省略前导零。</explain>
      <paraID>4F6A7E2C</paraID>
      <start>229</start>
      <end>240</end>
      <status>unmodified</status>
      <modifiedWord/>
      <trackRevisions>false</trackRevisions>
    </reviewItem>
    <reviewItem>
      <errorID>bd5febe8-7d30-42bc-8eeb-c9111f151cce</errorID>
      <errorWord>（</errorWord>
      <group>L1_Punc</group>
      <groupName>标点问题</groupName>
      <ability>L2_Punc</ability>
      <abilityName>标点符号检查</abilityName>
      <candidateList/>
      <explain/>
      <paraID>4F6A7E2C</paraID>
      <start>271</start>
      <end>272</end>
      <status>unmodified</status>
      <modifiedWord/>
      <trackRevisions>false</trackRevisions>
    </reviewItem>
    <reviewItem>
      <errorID>0e858485-da40-4aed-a2d4-45cf00ba8ca3</errorID>
      <errorWord>[2023]</errorWord>
      <group>L1_Punc</group>
      <groupName>标点问题</groupName>
      <ability>L2_Punc</ability>
      <abilityName>标点符号检查</abilityName>
      <candidateList>
        <item>〔2023〕</item>
      </candidateList>
      <explain/>
      <paraID>4F6A7E2C</paraID>
      <start>280</start>
      <end>286</end>
      <status>unmodified</status>
      <modifiedWord/>
      <trackRevisions>false</trackRevisions>
    </reviewItem>
    <reviewItem>
      <errorID>f4822263-d5cc-4936-ad61-2c1d3892783a</errorID>
      <errorWord>III类</errorWord>
      <group>L1_Knowledge</group>
      <groupName>知识性问题</groupName>
      <ability>L2_Knowledge</ability>
      <abilityName>其他知识</abilityName>
      <candidateList>
        <item>Ⅲ类</item>
      </candidateList>
      <explain/>
      <paraID>1AD13C09</paraID>
      <start>46</start>
      <end>50</end>
      <status>unmodified</status>
      <modifiedWord/>
      <trackRevisions>false</trackRevisions>
    </reviewItem>
    <reviewItem>
      <errorID>a905f76c-a8e5-4d46-9ac2-a14d2f7fab19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7D4B6471</paraID>
      <start>0</start>
      <end>2</end>
      <status>unmodified</status>
      <modifiedWord/>
      <trackRevisions>false</trackRevisions>
    </reviewItem>
    <reviewItem>
      <errorID>0afd370a-8f62-4b58-828d-f91fe6ae8a04</errorID>
      <errorWord>》（试行）</errorWord>
      <group>L1_Word</group>
      <groupName>字词问题</groupName>
      <ability>L2_Typo</ability>
      <abilityName>字词错误</abilityName>
      <candidateList>
        <item>（试行）》</item>
      </candidateList>
      <explain/>
      <paraID>165B4DD1</paraID>
      <start>27</start>
      <end>32</end>
      <status>unmodified</status>
      <modifiedWord/>
      <trackRevisions>false</trackRevisions>
    </reviewItem>
    <reviewItem>
      <errorID>ff1690e3-9a2f-4c9f-8105-145d49c23246</errorID>
      <errorWord>》</errorWord>
      <group>L1_Punc</group>
      <groupName>标点问题</groupName>
      <ability>L2_Punc</ability>
      <abilityName>标点符号检查</abilityName>
      <candidateList/>
      <explain/>
      <paraID>165B4DD1</paraID>
      <start>32</start>
      <end>33</end>
      <status>unmodified</status>
      <modifiedWord/>
      <trackRevisions>false</trackRevisions>
    </reviewItem>
    <reviewItem>
      <errorID>491da938-1c0e-4207-9b15-fe9172dc8c9e</errorID>
      <errorWord>泄露下</errorWord>
      <group>L1_Word</group>
      <groupName>字词问题</groupName>
      <ability>L2_Typo</ability>
      <abilityName>字词错误</abilityName>
      <candidateList>
        <item>泄漏下</item>
      </candidateList>
      <explain/>
      <paraID>165B4DD1</paraID>
      <start>66</start>
      <end>69</end>
      <status>unmodified</status>
      <modifiedWord/>
      <trackRevisions>false</trackRevisions>
    </reviewItem>
    <reviewItem>
      <errorID>e47f8b22-01d7-41d0-905a-3aa2fb6c73d9</errorID>
      <errorWord>2023年03月24日</errorWord>
      <group>L1_Knowledge</group>
      <groupName>知识性问题</groupName>
      <ability>L2_Time</ability>
      <abilityName>日期时间</abilityName>
      <candidateList>
        <item>2023年3月24日</item>
      </candidateList>
      <explain>根据日常书写习惯，月份一般会省略前导零。</explain>
      <paraID>165B4DD1</paraID>
      <start>167</start>
      <end>178</end>
      <status>unmodified</status>
      <modifiedWord/>
      <trackRevisions>false</trackRevisions>
    </reviewItem>
    <reviewItem>
      <errorID>b7adc369-73e4-4d06-a84d-a1f56b066827</errorID>
      <errorWord>2023年04月19日</errorWord>
      <group>L1_Knowledge</group>
      <groupName>知识性问题</groupName>
      <ability>L2_Time</ability>
      <abilityName>日期时间</abilityName>
      <candidateList>
        <item>2023年4月19日</item>
      </candidateList>
      <explain>根据日常书写习惯，月份一般会省略前导零。</explain>
      <paraID>165B4DD1</paraID>
      <start>198</start>
      <end>209</end>
      <status>unmodified</status>
      <modifiedWord/>
      <trackRevisions>false</trackRevisions>
    </reviewItem>
    <reviewItem>
      <errorID>c986c1d6-5eb2-4a84-a829-9ea3bd572983</errorID>
      <errorWord>（</errorWord>
      <group>L1_Punc</group>
      <groupName>标点问题</groupName>
      <ability>L2_Punc</ability>
      <abilityName>标点符号检查</abilityName>
      <candidateList/>
      <explain/>
      <paraID>165B4DD1</paraID>
      <start>240</start>
      <end>241</end>
      <status>unmodified</status>
      <modifiedWord/>
      <trackRevisions>false</trackRevisions>
    </reviewItem>
    <reviewItem>
      <errorID>0c0b82cd-0789-4d87-84ab-2676216e615d</errorID>
      <errorWord>[2023]</errorWord>
      <group>L1_Punc</group>
      <groupName>标点问题</groupName>
      <ability>L2_Punc</ability>
      <abilityName>标点符号检查</abilityName>
      <candidateList>
        <item>〔2023〕</item>
      </candidateList>
      <explain/>
      <paraID>165B4DD1</paraID>
      <start>249</start>
      <end>255</end>
      <status>unmodified</status>
      <modifiedWord/>
      <trackRevisions>false</trackRevisions>
    </reviewItem>
    <reviewItem>
      <errorID>1cb7ddb9-2bda-4a5f-a364-f017bcbfa590</errorID>
      <errorWord>监测</errorWord>
      <group>L1_Word</group>
      <groupName>字词问题</groupName>
      <ability>L2_Typo</ability>
      <abilityName>字词错误</abilityName>
      <candidateList>
        <item>检测</item>
      </candidateList>
      <explain/>
      <paraID>165B4DD1</paraID>
      <start>297</start>
      <end>299</end>
      <status>unmodified</status>
      <modifiedWord/>
      <trackRevisions>false</trackRevisions>
    </reviewItem>
    <reviewItem>
      <errorID>61085a4f-517d-421b-a73c-07a0ef274459</errorID>
      <errorWord>&amp;</errorWord>
      <group>L1_Punc</group>
      <groupName>标点问题</groupName>
      <ability>L2_Punc</ability>
      <abilityName>标点符号检查</abilityName>
      <candidateList/>
      <explain/>
      <paraID>19575CC6</paraID>
      <start>0</start>
      <end>1</end>
      <status>unmodified</status>
      <modifiedWord/>
      <trackRevisions>false</trackRevisions>
    </reviewItem>
    <reviewItem>
      <errorID>c2c20c3c-0699-4215-b546-4222addbe1c5</errorID>
      <errorWord>&amp;</errorWord>
      <group>L1_Punc</group>
      <groupName>标点问题</groupName>
      <ability>L2_Punc</ability>
      <abilityName>标点符号检查</abilityName>
      <candidateList/>
      <explain/>
      <paraID> 1AF0705</paraID>
      <start>0</start>
      <end>1</end>
      <status>unmodified</status>
      <modifiedWord/>
      <trackRevisions>false</trackRevisions>
    </reviewItem>
    <reviewItem>
      <errorID>dccd862d-47af-4663-b0b9-c442e8549d0a</errorID>
      <errorWord>&amp;</errorWord>
      <group>L1_Punc</group>
      <groupName>标点问题</groupName>
      <ability>L2_Punc</ability>
      <abilityName>标点符号检查</abilityName>
      <candidateList/>
      <explain/>
      <paraID>1DD9FF69</paraID>
      <start>0</start>
      <end>1</end>
      <status>unmodified</status>
      <modifiedWord/>
      <trackRevisions>false</trackRevisions>
    </reviewItem>
    <reviewItem>
      <errorID>007ee6e4-5b1e-42ac-8314-3f97ef322552</errorID>
      <errorWord>&amp;</errorWord>
      <group>L1_Punc</group>
      <groupName>标点问题</groupName>
      <ability>L2_Punc</ability>
      <abilityName>标点符号检查</abilityName>
      <candidateList/>
      <explain/>
      <paraID>46BC1AB9</paraID>
      <start>0</start>
      <end>1</end>
      <status>unmodified</status>
      <modifiedWord/>
      <trackRevisions>false</trackRevisions>
    </reviewItem>
    <reviewItem>
      <errorID>8263b25a-4ab8-4818-8c47-5cbb0564346a</errorID>
      <errorWord>“&amp;</errorWord>
      <group>L1_Punc</group>
      <groupName>标点问题</groupName>
      <ability>L2_Punc</ability>
      <abilityName>标点符号检查</abilityName>
      <candidateList>
        <item>“</item>
      </candidateList>
      <explain/>
      <paraID>47C42CB8</paraID>
      <start>14</start>
      <end>16</end>
      <status>unmodified</status>
      <modifiedWord/>
      <trackRevisions>false</trackRevisions>
    </reviewItem>
    <reviewItem>
      <errorID>db9db9b0-60d4-443b-8c56-29fe1b25077d</errorID>
      <errorWord>土壤检测</errorWord>
      <group>L1_Word</group>
      <groupName>字词问题</groupName>
      <ability>L2_Typo</ability>
      <abilityName>字词错误</abilityName>
      <candidateList>
        <item>土壤监测</item>
      </candidateList>
      <explain/>
      <paraID>46593057</paraID>
      <start>8</start>
      <end>12</end>
      <status>modified</status>
      <modifiedWord>土壤监测</modifiedWord>
      <trackRevisions>false</trackRevisions>
    </reviewItem>
    <reviewItem>
      <errorID>de20c6da-b84b-4d37-8cf1-a7384c3435ea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6CBEB37B</paraID>
      <start>0</start>
      <end>2</end>
      <status>unmodified</status>
      <modifiedWord/>
      <trackRevisions>false</trackRevisions>
    </reviewItem>
    <reviewItem>
      <errorID>05f7b8b3-d370-44e6-adea-a5f3eb04bea3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1C24702</paraID>
      <start>0</start>
      <end>2</end>
      <status>unmodified</status>
      <modifiedWord/>
      <trackRevisions>false</trackRevisions>
    </reviewItem>
    <reviewItem>
      <errorID>561585f8-e1d3-4fe1-97ac-a109595614ee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59456365</paraID>
      <start>0</start>
      <end>2</end>
      <status>unmodified</status>
      <modifiedWord/>
      <trackRevisions>false</trackRevisions>
    </reviewItem>
    <reviewItem>
      <errorID>985194b8-36db-48f9-9b4e-b9db0fea5971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3F0D8FD3</paraID>
      <start>0</start>
      <end>2</end>
      <status>unmodified</status>
      <modifiedWord/>
      <trackRevisions>false</trackRevisions>
    </reviewItem>
    <reviewItem>
      <errorID>f1d5ea24-be1e-4a5f-95e3-ec98fd02a100</errorID>
      <errorWord>1,</errorWord>
      <group>L1_Format</group>
      <groupName>格式问题</groupName>
      <ability>L2_Ordinal</ability>
      <abilityName>序号格式</abilityName>
      <candidateList>
        <item>1.</item>
      </candidateList>
      <explain>当前序号格式不规范，建议修改为规范格式[1.]。</explain>
      <paraID>58B5AA77</paraID>
      <start>0</start>
      <end>2</end>
      <status>unmodified</status>
      <modifiedWord/>
      <trackRevisions>false</trackRevisions>
    </reviewItem>
    <reviewItem>
      <errorID>39d3de28-431e-4c92-ad32-a62fd44f235a</errorID>
      <errorWord>1,</errorWord>
      <group>L1_Format</group>
      <groupName>格式问题</groupName>
      <ability>L2_Ordinal</ability>
      <abilityName>序号格式</abilityName>
      <candidateList>
        <item>1.</item>
      </candidateList>
      <explain>当前序号格式不规范，建议修改为规范格式[1.]。</explain>
      <paraID> 6C107D2</paraID>
      <start>0</start>
      <end>2</end>
      <status>unmodified</status>
      <modifiedWord/>
      <trackRevisions>false</trackRevisions>
    </reviewItem>
    <reviewItem>
      <errorID>0aff27f4-c10b-499a-912e-5f25fd01934e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AABBA5F</paraID>
      <start>0</start>
      <end>2</end>
      <status>unmodified</status>
      <modifiedWord/>
      <trackRevisions>false</trackRevisions>
    </reviewItem>
    <reviewItem>
      <errorID>bf9d7c61-b136-40d9-adb8-22994bbd38b4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271911A5</paraID>
      <start>0</start>
      <end>2</end>
      <status>unmodified</status>
      <modifiedWord/>
      <trackRevisions>false</trackRevisions>
    </reviewItem>
    <reviewItem>
      <errorID>a48e68c1-2112-48e8-b4b5-b07a58e7f00e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2D67FBB3</paraID>
      <start>0</start>
      <end>2</end>
      <status>unmodified</status>
      <modifiedWord/>
      <trackRevisions>false</trackRevisions>
    </reviewItem>
    <reviewItem>
      <errorID>0b986c8b-a97d-4011-ad19-e65930c03e83</errorID>
      <errorWord>,</errorWord>
      <group>L1_Format</group>
      <groupName>格式问题</groupName>
      <ability>L2_HalfPunc</ability>
      <abilityName>全半角检查</abilityName>
      <candidateList>
        <item>，</item>
      </candidateList>
      <explain>文本全半角错误。</explain>
      <paraID>2025C8B3</paraID>
      <start>1</start>
      <end>2</end>
      <status>unmodified</status>
      <modifiedWord/>
      <trackRevisions>false</trackRevisions>
    </reviewItem>
    <reviewItem>
      <errorID>5750384c-fb26-43b2-bb8d-b04ac3813314</errorID>
      <errorWord>1,</errorWord>
      <group>L1_Format</group>
      <groupName>格式问题</groupName>
      <ability>L2_Ordinal</ability>
      <abilityName>序号格式</abilityName>
      <candidateList>
        <item>1.</item>
      </candidateList>
      <explain>当前序号格式不规范，建议修改为规范格式[1.]。</explain>
      <paraID>2394EC8A</paraID>
      <start>0</start>
      <end>2</end>
      <status>unmodified</status>
      <modifiedWord/>
      <trackRevisions>false</trackRevisions>
    </reviewItem>
    <reviewItem>
      <errorID>98e118e8-92b4-42bc-a51d-9587e6ad6fc6</errorID>
      <errorWord>1,</errorWord>
      <group>L1_Format</group>
      <groupName>格式问题</groupName>
      <ability>L2_Ordinal</ability>
      <abilityName>序号格式</abilityName>
      <candidateList>
        <item>1.</item>
      </candidateList>
      <explain>当前序号格式不规范，建议修改为规范格式[1.]。</explain>
      <paraID>4BE7E436</paraID>
      <start>0</start>
      <end>2</end>
      <status>unmodified</status>
      <modifiedWord/>
      <trackRevisions>false</trackRevisions>
    </reviewItem>
    <reviewItem>
      <errorID>04447891-1cd5-41c5-81d8-82402e7e5a5b</errorID>
      <errorWord>-</errorWord>
      <group>L1_Format</group>
      <groupName>格式问题</groupName>
      <ability>L2_HalfPunc</ability>
      <abilityName>全半角检查</abilityName>
      <candidateList>
        <item>－</item>
      </candidateList>
      <explain>文本全半角错误。</explain>
      <paraID>2717F62A</paraID>
      <start>1</start>
      <end>2</end>
      <status>unmodified</status>
      <modifiedWord/>
      <trackRevisions>false</trackRevisions>
    </reviewItem>
    <reviewItem>
      <errorID>3dc73a8d-d1d9-43f2-8d75-0b8d031e3756</errorID>
      <errorWord>＜</errorWord>
      <group>L1_Format</group>
      <groupName>格式问题</groupName>
      <ability>L2_HalfPunc</ability>
      <abilityName>全半角检查</abilityName>
      <candidateList>
        <item>&lt;</item>
      </candidateList>
      <explain>文本全半角错误。</explain>
      <paraID> E593ABA</paraID>
      <start>0</start>
      <end>1</end>
      <status>unmodified</status>
      <modifiedWord/>
      <trackRevisions>false</trackRevisions>
    </reviewItem>
    <reviewItem>
      <errorID>c558471d-47f3-48f4-8d91-fdd866cd69ad</errorID>
      <errorWord>＜</errorWord>
      <group>L1_Format</group>
      <groupName>格式问题</groupName>
      <ability>L2_HalfPunc</ability>
      <abilityName>全半角检查</abilityName>
      <candidateList>
        <item>&lt;</item>
      </candidateList>
      <explain>文本全半角错误。</explain>
      <paraID>4AD33572</paraID>
      <start>0</start>
      <end>1</end>
      <status>unmodified</status>
      <modifiedWord/>
      <trackRevisions>false</trackRevisions>
    </reviewItem>
    <reviewItem>
      <errorID>9a4f79b6-0d1f-4ebc-8bc1-adca07071bbf</errorID>
      <errorWord>＜</errorWord>
      <group>L1_Format</group>
      <groupName>格式问题</groupName>
      <ability>L2_HalfPunc</ability>
      <abilityName>全半角检查</abilityName>
      <candidateList>
        <item>&lt;</item>
      </candidateList>
      <explain>文本全半角错误。</explain>
      <paraID>12B08BBF</paraID>
      <start>0</start>
      <end>1</end>
      <status>unmodified</status>
      <modifiedWord/>
      <trackRevisions>false</trackRevisions>
    </reviewItem>
    <reviewItem>
      <errorID>205c08e8-a5a5-42bc-b4d5-059103d7d8b0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6FA18C62</paraID>
      <start>0</start>
      <end>2</end>
      <status>unmodified</status>
      <modifiedWord/>
      <trackRevisions>false</trackRevisions>
    </reviewItem>
    <reviewItem>
      <errorID>dfa3280a-11d6-4919-8116-8ff764287802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6C3B3FB6</paraID>
      <start>0</start>
      <end>2</end>
      <status>unmodified</status>
      <modifiedWord/>
      <trackRevisions>false</trackRevisions>
    </reviewItem>
    <reviewItem>
      <errorID>b3cdf2e3-8af2-491e-bccc-5a23e64b0add</errorID>
      <errorWord>，</errorWord>
      <group>L1_Format</group>
      <groupName>格式问题</groupName>
      <ability>L2_HalfPunc</ability>
      <abilityName>全半角检查</abilityName>
      <candidateList>
        <item>,</item>
      </candidateList>
      <explain>文本全半角错误。</explain>
      <paraID>3E1303B3</paraID>
      <start>2</start>
      <end>3</end>
      <status>unmodified</status>
      <modifiedWord/>
      <trackRevisions>false</trackRevisions>
    </reviewItem>
    <reviewItem>
      <errorID>3df40022-8298-4b81-a81e-709a3fad51a5</errorID>
      <errorWord>(</errorWord>
      <group>L1_Format</group>
      <groupName>格式问题</groupName>
      <ability>L2_HalfPunc</ability>
      <abilityName>全半角检查</abilityName>
      <candidateList>
        <item>（</item>
      </candidateList>
      <explain>文本全半角错误。</explain>
      <paraID>6AD2B711</paraID>
      <start>10</start>
      <end>11</end>
      <status>unmodified</status>
      <modifiedWord/>
      <trackRevisions>false</trackRevisions>
    </reviewItem>
    <reviewItem>
      <errorID>2af4979b-3c5e-41a2-a4fd-1088012a94e0</errorID>
      <errorWord>)</errorWord>
      <group>L1_Format</group>
      <groupName>格式问题</groupName>
      <ability>L2_HalfPunc</ability>
      <abilityName>全半角检查</abilityName>
      <candidateList>
        <item>）</item>
      </candidateList>
      <explain>文本全半角错误。</explain>
      <paraID>6AD2B711</paraID>
      <start>16</start>
      <end>17</end>
      <status>unmodified</status>
      <modifiedWord/>
      <trackRevisions>false</trackRevisions>
    </reviewItem>
    <reviewItem>
      <errorID>cba197c4-1867-4476-916c-4ba06f9fa08a</errorID>
      <errorWord>(</errorWord>
      <group>L1_Format</group>
      <groupName>格式问题</groupName>
      <ability>L2_HalfPunc</ability>
      <abilityName>全半角检查</abilityName>
      <candidateList>
        <item>（</item>
      </candidateList>
      <explain>文本全半角错误。</explain>
      <paraID>5DF8D90C</paraID>
      <start>10</start>
      <end>11</end>
      <status>unmodified</status>
      <modifiedWord/>
      <trackRevisions>false</trackRevisions>
    </reviewItem>
    <reviewItem>
      <errorID>67ffde85-6dd9-40f3-9882-a96f26e76c9c</errorID>
      <errorWord>)</errorWord>
      <group>L1_Format</group>
      <groupName>格式问题</groupName>
      <ability>L2_HalfPunc</ability>
      <abilityName>全半角检查</abilityName>
      <candidateList>
        <item>）</item>
      </candidateList>
      <explain>文本全半角错误。</explain>
      <paraID>5DF8D90C</paraID>
      <start>12</start>
      <end>13</end>
      <status>unmodified</status>
      <modifiedWord/>
      <trackRevisions>false</trackRevisions>
    </reviewItem>
    <reviewItem>
      <errorID>2b94e81e-a26c-4c08-88ad-c7c9eaf22c31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4F8D6FC4</paraID>
      <start>0</start>
      <end>2</end>
      <status>unmodified</status>
      <modifiedWord/>
      <trackRevisions>false</trackRevisions>
    </reviewItem>
    <reviewItem>
      <errorID>e83ef1de-a5b8-49f4-a2e7-e0bfbe6986fa</errorID>
      <errorWord>生活废水</errorWord>
      <group>L1_Knowledge</group>
      <groupName>知识性问题</groupName>
      <ability>L2_Term</ability>
      <abilityName>专业术语</abilityName>
      <candidateList>
        <item>生活污水</item>
      </candidateList>
      <explain/>
      <paraID>67339619</paraID>
      <start>53</start>
      <end>57</end>
      <status>unmodified</status>
      <modifiedWord/>
      <trackRevisions>false</trackRevisions>
    </reviewItem>
    <reviewItem>
      <errorID>68ec58bf-95e5-4fda-8587-11e82868211d</errorID>
      <errorWord>其它生活</errorWord>
      <group>L1_Word</group>
      <groupName>字词问题</groupName>
      <ability>L2_Alias</ability>
      <abilityName>也作/曾用词</abilityName>
      <candidateList>
        <item>其他生活</item>
      </candidateList>
      <explain>词汇[其它生活]为不规范表述或旧称，其规范书面表述为[其他生活]。</explain>
      <paraID>6EAAEFC8</paraID>
      <start>18</start>
      <end>22</end>
      <status>unmodified</status>
      <modifiedWord/>
      <trackRevisions>false</trackRevisions>
    </reviewItem>
    <reviewItem>
      <errorID>312cd09e-0603-4987-8c61-b2e72dbd398f</errorID>
      <errorWord>至污</errorWord>
      <group>L1_Word</group>
      <groupName>字词问题</groupName>
      <ability>L2_Typo</ability>
      <abilityName>字词错误</abilityName>
      <candidateList>
        <item>至</item>
      </candidateList>
      <explain>❶〈动〉到：～今｜自始～终｜～死不屈。❷至于：甚～。❸〈副〉极；最：为感谢～｜你要早来，～迟下星期内一定赶到。</explain>
      <paraID>6EAAEFC8</paraID>
      <start>63</start>
      <end>64</end>
      <status>modified</status>
      <modifiedWord>至</modifiedWord>
      <trackRevisions>false</trackRevisions>
    </reviewItem>
    <reviewItem>
      <errorID>fae7bfd4-f990-4762-a1bd-af49b750f3c4</errorID>
      <errorWord>达</errorWord>
      <group>L1_Word</group>
      <groupName>字词问题</groupName>
      <ability>L2_Typo</ability>
      <abilityName>字词错误</abilityName>
      <candidateList>
        <item>达到</item>
      </candidateList>
      <explain>〈动〉到（多指抽象事物或程度）：达得到｜达不到｜目的没有～｜～国际水平。</explain>
      <paraID>6EAAEFC8</paraID>
      <start>76</start>
      <end>77</end>
      <status>unmodified</status>
      <modifiedWord/>
      <trackRevisions>false</trackRevisions>
    </reviewItem>
    <reviewItem>
      <errorID>05e26b11-a7c8-41d6-8a17-e7971e967306</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6EAAEFC8</paraID>
      <start>129</start>
      <end>132</end>
      <status>unmodified</status>
      <modifiedWord/>
      <trackRevisions>false</trackRevisions>
    </reviewItem>
    <reviewItem>
      <errorID>48109df9-45aa-4145-af60-afe00edad7d8</errorID>
      <errorWord>～</errorWord>
      <group>L1_Format</group>
      <groupName>格式问题</groupName>
      <ability>L2_HalfPunc</ability>
      <abilityName>全半角检查</abilityName>
      <candidateList>
        <item>~</item>
      </candidateList>
      <explain>文本全半角错误。</explain>
      <paraID>293910C7</paraID>
      <start>3</start>
      <end>4</end>
      <status>unmodified</status>
      <modifiedWord/>
      <trackRevisions>false</trackRevisions>
    </reviewItem>
    <reviewItem>
      <errorID>2334d77f-3c33-45b8-9895-c22ba82a1b43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5E4A0E91</paraID>
      <start>0</start>
      <end>2</end>
      <status>unmodified</status>
      <modifiedWord/>
      <trackRevisions>false</trackRevisions>
    </reviewItem>
    <reviewItem>
      <errorID>e3a58cab-63f5-4bb2-a7b3-a89669777bf3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7A97929B</paraID>
      <start>0</start>
      <end>2</end>
      <status>unmodified</status>
      <modifiedWord/>
      <trackRevisions>false</trackRevisions>
    </reviewItem>
    <reviewItem>
      <errorID>0a6c294c-db1d-45c3-9554-a49ec5c4b0c8</errorID>
      <errorWord>(</errorWord>
      <group>L1_Format</group>
      <groupName>格式问题</groupName>
      <ability>L2_HalfPunc</ability>
      <abilityName>全半角检查</abilityName>
      <candidateList>
        <item>（</item>
      </candidateList>
      <explain>文本全半角错误。</explain>
      <paraID> 60E6167</paraID>
      <start>4</start>
      <end>5</end>
      <status>unmodified</status>
      <modifiedWord/>
      <trackRevisions>false</trackRevisions>
    </reviewItem>
    <reviewItem>
      <errorID>d51f8d0d-1a03-44c8-b976-4217f13145ea</errorID>
      <errorWord>)</errorWord>
      <group>L1_Format</group>
      <groupName>格式问题</groupName>
      <ability>L2_HalfPunc</ability>
      <abilityName>全半角检查</abilityName>
      <candidateList>
        <item>）</item>
      </candidateList>
      <explain>文本全半角错误。</explain>
      <paraID> 60E6167</paraID>
      <start>10</start>
      <end>11</end>
      <status>unmodified</status>
      <modifiedWord/>
      <trackRevisions>false</trackRevisions>
    </reviewItem>
    <reviewItem>
      <errorID>c72f4a1a-fec2-4ce3-a547-8d7763cd79fa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28388795</paraID>
      <start>0</start>
      <end>2</end>
      <status>unmodified</status>
      <modifiedWord/>
      <trackRevisions>false</trackRevisions>
    </reviewItem>
    <reviewItem>
      <errorID>5d254f6c-e082-40c0-a529-9e6120e50257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694703CF</paraID>
      <start>0</start>
      <end>2</end>
      <status>unmodified</status>
      <modifiedWord/>
      <trackRevisions>false</trackRevisions>
    </reviewItem>
    <reviewItem>
      <errorID>ae67e651-bb0c-42e1-9948-33f6e32b3a61</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245029C4</paraID>
      <start>83</start>
      <end>86</end>
      <status>unmodified</status>
      <modifiedWord/>
      <trackRevisions>false</trackRevisions>
    </reviewItem>
    <reviewItem>
      <errorID>5689aa91-4ab8-40c4-8e04-7d9a745fb5d9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73785DB0</paraID>
      <start>0</start>
      <end>2</end>
      <status>unmodified</status>
      <modifiedWord/>
      <trackRevisions>false</trackRevisions>
    </reviewItem>
    <reviewItem>
      <errorID>101c9cae-44fa-40ef-9582-468f7843d70f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5CE5F430</paraID>
      <start>0</start>
      <end>2</end>
      <status>unmodified</status>
      <modifiedWord/>
      <trackRevisions>false</trackRevisions>
    </reviewItem>
    <reviewItem>
      <errorID>6363e127-1fde-46fa-b87c-bdda09e81032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AABADF5</paraID>
      <start>0</start>
      <end>2</end>
      <status>unmodified</status>
      <modifiedWord/>
      <trackRevisions>false</trackRevisions>
    </reviewItem>
    <reviewItem>
      <errorID>82538a3c-a501-41a4-a0a2-62a1e1590213</errorID>
      <errorWord>)</errorWord>
      <group>L1_Format</group>
      <groupName>格式问题</groupName>
      <ability>L2_HalfPunc</ability>
      <abilityName>全半角检查</abilityName>
      <candidateList>
        <item>）</item>
      </candidateList>
      <explain>文本全半角错误。</explain>
      <paraID>573C11EC</paraID>
      <start>35</start>
      <end>36</end>
      <status>unmodified</status>
      <modifiedWord/>
      <trackRevisions>false</trackRevisions>
    </reviewItem>
    <reviewItem>
      <errorID>f7646234-58c7-4126-99e0-0c43233dd9b3</errorID>
      <errorWord>或其</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1395A901</paraID>
      <start>50</start>
      <end>51</end>
      <status>modified</status>
      <modifiedWord>或</modifiedWord>
      <trackRevisions>false</trackRevisions>
    </reviewItem>
    <reviewItem>
      <errorID>673aea6e-457e-4df5-afe6-6157dc802a81</errorID>
      <errorWord>：</errorWord>
      <group>L1_Format</group>
      <groupName>格式问题</groupName>
      <ability>L2_HalfPunc</ability>
      <abilityName>全半角检查</abilityName>
      <candidateList>
        <item>:</item>
      </candidateList>
      <explain>文本全半角错误。</explain>
      <paraID>72BC8BEF</paraID>
      <start>23</start>
      <end>24</end>
      <status>unmodified</status>
      <modifiedWord/>
      <trackRevisions>false</trackRevisions>
    </reviewItem>
    <reviewItem>
      <errorID>f4608fff-218d-4de7-ab9f-3e9c7f985397</errorID>
      <errorWord>：</errorWord>
      <group>L1_Format</group>
      <groupName>格式问题</groupName>
      <ability>L2_HalfPunc</ability>
      <abilityName>全半角检查</abilityName>
      <candidateList>
        <item>:</item>
      </candidateList>
      <explain>文本全半角错误。</explain>
      <paraID>72BC8BEF</paraID>
      <start>30</start>
      <end>31</end>
      <status>unmodified</status>
      <modifiedWord/>
      <trackRevisions>false</trackRevisions>
    </reviewItem>
    <reviewItem>
      <errorID>ae149a89-b32d-4827-a71a-36f590b3181a</errorID>
      <errorWord>：</errorWord>
      <group>L1_Format</group>
      <groupName>格式问题</groupName>
      <ability>L2_HalfPunc</ability>
      <abilityName>全半角检查</abilityName>
      <candidateList>
        <item>:</item>
      </candidateList>
      <explain>文本全半角错误。</explain>
      <paraID>72BC8BEF</paraID>
      <start>38</start>
      <end>39</end>
      <status>unmodified</status>
      <modifiedWord/>
      <trackRevisions>false</trackRevisions>
    </reviewItem>
    <reviewItem>
      <errorID>1bb69c85-faeb-4d8d-8af6-00d42e0f077a</errorID>
      <errorWord>：</errorWord>
      <group>L1_Format</group>
      <groupName>格式问题</groupName>
      <ability>L2_HalfPunc</ability>
      <abilityName>全半角检查</abilityName>
      <candidateList>
        <item>:</item>
      </candidateList>
      <explain>文本全半角错误。</explain>
      <paraID>72BC8BEF</paraID>
      <start>45</start>
      <end>46</end>
      <status>unmodified</status>
      <modifiedWord/>
      <trackRevisions>false</trackRevisions>
    </reviewItem>
    <reviewItem>
      <errorID>64eb2a1d-687b-478c-8c34-945a2f8ea573</errorID>
      <errorWord>噪声的</errorWord>
      <group>L1_Word</group>
      <groupName>字词问题</groupName>
      <ability>L2_Typo</ability>
      <abilityName>字词错误</abilityName>
      <candidateList>
        <item>噪声</item>
      </candidateList>
      <explain/>
      <paraID>6210A184</paraID>
      <start>29</start>
      <end>32</end>
      <status>unmodified</status>
      <modifiedWord/>
      <trackRevisions>false</trackRevisions>
    </reviewItem>
    <reviewItem>
      <errorID>b4d03c44-5492-4bbe-b06c-c6730b85553e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37B9B13B</paraID>
      <start>0</start>
      <end>2</end>
      <status>unmodified</status>
      <modifiedWord/>
      <trackRevisions>false</trackRevisions>
    </reviewItem>
    <reviewItem>
      <errorID>7f398b72-9d6f-4a73-a3a4-57a65b4e44e5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D23D69B</paraID>
      <start>0</start>
      <end>2</end>
      <status>unmodified</status>
      <modifiedWord/>
      <trackRevisions>false</trackRevisions>
    </reviewItem>
    <reviewItem>
      <errorID>0b11fa71-d3f6-4fb8-8671-cbc9c8bb2c12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4F285F1D</paraID>
      <start>0</start>
      <end>2</end>
      <status>unmodified</status>
      <modifiedWord/>
      <trackRevisions>false</trackRevisions>
    </reviewItem>
    <reviewItem>
      <errorID>cf4b8074-b187-4b11-aca9-8df5b8a0c3e3</errorID>
      <errorWord>-</errorWord>
      <group>L1_Format</group>
      <groupName>格式问题</groupName>
      <ability>L2_HalfPunc</ability>
      <abilityName>全半角检查</abilityName>
      <candidateList>
        <item>－</item>
      </candidateList>
      <explain>文本全半角错误。</explain>
      <paraID>500C514C</paraID>
      <start>46</start>
      <end>47</end>
      <status>unmodified</status>
      <modifiedWord/>
      <trackRevisions>false</trackRevisions>
    </reviewItem>
    <reviewItem>
      <errorID>bb6905fa-9369-41cd-822e-aa84de326165</errorID>
      <errorWord>肥</errorWord>
      <group>L1_Word</group>
      <groupName>字词问题</groupName>
      <ability>L2_Typo</ability>
      <abilityName>字词错误</abilityName>
      <candidateList>
        <item>肥料</item>
      </candidateList>
      <explain/>
      <paraID>500C514C</paraID>
      <start>59</start>
      <end>60</end>
      <status>unmodified</status>
      <modifiedWord/>
      <trackRevisions>false</trackRevisions>
    </reviewItem>
    <reviewItem>
      <errorID>a28a2d7d-cd51-454b-bf38-541c015c8d48</errorID>
      <errorWord>。</errorWord>
      <group>L1_Format</group>
      <groupName>格式问题</groupName>
      <ability>L2_HalfPunc</ability>
      <abilityName>全半角检查</abilityName>
      <candidateList>
        <item>.</item>
      </candidateList>
      <explain>文本全半角错误。</explain>
      <paraID>3754A2CE</paraID>
      <start>11</start>
      <end>12</end>
      <status>unmodified</status>
      <modifiedWord/>
      <trackRevisions>false</trackRevisions>
    </reviewItem>
    <reviewItem>
      <errorID>8c4362ca-a23b-462c-88cd-8d366fdb063a</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4FD68BB8</paraID>
      <start>0</start>
      <end>2</end>
      <status>unmodified</status>
      <modifiedWord/>
      <trackRevisions>false</trackRevisions>
    </reviewItem>
    <reviewItem>
      <errorID>2098afdd-1e58-4e1e-809d-200c188aedfd</errorID>
      <errorWord>（</errorWord>
      <group>L1_Punc</group>
      <groupName>标点问题</groupName>
      <ability>L2_Punc</ability>
      <abilityName>标点符号检查</abilityName>
      <candidateList/>
      <explain/>
      <paraID>4FD68BB8</paraID>
      <start>8</start>
      <end>9</end>
      <status>unmodified</status>
      <modifiedWord/>
      <trackRevisions>false</trackRevisions>
    </reviewItem>
    <reviewItem>
      <errorID>df77841d-d65a-4f82-8a09-22fbde272c6e</errorID>
      <errorWord>距离距</errorWord>
      <group>L1_Word</group>
      <groupName>字词问题</groupName>
      <ability>L2_Typo</ability>
      <abilityName>字词错误</abilityName>
      <candidateList>
        <item>距离</item>
      </candidateList>
      <explain>❶〈动〉在空间或时间上相隔：天津～北京约有一百二十公里｜现在～唐代已经有一千多年。❷〈名〉相隔的长度：等～｜拉开一定的～◇他的看法和你有～。</explain>
      <paraID>4FD68BB8</paraID>
      <start>25</start>
      <end>27</end>
      <status>modified</status>
      <modifiedWord>距离</modifiedWord>
      <trackRevisions>false</trackRevisions>
    </reviewItem>
    <reviewItem>
      <errorID>51463ea6-af0c-4959-b280-22b75ac687ab</errorID>
      <errorWord>释放和</errorWord>
      <group>L1_Word</group>
      <groupName>字词问题</groupName>
      <ability>L2_Typo</ability>
      <abilityName>字词错误</abilityName>
      <candidateList>
        <item>释放</item>
      </candidateList>
      <explain/>
      <paraID>4DDC12E2</paraID>
      <start>84</start>
      <end>86</end>
      <status>modified</status>
      <modifiedWord>释放</modifiedWord>
      <trackRevisions>false</trackRevisions>
    </reviewItem>
    <reviewItem>
      <errorID>fc8baea7-b09e-4713-a2f4-20e81c8a4ac3</errorID>
      <errorWord>速</errorWord>
      <group>L1_Word</group>
      <groupName>字词问题</groupName>
      <ability>L2_Typo</ability>
      <abilityName>字词错误</abilityName>
      <candidateList>
        <item>速度</item>
      </candidateList>
      <explain>〈名〉❶运动物体在某一个方向上单位时间内所通过的距离。❷泛指快慢的程度：高～｜放慢～。</explain>
      <paraID>2558A314</paraID>
      <start>2</start>
      <end>3</end>
      <status>unmodified</status>
      <modifiedWord/>
      <trackRevisions>false</trackRevisions>
    </reviewItem>
    <reviewItem>
      <errorID>24516fa3-7432-44b2-a8ca-5e867c8a9084</errorID>
      <errorWord>速</errorWord>
      <group>L1_Word</group>
      <groupName>字词问题</groupName>
      <ability>L2_Typo</ability>
      <abilityName>字词错误</abilityName>
      <candidateList>
        <item>速度</item>
      </candidateList>
      <explain>〈名〉❶运动物体在某一个方向上单位时间内所通过的距离。❷泛指快慢的程度：高～｜放慢～。</explain>
      <paraID>4C3BA99B</paraID>
      <start>2</start>
      <end>3</end>
      <status>unmodified</status>
      <modifiedWord/>
      <trackRevisions>false</trackRevisions>
    </reviewItem>
    <reviewItem>
      <errorID>d0e926b4-1081-4a0a-8a6a-c6508555c40c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54FB4FEA</paraID>
      <start>0</start>
      <end>2</end>
      <status>unmodified</status>
      <modifiedWord/>
      <trackRevisions>false</trackRevisions>
    </reviewItem>
    <reviewItem>
      <errorID>dbaa309b-3ca6-44b5-9e4a-21f62d5a55ac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5277DF65</paraID>
      <start>0</start>
      <end>2</end>
      <status>unmodified</status>
      <modifiedWord/>
      <trackRevisions>false</trackRevisions>
    </reviewItem>
    <reviewItem>
      <errorID>8869aede-e7d9-4c3c-819b-9f624781e26f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19874A7</paraID>
      <start>0</start>
      <end>2</end>
      <status>unmodified</status>
      <modifiedWord/>
      <trackRevisions>false</trackRevisions>
    </reviewItem>
    <reviewItem>
      <errorID>bbaf58fe-ff75-4c42-9679-5be6e20c3b9e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50E8498E</paraID>
      <start>0</start>
      <end>2</end>
      <status>unmodified</status>
      <modifiedWord/>
      <trackRevisions>false</trackRevisions>
    </reviewItem>
    <reviewItem>
      <errorID>ef5f4c2f-420e-4566-bdb5-60a891aaae3f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3985106D</paraID>
      <start>0</start>
      <end>2</end>
      <status>unmodified</status>
      <modifiedWord/>
      <trackRevisions>false</trackRevisions>
    </reviewItem>
    <reviewItem>
      <errorID>9d0da3fc-11b3-414d-ac84-2c2783f90896</errorID>
      <errorWord>不在</errorWord>
      <group>L1_Word</group>
      <groupName>字词问题</groupName>
      <ability>L2_Typo</ability>
      <abilityName>字词错误</abilityName>
      <candidateList>
        <item>不再</item>
      </candidateList>
      <explain/>
      <paraID>6606FC2E</paraID>
      <start>53</start>
      <end>55</end>
      <status>modified</status>
      <modifiedWord>不再</modifiedWord>
      <trackRevisions>false</trackRevisions>
    </reviewItem>
    <reviewItem>
      <errorID>4bc2dbc1-a23a-4ee2-af87-1fb8a009d508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3F3DD01D</paraID>
      <start>0</start>
      <end>2</end>
      <status>unmodified</status>
      <modifiedWord/>
      <trackRevisions>false</trackRevisions>
    </reviewItem>
    <reviewItem>
      <errorID>9b93c614-3f1a-4e9a-8526-cc7bd495f5ee</errorID>
      <errorWord>（</errorWord>
      <group>L1_Format</group>
      <groupName>格式问题</groupName>
      <ability>L2_HalfPunc</ability>
      <abilityName>全半角检查</abilityName>
      <candidateList>
        <item>(</item>
      </candidateList>
      <explain>文本全半角错误。</explain>
      <paraID>40D9A9F8</paraID>
      <start>0</start>
      <end>1</end>
      <status>unmodified</status>
      <modifiedWord/>
      <trackRevisions>false</trackRevisions>
    </reviewItem>
    <reviewItem>
      <errorID>ba0662c6-c5b2-4224-a4c0-6713ff03557e</errorID>
      <errorWord>）</errorWord>
      <group>L1_Format</group>
      <groupName>格式问题</groupName>
      <ability>L2_HalfPunc</ability>
      <abilityName>全半角检查</abilityName>
      <candidateList>
        <item>)</item>
      </candidateList>
      <explain>文本全半角错误。</explain>
      <paraID>40D9A9F8</paraID>
      <start>6</start>
      <end>7</end>
      <status>unmodified</status>
      <modifiedWord/>
      <trackRevisions>false</trackRevisions>
    </reviewItem>
    <reviewItem>
      <errorID>8cffe46c-2ca9-4514-ad35-bf4c0dbb60b0</errorID>
      <errorWord>（</errorWord>
      <group>L1_Format</group>
      <groupName>格式问题</groupName>
      <ability>L2_HalfPunc</ability>
      <abilityName>全半角检查</abilityName>
      <candidateList>
        <item>(</item>
      </candidateList>
      <explain>文本全半角错误。</explain>
      <paraID>43EB91A6</paraID>
      <start>0</start>
      <end>1</end>
      <status>unmodified</status>
      <modifiedWord/>
      <trackRevisions>false</trackRevisions>
    </reviewItem>
    <reviewItem>
      <errorID>8575ad9a-3cfd-46c7-bae5-6f3f9527ae71</errorID>
      <errorWord>）</errorWord>
      <group>L1_Format</group>
      <groupName>格式问题</groupName>
      <ability>L2_HalfPunc</ability>
      <abilityName>全半角检查</abilityName>
      <candidateList>
        <item>)</item>
      </candidateList>
      <explain>文本全半角错误。</explain>
      <paraID>43EB91A6</paraID>
      <start>6</start>
      <end>7</end>
      <status>unmodified</status>
      <modifiedWord/>
      <trackRevisions>false</trackRevisions>
    </reviewItem>
    <reviewItem>
      <errorID>e361aad3-9061-405f-9dfc-5c502e4f8930</errorID>
      <errorWord>（</errorWord>
      <group>L1_Format</group>
      <groupName>格式问题</groupName>
      <ability>L2_HalfPunc</ability>
      <abilityName>全半角检查</abilityName>
      <candidateList>
        <item>(</item>
      </candidateList>
      <explain>文本全半角错误。</explain>
      <paraID>13BA527C</paraID>
      <start>0</start>
      <end>1</end>
      <status>unmodified</status>
      <modifiedWord/>
      <trackRevisions>false</trackRevisions>
    </reviewItem>
    <reviewItem>
      <errorID>bc3bc7fb-ac25-4810-ad11-cc13626d3461</errorID>
      <errorWord>，</errorWord>
      <group>L1_Format</group>
      <groupName>格式问题</groupName>
      <ability>L2_HalfPunc</ability>
      <abilityName>全半角检查</abilityName>
      <candidateList>
        <item>,</item>
      </candidateList>
      <explain>文本全半角错误。</explain>
      <paraID>13BA527C</paraID>
      <start>10</start>
      <end>11</end>
      <status>unmodified</status>
      <modifiedWord/>
      <trackRevisions>false</trackRevisions>
    </reviewItem>
    <reviewItem>
      <errorID>853039ce-4b9a-400a-9124-29bc6954476c</errorID>
      <errorWord>）</errorWord>
      <group>L1_Format</group>
      <groupName>格式问题</groupName>
      <ability>L2_HalfPunc</ability>
      <abilityName>全半角检查</abilityName>
      <candidateList>
        <item>)</item>
      </candidateList>
      <explain>文本全半角错误。</explain>
      <paraID>13BA527C</paraID>
      <start>63</start>
      <end>64</end>
      <status>unmodified</status>
      <modifiedWord/>
      <trackRevisions>false</trackRevisions>
    </reviewItem>
    <reviewItem>
      <errorID>fbbccb8e-be1d-45ec-bed4-7471003eb148</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7D109D06</paraID>
      <start>9</start>
      <end>12</end>
      <status>unmodified</status>
      <modifiedWord/>
      <trackRevisions>false</trackRevisions>
    </reviewItem>
    <reviewItem>
      <errorID>e039b8f5-0df8-4825-9702-8e7a238b1f55</errorID>
      <errorWord>（</errorWord>
      <group>L1_Format</group>
      <groupName>格式问题</groupName>
      <ability>L2_HalfPunc</ability>
      <abilityName>全半角检查</abilityName>
      <candidateList>
        <item>(</item>
      </candidateList>
      <explain>文本全半角错误。</explain>
      <paraID>2C76E8FC</paraID>
      <start>0</start>
      <end>1</end>
      <status>unmodified</status>
      <modifiedWord/>
      <trackRevisions>false</trackRevisions>
    </reviewItem>
    <reviewItem>
      <errorID>56a7015b-7c78-429c-ab64-0d840bb4f2de</errorID>
      <errorWord>，</errorWord>
      <group>L1_Format</group>
      <groupName>格式问题</groupName>
      <ability>L2_HalfPunc</ability>
      <abilityName>全半角检查</abilityName>
      <candidateList>
        <item>,</item>
      </candidateList>
      <explain>文本全半角错误。</explain>
      <paraID>2C76E8FC</paraID>
      <start>10</start>
      <end>11</end>
      <status>unmodified</status>
      <modifiedWord/>
      <trackRevisions>false</trackRevisions>
    </reviewItem>
    <reviewItem>
      <errorID>3497b54e-24d8-4814-9cca-f8f48e72ca1f</errorID>
      <errorWord>）</errorWord>
      <group>L1_Format</group>
      <groupName>格式问题</groupName>
      <ability>L2_HalfPunc</ability>
      <abilityName>全半角检查</abilityName>
      <candidateList>
        <item>)</item>
      </candidateList>
      <explain>文本全半角错误。</explain>
      <paraID>2C76E8FC</paraID>
      <start>22</start>
      <end>23</end>
      <status>unmodified</status>
      <modifiedWord/>
      <trackRevisions>false</trackRevisions>
    </reviewItem>
    <reviewItem>
      <errorID>dfd52082-57b3-4d41-baea-4331f1f33995</errorID>
      <errorWord>（</errorWord>
      <group>L1_Format</group>
      <groupName>格式问题</groupName>
      <ability>L2_HalfPunc</ability>
      <abilityName>全半角检查</abilityName>
      <candidateList>
        <item>(</item>
      </candidateList>
      <explain>文本全半角错误。</explain>
      <paraID>50B07964</paraID>
      <start>0</start>
      <end>1</end>
      <status>unmodified</status>
      <modifiedWord/>
      <trackRevisions>false</trackRevisions>
    </reviewItem>
    <reviewItem>
      <errorID>81daf5a4-8d51-4406-970c-3f70e87437ff</errorID>
      <errorWord>，</errorWord>
      <group>L1_Format</group>
      <groupName>格式问题</groupName>
      <ability>L2_HalfPunc</ability>
      <abilityName>全半角检查</abilityName>
      <candidateList>
        <item>,</item>
      </candidateList>
      <explain>文本全半角错误。</explain>
      <paraID>50B07964</paraID>
      <start>11</start>
      <end>12</end>
      <status>unmodified</status>
      <modifiedWord/>
      <trackRevisions>false</trackRevisions>
    </reviewItem>
    <reviewItem>
      <errorID>e3dcce3c-64c2-429a-8b3c-4b97baa7f304</errorID>
      <errorWord>）</errorWord>
      <group>L1_Format</group>
      <groupName>格式问题</groupName>
      <ability>L2_HalfPunc</ability>
      <abilityName>全半角检查</abilityName>
      <candidateList>
        <item>)</item>
      </candidateList>
      <explain>文本全半角错误。</explain>
      <paraID>50B07964</paraID>
      <start>25</start>
      <end>26</end>
      <status>unmodified</status>
      <modifiedWord/>
      <trackRevisions>false</trackRevisions>
    </reviewItem>
    <reviewItem>
      <errorID>cee8bb60-29f7-4169-8c16-fcbb00dd3805</errorID>
      <errorWord>（</errorWord>
      <group>L1_Format</group>
      <groupName>格式问题</groupName>
      <ability>L2_HalfPunc</ability>
      <abilityName>全半角检查</abilityName>
      <candidateList>
        <item>(</item>
      </candidateList>
      <explain>文本全半角错误。</explain>
      <paraID>30408890</paraID>
      <start>0</start>
      <end>1</end>
      <status>unmodified</status>
      <modifiedWord/>
      <trackRevisions>false</trackRevisions>
    </reviewItem>
    <reviewItem>
      <errorID>0d53cb94-2eba-4e40-9450-503ec15ecdf9</errorID>
      <errorWord>，</errorWord>
      <group>L1_Format</group>
      <groupName>格式问题</groupName>
      <ability>L2_HalfPunc</ability>
      <abilityName>全半角检查</abilityName>
      <candidateList>
        <item>,</item>
      </candidateList>
      <explain>文本全半角错误。</explain>
      <paraID>30408890</paraID>
      <start>12</start>
      <end>13</end>
      <status>unmodified</status>
      <modifiedWord/>
      <trackRevisions>false</trackRevisions>
    </reviewItem>
    <reviewItem>
      <errorID>fa1a6bd5-e74c-4300-956c-6c97a61c3d2f</errorID>
      <errorWord>）</errorWord>
      <group>L1_Format</group>
      <groupName>格式问题</groupName>
      <ability>L2_HalfPunc</ability>
      <abilityName>全半角检查</abilityName>
      <candidateList>
        <item>)</item>
      </candidateList>
      <explain>文本全半角错误。</explain>
      <paraID>30408890</paraID>
      <start>26</start>
      <end>27</end>
      <status>unmodified</status>
      <modifiedWord/>
      <trackRevisions>false</trackRevisions>
    </reviewItem>
    <reviewItem>
      <errorID>dd0e59a3-c14c-4c92-be81-1d63f4376d20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7A09AC20</paraID>
      <start>0</start>
      <end>2</end>
      <status>unmodified</status>
      <modifiedWord/>
      <trackRevisions>false</trackRevisions>
    </reviewItem>
    <reviewItem>
      <errorID>da212be1-4601-44f1-8b1f-04af98c92801</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5971B2DC</paraID>
      <start>0</start>
      <end>3</end>
      <status>unmodified</status>
      <modifiedWord/>
      <trackRevisions>false</trackRevisions>
    </reviewItem>
    <reviewItem>
      <errorID>676a41c3-b06c-4e06-a10d-0f470c58a00f</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3F703128</paraID>
      <start>0</start>
      <end>3</end>
      <status>unmodified</status>
      <modifiedWord/>
      <trackRevisions>false</trackRevisions>
    </reviewItem>
    <reviewItem>
      <errorID>a07616c4-fc14-4016-a9f1-26956e7b913a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6C1F04AE</paraID>
      <start>0</start>
      <end>2</end>
      <status>unmodified</status>
      <modifiedWord/>
      <trackRevisions>false</trackRevisions>
    </reviewItem>
    <reviewItem>
      <errorID>54387967-1cb8-4e4b-bfad-dac7da1cfde4</errorID>
      <errorWord>套</errorWord>
      <group>L1_Knowledge</group>
      <groupName>知识性问题</groupName>
      <ability>L2_Knowledge</ability>
      <abilityName>其他知识</abilityName>
      <candidateList>
        <item>处</item>
      </candidateList>
      <explain>（處、䖏、処）chù〈名〉❶地方：住～｜心灵深～｜大～着眼，小～着手。❷机关组织系统中按业务划分的单位（级别一般比局低，比科高），也指某些机关：科研～｜总务～｜办事～｜联络～。</explain>
      <paraID>42661A60</paraID>
      <start>40</start>
      <end>41</end>
      <status>unmodified</status>
      <modifiedWord/>
      <trackRevisions>false</trackRevisions>
    </reviewItem>
    <reviewItem>
      <errorID>929fb141-72e7-4af9-9b81-ba5c0fba1131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1358F708</paraID>
      <start>169</start>
      <end>170</end>
      <status>unmodified</status>
      <modifiedWord/>
      <trackRevisions>false</trackRevisions>
    </reviewItem>
    <reviewItem>
      <errorID>f17dc66f-1da3-4d5a-987c-fb13c1f5f489</errorID>
      <errorWord>处</errorWord>
      <group>L1_Word</group>
      <groupName>字词问题</groupName>
      <ability>L2_Typo</ability>
      <abilityName>字词错误</abilityName>
      <candidateList>
        <item>处理</item>
      </candidateList>
      <explain/>
      <paraID> 968047C</paraID>
      <start>29</start>
      <end>30</end>
      <status>unmodified</status>
      <modifiedWord/>
      <trackRevisions>false</trackRevisions>
    </reviewItem>
    <reviewItem>
      <errorID>4a4d50f4-491e-4e85-bce2-856fbab5722f</errorID>
      <errorWord>（</errorWord>
      <group>L1_Punc</group>
      <groupName>标点问题</groupName>
      <ability>L2_Punc</ability>
      <abilityName>标点符号检查</abilityName>
      <candidateList/>
      <explain>同一形式括号套用。</explain>
      <paraID>778BE3CB</paraID>
      <start>15</start>
      <end>16</end>
      <status>unmodified</status>
      <modifiedWord/>
      <trackRevisions>false</trackRevisions>
    </reviewItem>
    <reviewItem>
      <errorID>55c90ce2-d9e7-40af-bdeb-b2e3711874b7</errorID>
      <errorWord>）</errorWord>
      <group>L1_Punc</group>
      <groupName>标点问题</groupName>
      <ability>L2_Punc</ability>
      <abilityName>标点符号检查</abilityName>
      <candidateList/>
      <explain>同一形式括号套用。</explain>
      <paraID>778BE3CB</paraID>
      <start>18</start>
      <end>19</end>
      <status>unmodified</status>
      <modifiedWord/>
      <trackRevisions>false</trackRevisions>
    </reviewItem>
    <reviewItem>
      <errorID>b2164e8c-843b-43bb-a243-4771a4505765</errorID>
      <errorWord>（</errorWord>
      <group>L1_Punc</group>
      <groupName>标点问题</groupName>
      <ability>L2_Punc</ability>
      <abilityName>标点符号检查</abilityName>
      <candidateList/>
      <explain>同一形式括号套用。</explain>
      <paraID>778BE3CB</paraID>
      <start>23</start>
      <end>24</end>
      <status>unmodified</status>
      <modifiedWord/>
      <trackRevisions>false</trackRevisions>
    </reviewItem>
    <reviewItem>
      <errorID>4b17e222-13e5-4f93-8088-fa553271116f</errorID>
      <errorWord>）</errorWord>
      <group>L1_Punc</group>
      <groupName>标点问题</groupName>
      <ability>L2_Punc</ability>
      <abilityName>标点符号检查</abilityName>
      <candidateList/>
      <explain>同一形式括号套用。</explain>
      <paraID>778BE3CB</paraID>
      <start>26</start>
      <end>27</end>
      <status>unmodified</status>
      <modifiedWord/>
      <trackRevisions>false</trackRevisions>
    </reviewItem>
    <reviewItem>
      <errorID>1f5d0bd0-b387-47c9-b3b4-80cb769e09ce</errorID>
      <errorWord>-</errorWord>
      <group>L1_Format</group>
      <groupName>格式问题</groupName>
      <ability>L2_HalfPunc</ability>
      <abilityName>全半角检查</abilityName>
      <candidateList>
        <item>－</item>
      </candidateList>
      <explain>文本全半角错误。</explain>
      <paraID>55B6009A</paraID>
      <start>11</start>
      <end>12</end>
      <status>unmodified</status>
      <modifiedWord/>
      <trackRevisions>false</trackRevisions>
    </reviewItem>
    <reviewItem>
      <errorID>f15b3e3a-18da-4e0c-944b-712cd26e6d91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52434A61</paraID>
      <start>0</start>
      <end>2</end>
      <status>unmodified</status>
      <modifiedWord/>
      <trackRevisions>false</trackRevisions>
    </reviewItem>
    <reviewItem>
      <errorID>c04f0fe0-593b-43d5-bf3c-749f291c89e3</errorID>
      <errorWord>飘浮物</errorWord>
      <group>L1_Word</group>
      <groupName>字词问题</groupName>
      <ability>L2_Typo</ability>
      <abilityName>字词错误</abilityName>
      <candidateList>
        <item>漂浮物</item>
      </candidateList>
      <explain>存在发音相同字词的误用。</explain>
      <paraID>71EB01B1</paraID>
      <start>87</start>
      <end>90</end>
      <status>modified</status>
      <modifiedWord>漂浮物</modifiedWord>
      <trackRevisions>false</trackRevisions>
    </reviewItem>
    <reviewItem>
      <errorID>6e87eb4f-9c37-407e-83e2-29955dabcc22</errorID>
      <errorWord>不在</errorWord>
      <group>L1_Word</group>
      <groupName>字词问题</groupName>
      <ability>L2_Typo</ability>
      <abilityName>字词错误</abilityName>
      <candidateList>
        <item>不再</item>
      </candidateList>
      <explain/>
      <paraID>71EB01B1</paraID>
      <start>130</start>
      <end>132</end>
      <status>modified</status>
      <modifiedWord>不再</modifiedWord>
      <trackRevisions>false</trackRevisions>
    </reviewItem>
    <reviewItem>
      <errorID>05a0e2f2-9f4a-42c6-8124-922c0ff0d7f3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1CEB60C2</paraID>
      <start>0</start>
      <end>2</end>
      <status>unmodified</status>
      <modifiedWord/>
      <trackRevisions>false</trackRevisions>
    </reviewItem>
    <reviewItem>
      <errorID>0ac67ce4-866b-464c-89f5-fe698d229c28</errorID>
      <errorWord>强氧化反应</errorWord>
      <group>L1_Knowledge</group>
      <groupName>知识性问题</groupName>
      <ability>L2_Term</ability>
      <abilityName>专业术语</abilityName>
      <candidateList>
        <item>共氧化反应</item>
      </candidateList>
      <explain/>
      <paraID>6B146699</paraID>
      <start>47</start>
      <end>52</end>
      <status>unmodified</status>
      <modifiedWord/>
      <trackRevisions>false</trackRevisions>
    </reviewItem>
    <reviewItem>
      <errorID>126c5b99-992b-49d3-8593-767aeab882b6</errorID>
      <errorWord>加入加入</errorWord>
      <group>L1_Word</group>
      <groupName>字词问题</groupName>
      <ability>L2_Typo</ability>
      <abilityName>字词错误</abilityName>
      <candidateList>
        <item>加入</item>
      </candidateList>
      <explain>〈动〉❶加上；掺进去：～食糖少许。❷参加进去：～工会｜～足球队。</explain>
      <paraID>6B146699</paraID>
      <start>55</start>
      <end>59</end>
      <status>unmodified</status>
      <modifiedWord/>
      <trackRevisions>false</trackRevisions>
    </reviewItem>
    <reviewItem>
      <errorID>98410103-3787-47a8-8265-a6e189a5fdaa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5529963F</paraID>
      <start>0</start>
      <end>2</end>
      <status>unmodified</status>
      <modifiedWord/>
      <trackRevisions>false</trackRevisions>
    </reviewItem>
    <reviewItem>
      <errorID>2e09e80f-c956-4839-bd13-4f74797a6d74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5538C7CC</paraID>
      <start>0</start>
      <end>2</end>
      <status>unmodified</status>
      <modifiedWord/>
      <trackRevisions>false</trackRevisions>
    </reviewItem>
    <reviewItem>
      <errorID>f842d50b-b354-4faf-b2b3-5bc560678278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69D4A9AD</paraID>
      <start>0</start>
      <end>2</end>
      <status>unmodified</status>
      <modifiedWord/>
      <trackRevisions>false</trackRevisions>
    </reviewItem>
    <reviewItem>
      <errorID>017d3d3e-48ac-4b3b-bfa9-63f34e91eade</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280922AB</paraID>
      <start>9</start>
      <end>12</end>
      <status>unmodified</status>
      <modifiedWord/>
      <trackRevisions>false</trackRevisions>
    </reviewItem>
    <reviewItem>
      <errorID>6ea4f3fd-f4e2-42c3-bab7-8a6a7b72fd5e</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1A251107</paraID>
      <start>62</start>
      <end>65</end>
      <status>unmodified</status>
      <modifiedWord/>
      <trackRevisions>false</trackRevisions>
    </reviewItem>
    <reviewItem>
      <errorID>c3de769e-d57e-4925-9b8f-19183383ee7f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449825AF</paraID>
      <start>0</start>
      <end>2</end>
      <status>unmodified</status>
      <modifiedWord/>
      <trackRevisions>false</trackRevisions>
    </reviewItem>
    <reviewItem>
      <errorID>2e88a7e5-e226-4f1c-b8ce-ff7247464a86</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7B0F6E2B</paraID>
      <start>80</start>
      <end>83</end>
      <status>unmodified</status>
      <modifiedWord/>
      <trackRevisions>false</trackRevisions>
    </reviewItem>
    <reviewItem>
      <errorID>453f91e0-2342-4f46-8c09-9c5a98f4312f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6C38F4E8</paraID>
      <start>0</start>
      <end>2</end>
      <status>unmodified</status>
      <modifiedWord/>
      <trackRevisions>false</trackRevisions>
    </reviewItem>
    <reviewItem>
      <errorID>3c3e6081-86db-49d8-9a11-2cba58a74d39</errorID>
      <errorWord>（</errorWord>
      <group>L1_Format</group>
      <groupName>格式问题</groupName>
      <ability>L2_HalfPunc</ability>
      <abilityName>全半角检查</abilityName>
      <candidateList>
        <item>(</item>
      </candidateList>
      <explain>文本全半角错误。</explain>
      <paraID>7F3213A7</paraID>
      <start>0</start>
      <end>1</end>
      <status>unmodified</status>
      <modifiedWord/>
      <trackRevisions>false</trackRevisions>
    </reviewItem>
    <reviewItem>
      <errorID>fb593b28-f8dc-4ca8-a6b0-f663657f3f57</errorID>
      <errorWord>）</errorWord>
      <group>L1_Format</group>
      <groupName>格式问题</groupName>
      <ability>L2_HalfPunc</ability>
      <abilityName>全半角检查</abilityName>
      <candidateList>
        <item>)</item>
      </candidateList>
      <explain>文本全半角错误。</explain>
      <paraID>7F3213A7</paraID>
      <start>6</start>
      <end>7</end>
      <status>unmodified</status>
      <modifiedWord/>
      <trackRevisions>false</trackRevisions>
    </reviewItem>
    <reviewItem>
      <errorID>f4493c97-22ae-441a-b34c-90ffeb61adc7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28A90734</paraID>
      <start>0</start>
      <end>2</end>
      <status>unmodified</status>
      <modifiedWord/>
      <trackRevisions>false</trackRevisions>
    </reviewItem>
    <reviewItem>
      <errorID>3afb9d28-68f3-4539-8ad2-d4996b27c3ce</errorID>
      <errorWord>)</errorWord>
      <group>L1_Format</group>
      <groupName>格式问题</groupName>
      <ability>L2_HalfPunc</ability>
      <abilityName>全半角检查</abilityName>
      <candidateList>
        <item>）</item>
      </candidateList>
      <explain>文本全半角错误。</explain>
      <paraID>1AF9A25C</paraID>
      <start>92</start>
      <end>93</end>
      <status>unmodified</status>
      <modifiedWord/>
      <trackRevisions>false</trackRevisions>
    </reviewItem>
    <reviewItem>
      <errorID>d7da0e31-a9d7-4756-8ffc-e7b3a02a43ac</errorID>
      <errorWord>源源</errorWord>
      <group>L1_Word</group>
      <groupName>字词问题</groupName>
      <ability>L2_Typo</ability>
      <abilityName>字词错误</abilityName>
      <candidateList>
        <item>源</item>
      </candidateList>
      <explain/>
      <paraID>30AEAD0D</paraID>
      <start>1</start>
      <end>3</end>
      <status>unmodified</status>
      <modifiedWord/>
      <trackRevisions>false</trackRevisions>
    </reviewItem>
    <reviewItem>
      <errorID>3e5fed78-1d64-4e54-92ad-200746c24826</errorID>
      <errorWord>（</errorWord>
      <group>L1_Format</group>
      <groupName>格式问题</groupName>
      <ability>L2_HalfPunc</ability>
      <abilityName>全半角检查</abilityName>
      <candidateList>
        <item>(</item>
      </candidateList>
      <explain>文本全半角错误。</explain>
      <paraID>75F1FCA0</paraID>
      <start>0</start>
      <end>1</end>
      <status>unmodified</status>
      <modifiedWord/>
      <trackRevisions>false</trackRevisions>
    </reviewItem>
    <reviewItem>
      <errorID>c4c583d3-600a-483f-8c99-df4414404778</errorID>
      <errorWord>）</errorWord>
      <group>L1_Format</group>
      <groupName>格式问题</groupName>
      <ability>L2_HalfPunc</ability>
      <abilityName>全半角检查</abilityName>
      <candidateList>
        <item>)</item>
      </candidateList>
      <explain>文本全半角错误。</explain>
      <paraID>75F1FCA0</paraID>
      <start>2</start>
      <end>3</end>
      <status>unmodified</status>
      <modifiedWord/>
      <trackRevisions>false</trackRevisions>
    </reviewItem>
    <reviewItem>
      <errorID>562b29cc-9d42-42b4-85dd-10858b69881e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1212548A</paraID>
      <start>0</start>
      <end>2</end>
      <status>unmodified</status>
      <modifiedWord/>
      <trackRevisions>false</trackRevisions>
    </reviewItem>
    <reviewItem>
      <errorID>aa927902-0783-4b79-8d8d-a14faf75f1e7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7D6D6086</paraID>
      <start>0</start>
      <end>2</end>
      <status>unmodified</status>
      <modifiedWord/>
      <trackRevisions>false</trackRevisions>
    </reviewItem>
    <reviewItem>
      <errorID>c28bbc40-1111-4437-9bbc-cd2ef6102442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377E6141</paraID>
      <start>0</start>
      <end>2</end>
      <status>unmodified</status>
      <modifiedWord/>
      <trackRevisions>false</trackRevisions>
    </reviewItem>
    <reviewItem>
      <errorID>d7e94758-6fcc-4ae2-a092-79fbe06e56b9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53214F7D</paraID>
      <start>0</start>
      <end>2</end>
      <status>unmodified</status>
      <modifiedWord/>
      <trackRevisions>false</trackRevisions>
    </reviewItem>
    <reviewItem>
      <errorID>2d472ea4-941b-4e68-bb48-94ce64eff574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6C3211D9</paraID>
      <start>0</start>
      <end>2</end>
      <status>unmodified</status>
      <modifiedWord/>
      <trackRevisions>false</trackRevisions>
    </reviewItem>
    <reviewItem>
      <errorID>9366eddf-1008-4c3b-a475-b97222c34f2e</errorID>
      <errorWord>.</errorWord>
      <group>L1_Format</group>
      <groupName>格式问题</groupName>
      <ability>L2_HalfPunc</ability>
      <abilityName>全半角检查</abilityName>
      <candidateList>
        <item>。</item>
      </candidateList>
      <explain>文本全半角错误。</explain>
      <paraID>1D207010</paraID>
      <start>29</start>
      <end>30</end>
      <status>unmodified</status>
      <modifiedWord/>
      <trackRevisions>false</trackRevisions>
    </reviewItem>
    <reviewItem>
      <errorID>f7b37abb-ff8b-4afe-a026-aef655f92e85</errorID>
      <errorWord>，，</errorWord>
      <group>L1_Punc</group>
      <groupName>标点问题</groupName>
      <ability>L2_Punc</ability>
      <abilityName>标点符号检查</abilityName>
      <candidateList>
        <item>，</item>
      </candidateList>
      <explain/>
      <paraID>1D207010</paraID>
      <start>32</start>
      <end>34</end>
      <status>unmodified</status>
      <modifiedWord/>
      <trackRevisions>false</trackRevisions>
    </reviewItem>
    <reviewItem>
      <errorID>b522946f-0029-4eaa-9081-6b506af556a8</errorID>
      <errorWord>生活废水</errorWord>
      <group>L1_Knowledge</group>
      <groupName>知识性问题</groupName>
      <ability>L2_Term</ability>
      <abilityName>专业术语</abilityName>
      <candidateList>
        <item>生活污水</item>
      </candidateList>
      <explain/>
      <paraID>5F3F60F8</paraID>
      <start>7</start>
      <end>11</end>
      <status>modified</status>
      <modifiedWord>生活污水</modifiedWord>
      <trackRevisions>false</trackRevisions>
    </reviewItem>
    <reviewItem>
      <errorID>4fa0421a-368e-4874-b865-c1a39e35e091</errorID>
      <errorWord>项目进</errorWord>
      <group>L1_Word</group>
      <groupName>字词问题</groupName>
      <ability>L2_Typo</ability>
      <abilityName>字词错误</abilityName>
      <candidateList>
        <item>项目</item>
      </candidateList>
      <explain>〈名〉事物分成的门类：服务～｜体育～｜建设～。</explain>
      <paraID>5F3F60F8</paraID>
      <start>26</start>
      <end>29</end>
      <status>ignored</status>
      <modifiedWord/>
      <trackRevisions>false</trackRevisions>
    </reviewItem>
    <reviewItem>
      <errorID>c0caf017-16b5-43a3-901a-93e9ca48821b</errorID>
      <errorWord>生产污水处理</errorWord>
      <group>L1_Knowledge</group>
      <groupName>知识性问题</groupName>
      <ability>L2_Term</ability>
      <abilityName>专业术语</abilityName>
      <candidateList>
        <item>生活污水处理</item>
      </candidateList>
      <explain/>
      <paraID>74F54A51</paraID>
      <start>121</start>
      <end>127</end>
      <status>unmodified</status>
      <modifiedWord/>
      <trackRevisions>false</trackRevisions>
    </reviewItem>
    <reviewItem>
      <errorID>25333a98-411a-403e-b1b9-51ec9b38aa1b</errorID>
      <errorWord>生产污水处理</errorWord>
      <group>L1_Knowledge</group>
      <groupName>知识性问题</groupName>
      <ability>L2_Term</ability>
      <abilityName>专业术语</abilityName>
      <candidateList>
        <item>生活污水处理</item>
      </candidateList>
      <explain/>
      <paraID>26ED1D5A</paraID>
      <start>111</start>
      <end>117</end>
      <status>unmodified</status>
      <modifiedWord/>
      <trackRevisions>false</trackRevisions>
    </reviewItem>
    <reviewItem>
      <errorID>c8b0f5ab-a862-4012-9d1c-0e3e69b6a6c9</errorID>
      <errorWord>属</errorWord>
      <group>L1_Word</group>
      <groupName>字词问题</groupName>
      <ability>L2_Typo</ability>
      <abilityName>字词错误</abilityName>
      <candidateList>
        <item>属于</item>
      </candidateList>
      <explain/>
      <paraID>58201199</paraID>
      <start>21</start>
      <end>22</end>
      <status>unmodified</status>
      <modifiedWord/>
      <trackRevisions>false</trackRevisions>
    </reviewItem>
    <reviewItem>
      <errorID>287ca933-afc4-4df3-ad2f-c448f66517c8</errorID>
      <errorWord>一性次</errorWord>
      <group>L1_Word</group>
      <groupName>字词问题</groupName>
      <ability>L2_Typo</ability>
      <abilityName>字词错误</abilityName>
      <candidateList>
        <item>一次性</item>
      </candidateList>
      <explain/>
      <paraID>796F2362</paraID>
      <start>30</start>
      <end>33</end>
      <status>unmodified</status>
      <modifiedWord/>
      <trackRevisions>false</trackRevisions>
    </reviewItem>
    <reviewItem>
      <errorID>619b8646-80c0-4cbd-ad3d-4b6a9e62b9cd</errorID>
      <errorWord>（</errorWord>
      <group>L1_Format</group>
      <groupName>格式问题</groupName>
      <ability>L2_HalfPunc</ability>
      <abilityName>全半角检查</abilityName>
      <candidateList>
        <item>(</item>
      </candidateList>
      <explain>文本全半角错误。</explain>
      <paraID> 749A1C8</paraID>
      <start>0</start>
      <end>1</end>
      <status>unmodified</status>
      <modifiedWord/>
      <trackRevisions>false</trackRevisions>
    </reviewItem>
    <reviewItem>
      <errorID>b1ed1bd6-644e-4831-bd1c-454fb99cacea</errorID>
      <errorWord>）</errorWord>
      <group>L1_Format</group>
      <groupName>格式问题</groupName>
      <ability>L2_HalfPunc</ability>
      <abilityName>全半角检查</abilityName>
      <candidateList>
        <item>)</item>
      </candidateList>
      <explain>文本全半角错误。</explain>
      <paraID> 749A1C8</paraID>
      <start>4</start>
      <end>5</end>
      <status>unmodified</status>
      <modifiedWord/>
      <trackRevisions>false</trackRevisions>
    </reviewItem>
    <reviewItem>
      <errorID>e7cdb8da-e961-4f87-b5de-ffa386542188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EB96957</paraID>
      <start>0</start>
      <end>2</end>
      <status>unmodified</status>
      <modifiedWord/>
      <trackRevisions>false</trackRevisions>
    </reviewItem>
    <reviewItem>
      <errorID>265b43f2-c0e7-48e3-87ce-c1506a60ad37</errorID>
      <errorWord>III类</errorWord>
      <group>L1_Knowledge</group>
      <groupName>知识性问题</groupName>
      <ability>L2_Knowledge</ability>
      <abilityName>其他知识</abilityName>
      <candidateList>
        <item>Ⅲ类</item>
      </candidateList>
      <explain/>
      <paraID>73FC9ECC</paraID>
      <start>69</start>
      <end>73</end>
      <status>unmodified</status>
      <modifiedWord/>
      <trackRevisions>false</trackRevisions>
    </reviewItem>
    <reviewItem>
      <errorID>62b4dc44-0fd4-4257-9821-7d1ed1a2d93f</errorID>
      <errorWord>主要是以预防为主</errorWord>
      <group>L1_Word</group>
      <groupName>字词问题</groupName>
      <ability>L2_Typo</ability>
      <abilityName>字词错误</abilityName>
      <candidateList>
        <item>是以预防为主</item>
      </candidateList>
      <explain/>
      <paraID>73FC9ECC</paraID>
      <start>199</start>
      <end>205</end>
      <status>modified</status>
      <modifiedWord>是以预防为主</modifiedWord>
      <trackRevisions>false</trackRevisions>
    </reviewItem>
    <reviewItem>
      <errorID>97ad3e3e-8162-4a2e-bf2e-276b5b41cd69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3072334A</paraID>
      <start>0</start>
      <end>2</end>
      <status>unmodified</status>
      <modifiedWord/>
      <trackRevisions>false</trackRevisions>
    </reviewItem>
    <reviewItem>
      <errorID>dd30a30a-ce3c-42e2-b765-bd3849a8ad3f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3E30BECB</paraID>
      <start>0</start>
      <end>2</end>
      <status>unmodified</status>
      <modifiedWord/>
      <trackRevisions>false</trackRevisions>
    </reviewItem>
    <reviewItem>
      <errorID>c28d1177-9601-455c-bfca-d96cf95452d8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7642236E</paraID>
      <start>26</start>
      <end>27</end>
      <status>unmodified</status>
      <modifiedWord/>
      <trackRevisions>false</trackRevisions>
    </reviewItem>
    <reviewItem>
      <errorID>743edf1e-e573-49d3-aced-cef7a0b3ef6f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120430AD</paraID>
      <start>26</start>
      <end>27</end>
      <status>unmodified</status>
      <modifiedWord/>
      <trackRevisions>false</trackRevisions>
    </reviewItem>
    <reviewItem>
      <errorID>286604cd-dd6a-4d88-ab2f-943e22d0cbb9</errorID>
      <errorWord>《</errorWord>
      <group>L1_Punc</group>
      <groupName>标点问题</groupName>
      <ability>L2_Punc</ability>
      <abilityName>标点符号检查</abilityName>
      <candidateList/>
      <explain/>
      <paraID> 72430C3</paraID>
      <start>45</start>
      <end>46</end>
      <status>unmodified</status>
      <modifiedWord/>
      <trackRevisions>false</trackRevisions>
    </reviewItem>
    <reviewItem>
      <errorID>ab6a180b-0f17-4259-9be2-8a1e6ae1a2a0</errorID>
      <errorWord>防渗系统</errorWord>
      <group>L1_Knowledge</group>
      <groupName>知识性问题</groupName>
      <ability>L2_Term</ability>
      <abilityName>专业术语</abilityName>
      <candidateList>
        <item>防爆系统</item>
      </candidateList>
      <explain/>
      <paraID>2C774ECC</paraID>
      <start>35</start>
      <end>39</end>
      <status>unmodified</status>
      <modifiedWord/>
      <trackRevisions>false</trackRevisions>
    </reviewItem>
    <reviewItem>
      <errorID>bfa2a298-793f-4143-9b1e-7317ff3caef5</errorID>
      <errorWord>挥发乙酸</errorWord>
      <group>L1_Knowledge</group>
      <groupName>知识性问题</groupName>
      <ability>L2_Term</ability>
      <abilityName>专业术语</abilityName>
      <candidateList>
        <item>挥发性酸</item>
      </candidateList>
      <explain/>
      <paraID>43A9BBA6</paraID>
      <start>50</start>
      <end>54</end>
      <status>unmodified</status>
      <modifiedWord/>
      <trackRevisions>false</trackRevisions>
    </reviewItem>
    <reviewItem>
      <errorID>2eb23ead-22f4-451d-a3de-daeb21c3af27</errorID>
      <errorWord>提高</errorWord>
      <group>L1_Word</group>
      <groupName>字词问题</groupName>
      <ability>L2_Typo</ability>
      <abilityName>字词错误</abilityName>
      <candidateList>
        <item>增强</item>
      </candidateList>
      <explain>“提高～意识”搭配不当，建议修改为“增强～意识”。</explain>
      <paraID>6A469DCD</paraID>
      <start>22</start>
      <end>24</end>
      <status>unmodified</status>
      <modifiedWord/>
      <trackRevisions>false</trackRevisions>
    </reviewItem>
    <reviewItem>
      <errorID>0179a773-7886-4937-990f-48e2e1035b6c</errorID>
      <errorWord>(</errorWord>
      <group>L1_Format</group>
      <groupName>格式问题</groupName>
      <ability>L2_HalfPunc</ability>
      <abilityName>全半角检查</abilityName>
      <candidateList>
        <item>（</item>
      </candidateList>
      <explain>文本全半角错误。</explain>
      <paraID>2137BD74</paraID>
      <start>12</start>
      <end>13</end>
      <status>unmodified</status>
      <modifiedWord/>
      <trackRevisions>false</trackRevisions>
    </reviewItem>
    <reviewItem>
      <errorID>81bfd7aa-32b9-4d03-a808-4506127ea199</errorID>
      <errorWord>)</errorWord>
      <group>L1_Format</group>
      <groupName>格式问题</groupName>
      <ability>L2_HalfPunc</ability>
      <abilityName>全半角检查</abilityName>
      <candidateList>
        <item>）</item>
      </candidateList>
      <explain>文本全半角错误。</explain>
      <paraID>2137BD74</paraID>
      <start>19</start>
      <end>20</end>
      <status>unmodified</status>
      <modifiedWord/>
      <trackRevisions>false</trackRevisions>
    </reviewItem>
    <reviewItem>
      <errorID>9be60d7d-bcab-4646-82a1-fabc7009ea7a</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55996815</paraID>
      <start>45</start>
      <end>48</end>
      <status>unmodified</status>
      <modifiedWord/>
      <trackRevisions>false</trackRevisions>
    </reviewItem>
    <reviewItem>
      <errorID>e3ff1b66-ab94-484d-93d9-3b9acc9942af</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271A1EE5</paraID>
      <start>48</start>
      <end>51</end>
      <status>unmodified</status>
      <modifiedWord/>
      <trackRevisions>false</trackRevisions>
    </reviewItem>
    <reviewItem>
      <errorID>79e5a52a-9fc2-4955-be1f-23303f481336</errorID>
      <errorWord>-</errorWord>
      <group>L1_Format</group>
      <groupName>格式问题</groupName>
      <ability>L2_HalfPunc</ability>
      <abilityName>全半角检查</abilityName>
      <candidateList>
        <item>－</item>
      </candidateList>
      <explain>文本全半角错误。</explain>
      <paraID>271A1EE5</paraID>
      <start>75</start>
      <end>76</end>
      <status>unmodified</status>
      <modifiedWord/>
      <trackRevisions>false</trackRevisions>
    </reviewItem>
    <reviewItem>
      <errorID>0e141815-57e4-4460-940d-770ec5fe424f</errorID>
      <errorWord>售</errorWord>
      <group>L1_Word</group>
      <groupName>字词问题</groupName>
      <ability>L2_Typo</ability>
      <abilityName>字词错误</abilityName>
      <candidateList>
        <item>售给</item>
      </candidateList>
      <explain/>
      <paraID>75FE7686</paraID>
      <start>24</start>
      <end>25</end>
      <status>unmodified</status>
      <modifiedWord/>
      <trackRevisions>false</trackRevisions>
    </reviewItem>
    <reviewItem>
      <errorID>4faa69df-b1a9-479a-8b92-d75bd8808b44</errorID>
      <errorWord>委</errorWord>
      <group>L1_Word</group>
      <groupName>字词问题</groupName>
      <ability>L2_Typo</ability>
      <abilityName>字词错误</abilityName>
      <candidateList>
        <item>需</item>
      </candidateList>
      <explain>❶〈动〉需要：～求｜按～分配｜完成任务还～五天时间。❷需用的东西：军～。</explain>
      <paraID>75FE7686</paraID>
      <start>83</start>
      <end>84</end>
      <status>unmodified</status>
      <modifiedWord/>
      <trackRevisions>false</trackRevisions>
    </reviewItem>
    <reviewItem>
      <errorID>3b2dcc16-a13e-4b12-8238-af94a193e93a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71D004B3</paraID>
      <start>59</start>
      <end>60</end>
      <status>unmodified</status>
      <modifiedWord/>
      <trackRevisions>false</trackRevisions>
    </reviewItem>
    <reviewItem>
      <errorID>99bfe400-a1d7-4d4c-a0ca-33834b3d89c9</errorID>
      <errorWord>挥发乙酸</errorWord>
      <group>L1_Knowledge</group>
      <groupName>知识性问题</groupName>
      <ability>L2_Term</ability>
      <abilityName>专业术语</abilityName>
      <candidateList>
        <item>挥发性酸</item>
      </candidateList>
      <explain/>
      <paraID>488889E3</paraID>
      <start>50</start>
      <end>54</end>
      <status>unmodified</status>
      <modifiedWord/>
      <trackRevisions>false</trackRevisions>
    </reviewItem>
    <reviewItem>
      <errorID>bd23de7b-75c1-4aa9-be48-d4081f8e82d1</errorID>
      <errorWord>提高</errorWord>
      <group>L1_Word</group>
      <groupName>字词问题</groupName>
      <ability>L2_Typo</ability>
      <abilityName>字词错误</abilityName>
      <candidateList>
        <item>增强</item>
      </candidateList>
      <explain>“提高～意识”搭配不当，建议修改为“增强～意识”。</explain>
      <paraID>68E852A3</paraID>
      <start>22</start>
      <end>24</end>
      <status>unmodified</status>
      <modifiedWord/>
      <trackRevisions>false</trackRevisions>
    </reviewItem>
    <reviewItem>
      <errorID>07ee1433-9257-4181-8235-43511fa27fa3</errorID>
      <errorWord>，</errorWord>
      <group>L1_Word</group>
      <groupName>字词问题</groupName>
      <ability>L2_Typo</ability>
      <abilityName>字词错误</abilityName>
      <candidateList>
        <item>，在</item>
      </candidateList>
      <explain/>
      <paraID>61003039</paraID>
      <start>113</start>
      <end>114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8A504E-70AC-44B3-A4DE-B631EC3A4FC7}">
  <ds:schemaRefs/>
</ds:datastoreItem>
</file>

<file path=customXml/itemProps3.xml><?xml version="1.0" encoding="utf-8"?>
<ds:datastoreItem xmlns:ds="http://schemas.openxmlformats.org/officeDocument/2006/customXml" ds:itemID="{C67709A1-A03D-4F88-9604-C0F6E9EF0287}">
  <ds:schemaRefs/>
</ds:datastoreItem>
</file>

<file path=docProps/app.xml><?xml version="1.0" encoding="utf-8"?>
<Properties xmlns="http://schemas.openxmlformats.org/officeDocument/2006/extended-properties" xmlns:vt="http://schemas.openxmlformats.org/officeDocument/2006/docPropsVTypes">
  <Template>Normal</Template>
  <Pages>161</Pages>
  <Words>385</Words>
  <Characters>411</Characters>
  <Lines>1</Lines>
  <Paragraphs>1</Paragraphs>
  <TotalTime>5</TotalTime>
  <ScaleCrop>false</ScaleCrop>
  <LinksUpToDate>false</LinksUpToDate>
  <CharactersWithSpaces>497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2020-12-24T09:29:00Z</dcterms:created>
  <dc:creator>chen</dc:creator>
  <cp:lastModifiedBy>liuxiangyu</cp:lastModifiedBy>
  <cp:lastPrinted>2020-12-29T10:43:00Z</cp:lastPrinted>
  <dcterms:modified xsi:type="dcterms:W3CDTF">2026-09-07T09:38:07Z</dcterms:modified>
  <dc:title>H</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CB781030349B42D9BEA6E230111228F8_13</vt:lpwstr>
  </property>
  <property fmtid="{D5CDD505-2E9C-101B-9397-08002B2CF9AE}" pid="4" name="KSOTemplateDocerSaveRecord">
    <vt:lpwstr>eyJoZGlkIjoiNDliY2JhM2QzYjI0Zjc2MmU5M2NjYjlhN2Q1MjRiMjAiLCJ1c2VySWQiOiIxMTIxMzIwNzkyIn0=</vt:lpwstr>
  </property>
</Properties>
</file>